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9890648" w:displacedByCustomXml="next"/>
    <w:bookmarkEnd w:id="0" w:displacedByCustomXml="next"/>
    <w:sdt>
      <w:sdtPr>
        <w:id w:val="-385645642"/>
        <w:docPartObj>
          <w:docPartGallery w:val="Cover Pages"/>
          <w:docPartUnique/>
        </w:docPartObj>
      </w:sdtPr>
      <w:sdtEndPr/>
      <w:sdtContent>
        <w:p w14:paraId="366AB6BB" w14:textId="4FA272B0" w:rsidR="00604EEF" w:rsidRPr="002F5F97" w:rsidRDefault="00804A1E" w:rsidP="005103E4">
          <w:r w:rsidRPr="002F5F97">
            <w:rPr>
              <w:noProof/>
            </w:rPr>
            <w:drawing>
              <wp:anchor distT="0" distB="0" distL="114300" distR="114300" simplePos="0" relativeHeight="251658251" behindDoc="1" locked="1" layoutInCell="1" allowOverlap="1" wp14:anchorId="261699BD" wp14:editId="63EB267B">
                <wp:simplePos x="0" y="0"/>
                <wp:positionH relativeFrom="margin">
                  <wp:align>center</wp:align>
                </wp:positionH>
                <wp:positionV relativeFrom="margin">
                  <wp:align>center</wp:align>
                </wp:positionV>
                <wp:extent cx="7545070" cy="10668000"/>
                <wp:effectExtent l="0" t="0" r="0" b="0"/>
                <wp:wrapNone/>
                <wp:docPr id="536231064" name="Picture 2" descr="Australian Government Payment Times Reporting Regulator, Payment Times Reporting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31064" name="Picture 2" descr="Australian Government Payment Times Reporting Regulator, Payment Times Reporting Scheme&#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5070" cy="10668000"/>
                        </a:xfrm>
                        <a:prstGeom prst="rect">
                          <a:avLst/>
                        </a:prstGeom>
                      </pic:spPr>
                    </pic:pic>
                  </a:graphicData>
                </a:graphic>
                <wp14:sizeRelH relativeFrom="page">
                  <wp14:pctWidth>0</wp14:pctWidth>
                </wp14:sizeRelH>
                <wp14:sizeRelV relativeFrom="page">
                  <wp14:pctHeight>0</wp14:pctHeight>
                </wp14:sizeRelV>
              </wp:anchor>
            </w:drawing>
          </w:r>
        </w:p>
        <w:p w14:paraId="36F10319" w14:textId="38FD5B78" w:rsidR="00604EEF" w:rsidRPr="002F5F97" w:rsidRDefault="007F3B66" w:rsidP="005103E4">
          <w:pPr>
            <w:pStyle w:val="Title"/>
          </w:pPr>
          <w:bookmarkStart w:id="1" w:name="_Hlk215226435"/>
          <w:r w:rsidRPr="002F5F97">
            <w:t>Regulator</w:t>
          </w:r>
          <w:r w:rsidR="005D0129">
            <w:t>’</w:t>
          </w:r>
          <w:r w:rsidRPr="002F5F97">
            <w:t>s Update</w:t>
          </w:r>
        </w:p>
        <w:p w14:paraId="5710946C" w14:textId="7364F0EF" w:rsidR="00604EEF" w:rsidRPr="002F5F97" w:rsidRDefault="007F3B66" w:rsidP="006923DF">
          <w:pPr>
            <w:pStyle w:val="Subtitle"/>
          </w:pPr>
          <w:r w:rsidRPr="002F5F97">
            <w:t>January 2026</w:t>
          </w:r>
        </w:p>
        <w:bookmarkEnd w:id="1"/>
        <w:p w14:paraId="49F21B4C" w14:textId="77777777" w:rsidR="00604EEF" w:rsidRPr="002F5F97" w:rsidRDefault="00604EEF">
          <w:pPr>
            <w:spacing w:before="0" w:after="160" w:line="259" w:lineRule="auto"/>
          </w:pPr>
          <w:r w:rsidRPr="002F5F97">
            <w:br w:type="page"/>
          </w:r>
        </w:p>
      </w:sdtContent>
    </w:sdt>
    <w:p w14:paraId="680E10CB" w14:textId="4BCB82FF" w:rsidR="0050375C" w:rsidRPr="002F5F97" w:rsidRDefault="0050375C" w:rsidP="0050375C">
      <w:pPr>
        <w:spacing w:before="0" w:after="160" w:line="259" w:lineRule="auto"/>
      </w:pPr>
      <w:r w:rsidRPr="002F5F97">
        <w:lastRenderedPageBreak/>
        <w:t>© Commonwealth of Australia 202</w:t>
      </w:r>
      <w:r w:rsidR="009F0D69" w:rsidRPr="002F5F97">
        <w:t>6</w:t>
      </w:r>
    </w:p>
    <w:p w14:paraId="7EA721F2" w14:textId="566521AD" w:rsidR="0050375C" w:rsidRPr="002F5F97" w:rsidRDefault="0050375C" w:rsidP="0050375C">
      <w:pPr>
        <w:spacing w:before="0" w:after="160" w:line="259" w:lineRule="auto"/>
      </w:pPr>
      <w:r w:rsidRPr="002F5F97">
        <w:t>ISBN:</w:t>
      </w:r>
      <w:r w:rsidR="006959C5" w:rsidRPr="006959C5">
        <w:t xml:space="preserve"> 978-1-923278-36-3</w:t>
      </w:r>
    </w:p>
    <w:p w14:paraId="6CCE37D3" w14:textId="77777777" w:rsidR="0050375C" w:rsidRPr="002F5F97" w:rsidRDefault="0050375C" w:rsidP="000B2701">
      <w:pPr>
        <w:rPr>
          <w:sz w:val="24"/>
          <w:szCs w:val="24"/>
        </w:rPr>
      </w:pPr>
      <w:r w:rsidRPr="002F5F97">
        <w:t xml:space="preserve">This publication is available </w:t>
      </w:r>
      <w:r w:rsidRPr="00854341">
        <w:t>for</w:t>
      </w:r>
      <w:r w:rsidRPr="002F5F97">
        <w:t xml:space="preserve"> your use under a</w:t>
      </w:r>
      <w:r w:rsidRPr="002F5F97">
        <w:rPr>
          <w:rFonts w:cstheme="minorHAnsi"/>
          <w:sz w:val="24"/>
          <w:szCs w:val="24"/>
        </w:rPr>
        <w:t xml:space="preserve"> </w:t>
      </w:r>
      <w:hyperlink r:id="rId8" w:history="1">
        <w:r w:rsidRPr="002F5F97">
          <w:rPr>
            <w:rStyle w:val="Hyperlink"/>
          </w:rPr>
          <w:t>Creative Commons Attribution 4.0 International</w:t>
        </w:r>
      </w:hyperlink>
      <w:r w:rsidRPr="002F5F97">
        <w:rPr>
          <w:rFonts w:cstheme="minorHAnsi"/>
          <w:sz w:val="24"/>
          <w:szCs w:val="24"/>
        </w:rPr>
        <w:t xml:space="preserve"> </w:t>
      </w:r>
      <w:r w:rsidRPr="002F5F97">
        <w:t xml:space="preserve">licence, with the exception of the Commonwealth Coat of Arms, the Treasury logo, photographs, </w:t>
      </w:r>
      <w:r w:rsidRPr="000B2701">
        <w:t>images</w:t>
      </w:r>
      <w:r w:rsidRPr="002F5F97">
        <w:t>, third party materials, materials protected by a trademark, signatures and where otherwise stated. The full licence terms are available from</w:t>
      </w:r>
      <w:r w:rsidRPr="002F5F97">
        <w:rPr>
          <w:rFonts w:cstheme="minorHAnsi"/>
          <w:sz w:val="24"/>
          <w:szCs w:val="24"/>
        </w:rPr>
        <w:t xml:space="preserve"> </w:t>
      </w:r>
      <w:hyperlink r:id="rId9" w:history="1">
        <w:r w:rsidRPr="002F5F97">
          <w:rPr>
            <w:rStyle w:val="Hyperlink"/>
          </w:rPr>
          <w:t>creativecommons.org/licenses/by/4.0/</w:t>
        </w:r>
        <w:proofErr w:type="spellStart"/>
        <w:r w:rsidRPr="002F5F97">
          <w:rPr>
            <w:rStyle w:val="Hyperlink"/>
          </w:rPr>
          <w:t>legalcode</w:t>
        </w:r>
        <w:proofErr w:type="spellEnd"/>
      </w:hyperlink>
      <w:r w:rsidRPr="002F5F97">
        <w:t>.</w:t>
      </w:r>
      <w:r w:rsidRPr="002F5F97">
        <w:rPr>
          <w:sz w:val="24"/>
          <w:szCs w:val="24"/>
        </w:rPr>
        <w:t xml:space="preserve"> </w:t>
      </w:r>
    </w:p>
    <w:p w14:paraId="3E407DAF" w14:textId="77777777" w:rsidR="0050375C" w:rsidRPr="002F5F97" w:rsidRDefault="0050375C" w:rsidP="0050375C">
      <w:pPr>
        <w:pStyle w:val="ChartGraphic"/>
        <w:jc w:val="left"/>
      </w:pPr>
      <w:r w:rsidRPr="002F5F97">
        <w:rPr>
          <w:noProof/>
        </w:rPr>
        <w:drawing>
          <wp:inline distT="0" distB="0" distL="0" distR="0" wp14:anchorId="71AA2A29" wp14:editId="7B7001B4">
            <wp:extent cx="809625" cy="285750"/>
            <wp:effectExtent l="0" t="0" r="9525" b="0"/>
            <wp:docPr id="3" name="Picture 1" descr="Creative Commons BY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BY icon&#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B2268EE" w14:textId="77777777" w:rsidR="0050375C" w:rsidRPr="002F5F97" w:rsidRDefault="0050375C" w:rsidP="00854341">
      <w:r w:rsidRPr="002F5F97">
        <w:t xml:space="preserve">Use of Treasury material </w:t>
      </w:r>
      <w:r w:rsidRPr="00854341">
        <w:t>under</w:t>
      </w:r>
      <w:r w:rsidRPr="002F5F97">
        <w:t xml:space="preserve"> a</w:t>
      </w:r>
      <w:r w:rsidRPr="002F5F97">
        <w:rPr>
          <w:rFonts w:cstheme="minorHAnsi"/>
          <w:sz w:val="24"/>
          <w:szCs w:val="24"/>
        </w:rPr>
        <w:t xml:space="preserve"> </w:t>
      </w:r>
      <w:hyperlink r:id="rId11" w:history="1">
        <w:r w:rsidRPr="002F5F97">
          <w:rPr>
            <w:rStyle w:val="Hyperlink"/>
          </w:rPr>
          <w:t>Creative Commons Attribution 4.0 International</w:t>
        </w:r>
      </w:hyperlink>
      <w:r w:rsidRPr="002F5F97">
        <w:t xml:space="preserve"> licence requires you to attribute the work (but not in any way that suggests that the Treasury endorses you or your use of the work).</w:t>
      </w:r>
    </w:p>
    <w:p w14:paraId="022061CF" w14:textId="578142CB" w:rsidR="0050375C" w:rsidRPr="00854341" w:rsidRDefault="0050375C" w:rsidP="00854341">
      <w:pPr>
        <w:rPr>
          <w:rStyle w:val="Strong"/>
        </w:rPr>
      </w:pPr>
      <w:r w:rsidRPr="00854341">
        <w:rPr>
          <w:rStyle w:val="Strong"/>
        </w:rPr>
        <w:t xml:space="preserve">Treasury material used </w:t>
      </w:r>
      <w:r w:rsidR="005D0129">
        <w:rPr>
          <w:rStyle w:val="Strong"/>
        </w:rPr>
        <w:t>‘</w:t>
      </w:r>
      <w:r w:rsidRPr="00854341">
        <w:rPr>
          <w:rStyle w:val="Strong"/>
        </w:rPr>
        <w:t>as supplied</w:t>
      </w:r>
      <w:r w:rsidR="005D0129">
        <w:rPr>
          <w:rStyle w:val="Strong"/>
        </w:rPr>
        <w:t>’</w:t>
      </w:r>
    </w:p>
    <w:p w14:paraId="2F54F288" w14:textId="77777777" w:rsidR="0050375C" w:rsidRPr="00854341" w:rsidRDefault="0050375C" w:rsidP="00854341">
      <w:r w:rsidRPr="00854341">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68E904F4" w14:textId="77777777" w:rsidR="0050375C" w:rsidRPr="002F5F97" w:rsidRDefault="0050375C" w:rsidP="0050375C">
      <w:pPr>
        <w:ind w:firstLine="720"/>
      </w:pPr>
      <w:r w:rsidRPr="002F5F97">
        <w:rPr>
          <w:iCs/>
        </w:rPr>
        <w:t>Source:</w:t>
      </w:r>
      <w:r w:rsidRPr="002F5F97">
        <w:rPr>
          <w:i/>
        </w:rPr>
        <w:t xml:space="preserve"> </w:t>
      </w:r>
      <w:r w:rsidRPr="002F5F97">
        <w:rPr>
          <w:rStyle w:val="Emphasis"/>
        </w:rPr>
        <w:t>The Commonwealth of Australia.</w:t>
      </w:r>
    </w:p>
    <w:p w14:paraId="4E6FE24D" w14:textId="77777777" w:rsidR="0050375C" w:rsidRPr="00854341" w:rsidRDefault="0050375C" w:rsidP="00854341">
      <w:pPr>
        <w:rPr>
          <w:rStyle w:val="Strong"/>
        </w:rPr>
      </w:pPr>
      <w:r w:rsidRPr="00854341">
        <w:rPr>
          <w:rStyle w:val="Strong"/>
        </w:rPr>
        <w:t>Derivative material</w:t>
      </w:r>
    </w:p>
    <w:p w14:paraId="35497FC3" w14:textId="77777777" w:rsidR="0050375C" w:rsidRPr="00854341" w:rsidRDefault="0050375C" w:rsidP="00854341">
      <w:r w:rsidRPr="00854341">
        <w:t xml:space="preserve">If you have modified or transformed Treasury material, or derived new material from those of the Treasury in any way, then Treasury prefers the following attribution: </w:t>
      </w:r>
    </w:p>
    <w:p w14:paraId="5FB722DF" w14:textId="77777777" w:rsidR="0050375C" w:rsidRPr="002F5F97" w:rsidRDefault="0050375C" w:rsidP="0050375C">
      <w:pPr>
        <w:ind w:firstLine="720"/>
        <w:rPr>
          <w:rStyle w:val="Emphasis"/>
        </w:rPr>
      </w:pPr>
      <w:r w:rsidRPr="002F5F97">
        <w:rPr>
          <w:rStyle w:val="Emphasis"/>
        </w:rPr>
        <w:t>Based on Commonwealth of Australia</w:t>
      </w:r>
      <w:r w:rsidRPr="002F5F97" w:rsidDel="002A3368">
        <w:rPr>
          <w:rStyle w:val="Emphasis"/>
        </w:rPr>
        <w:t xml:space="preserve"> </w:t>
      </w:r>
      <w:r w:rsidRPr="002F5F97">
        <w:rPr>
          <w:rStyle w:val="Emphasis"/>
        </w:rPr>
        <w:t>data.</w:t>
      </w:r>
    </w:p>
    <w:p w14:paraId="0FC1A659" w14:textId="77777777" w:rsidR="0050375C" w:rsidRPr="00854341" w:rsidRDefault="0050375C" w:rsidP="00854341">
      <w:pPr>
        <w:rPr>
          <w:rStyle w:val="Strong"/>
        </w:rPr>
      </w:pPr>
      <w:r w:rsidRPr="00854341">
        <w:rPr>
          <w:rStyle w:val="Strong"/>
        </w:rPr>
        <w:t>Use of the Coat of Arms</w:t>
      </w:r>
    </w:p>
    <w:p w14:paraId="2FF413C8" w14:textId="3C280F5E" w:rsidR="00FD24DA" w:rsidRPr="00222A47" w:rsidRDefault="00FD24DA" w:rsidP="00854341">
      <w:pPr>
        <w:rPr>
          <w:lang w:eastAsia="en-AU"/>
        </w:rPr>
      </w:pPr>
      <w:r w:rsidRPr="00FD24DA">
        <w:rPr>
          <w:lang w:eastAsia="en-AU"/>
        </w:rPr>
        <w:t>The terms under which the Coat of Arms can be used are set out on the Department of the Prime Minister and Cabinet website</w:t>
      </w:r>
      <w:r w:rsidR="00222A47">
        <w:rPr>
          <w:lang w:eastAsia="en-AU"/>
        </w:rPr>
        <w:br/>
      </w:r>
      <w:r w:rsidRPr="00FD24DA">
        <w:rPr>
          <w:lang w:eastAsia="en-AU"/>
        </w:rPr>
        <w:t xml:space="preserve">(see </w:t>
      </w:r>
      <w:hyperlink r:id="rId12" w:history="1">
        <w:r w:rsidRPr="00FD24DA">
          <w:rPr>
            <w:rStyle w:val="Hyperlink"/>
            <w:lang w:eastAsia="en-AU"/>
          </w:rPr>
          <w:t>www.pmc.gov.au/government/commonwealth</w:t>
        </w:r>
        <w:r w:rsidR="005D0129">
          <w:rPr>
            <w:rStyle w:val="Hyperlink"/>
            <w:lang w:eastAsia="en-AU"/>
          </w:rPr>
          <w:noBreakHyphen/>
        </w:r>
        <w:r w:rsidRPr="00FD24DA">
          <w:rPr>
            <w:rStyle w:val="Hyperlink"/>
            <w:lang w:eastAsia="en-AU"/>
          </w:rPr>
          <w:t>coat</w:t>
        </w:r>
        <w:r w:rsidR="005D0129">
          <w:rPr>
            <w:rStyle w:val="Hyperlink"/>
            <w:lang w:eastAsia="en-AU"/>
          </w:rPr>
          <w:noBreakHyphen/>
        </w:r>
        <w:r w:rsidRPr="00FD24DA">
          <w:rPr>
            <w:rStyle w:val="Hyperlink"/>
            <w:lang w:eastAsia="en-AU"/>
          </w:rPr>
          <w:t>arms</w:t>
        </w:r>
      </w:hyperlink>
      <w:r w:rsidRPr="00FD24DA">
        <w:rPr>
          <w:lang w:eastAsia="en-AU"/>
        </w:rPr>
        <w:t>).</w:t>
      </w:r>
    </w:p>
    <w:p w14:paraId="0148951C" w14:textId="77777777" w:rsidR="0050375C" w:rsidRPr="002F5F97" w:rsidRDefault="0050375C" w:rsidP="0050375C">
      <w:pPr>
        <w:spacing w:before="240"/>
        <w:rPr>
          <w:rStyle w:val="Strong"/>
        </w:rPr>
      </w:pPr>
      <w:r w:rsidRPr="002F5F97">
        <w:rPr>
          <w:rStyle w:val="Strong"/>
        </w:rPr>
        <w:t>Other uses</w:t>
      </w:r>
    </w:p>
    <w:p w14:paraId="588CFA22" w14:textId="77777777" w:rsidR="0050375C" w:rsidRPr="002F5F97" w:rsidRDefault="0050375C" w:rsidP="00854341">
      <w:r w:rsidRPr="002F5F97">
        <w:t xml:space="preserve">Enquiries regarding </w:t>
      </w:r>
      <w:r w:rsidRPr="00854341">
        <w:t>this</w:t>
      </w:r>
      <w:r w:rsidRPr="002F5F97">
        <w:t xml:space="preserve"> licence and any other use of this document are welcome at:</w:t>
      </w:r>
    </w:p>
    <w:p w14:paraId="3364D594" w14:textId="77777777" w:rsidR="00081879" w:rsidRPr="002F5F97" w:rsidRDefault="0050375C" w:rsidP="00081879">
      <w:pPr>
        <w:spacing w:after="240"/>
        <w:ind w:left="720"/>
        <w:rPr>
          <w:rStyle w:val="Hyperlink"/>
        </w:rPr>
      </w:pPr>
      <w:r w:rsidRPr="002F5F97">
        <w:t>Manager</w:t>
      </w:r>
      <w:r w:rsidRPr="002F5F97">
        <w:br/>
        <w:t>Media Unit</w:t>
      </w:r>
      <w:r w:rsidRPr="002F5F97">
        <w:br/>
        <w:t>The Treasury</w:t>
      </w:r>
      <w:r w:rsidRPr="002F5F97">
        <w:br/>
        <w:t xml:space="preserve">Langton Crescent </w:t>
      </w:r>
      <w:r w:rsidRPr="002F5F97">
        <w:br/>
        <w:t>Parkes  ACT  2600</w:t>
      </w:r>
      <w:r w:rsidRPr="002F5F97">
        <w:br/>
        <w:t xml:space="preserve">Email: </w:t>
      </w:r>
      <w:hyperlink r:id="rId13" w:history="1">
        <w:r w:rsidRPr="002F5F97">
          <w:rPr>
            <w:rStyle w:val="Hyperlink"/>
          </w:rPr>
          <w:t>media@treasury.gov.au</w:t>
        </w:r>
      </w:hyperlink>
    </w:p>
    <w:p w14:paraId="5BE18731" w14:textId="747F8D8C" w:rsidR="00F836F9" w:rsidRPr="009709B7" w:rsidRDefault="0050375C" w:rsidP="0050375C">
      <w:pPr>
        <w:rPr>
          <w:i/>
          <w:iCs/>
        </w:rPr>
      </w:pPr>
      <w:r w:rsidRPr="00222A47">
        <w:rPr>
          <w:rStyle w:val="Emphasis"/>
        </w:rPr>
        <w:t>In the spirit of reconciliation, the Treasury acknowledges the Traditional Custodians of country throughout Australia and their connections to land, sea and community. We pay our respect to</w:t>
      </w:r>
      <w:r w:rsidR="002D5FB2">
        <w:rPr>
          <w:rStyle w:val="Emphasis"/>
        </w:rPr>
        <w:t> </w:t>
      </w:r>
      <w:r w:rsidRPr="00222A47">
        <w:rPr>
          <w:rStyle w:val="Emphasis"/>
        </w:rPr>
        <w:t>their Elders past and present and extend that respect to all Aboriginal and Torres Strait Islander</w:t>
      </w:r>
      <w:r w:rsidR="002D5FB2">
        <w:rPr>
          <w:rStyle w:val="Emphasis"/>
        </w:rPr>
        <w:t> </w:t>
      </w:r>
      <w:r w:rsidRPr="00222A47">
        <w:rPr>
          <w:rStyle w:val="Emphasis"/>
        </w:rPr>
        <w:t>peoples.</w:t>
      </w:r>
    </w:p>
    <w:p w14:paraId="51874E55" w14:textId="77777777" w:rsidR="000E0B74" w:rsidRPr="002F5F97" w:rsidRDefault="000E0B74" w:rsidP="00430E16">
      <w:pPr>
        <w:pStyle w:val="TOCHeading"/>
      </w:pPr>
      <w:r w:rsidRPr="002F5F97">
        <w:lastRenderedPageBreak/>
        <w:t>Contents</w:t>
      </w:r>
    </w:p>
    <w:bookmarkStart w:id="2" w:name="_Toc432067103"/>
    <w:bookmarkStart w:id="3" w:name="_Toc452635030"/>
    <w:p w14:paraId="79E45264" w14:textId="2B171B7C" w:rsidR="00EB6749" w:rsidRDefault="00AE3256">
      <w:pPr>
        <w:pStyle w:val="TOC2"/>
        <w:rPr>
          <w:rFonts w:asciiTheme="minorHAnsi" w:eastAsiaTheme="minorEastAsia" w:hAnsiTheme="minorHAnsi"/>
          <w:color w:val="auto"/>
          <w:kern w:val="2"/>
          <w:sz w:val="24"/>
          <w:szCs w:val="24"/>
          <w:lang w:eastAsia="en-AU"/>
          <w14:ligatures w14:val="standardContextual"/>
        </w:rPr>
      </w:pPr>
      <w:r>
        <w:rPr>
          <w:b/>
          <w:color w:val="2C384A" w:themeColor="accent6"/>
        </w:rPr>
        <w:fldChar w:fldCharType="begin"/>
      </w:r>
      <w:r>
        <w:rPr>
          <w:b/>
          <w:color w:val="2C384A" w:themeColor="accent6"/>
        </w:rPr>
        <w:instrText xml:space="preserve"> TOC \h \z \t "Heading 1,2,Chapter Title,1,Chapter Heading 1,2" </w:instrText>
      </w:r>
      <w:r>
        <w:rPr>
          <w:b/>
          <w:color w:val="2C384A" w:themeColor="accent6"/>
        </w:rPr>
        <w:fldChar w:fldCharType="separate"/>
      </w:r>
      <w:hyperlink w:anchor="_Toc220068361" w:history="1">
        <w:r w:rsidR="00EB6749" w:rsidRPr="007B67EE">
          <w:rPr>
            <w:rStyle w:val="Hyperlink"/>
          </w:rPr>
          <w:t>Letter from the Regulator</w:t>
        </w:r>
        <w:r w:rsidR="00EB6749">
          <w:rPr>
            <w:webHidden/>
          </w:rPr>
          <w:tab/>
        </w:r>
        <w:r w:rsidR="00EB6749">
          <w:rPr>
            <w:webHidden/>
          </w:rPr>
          <w:fldChar w:fldCharType="begin"/>
        </w:r>
        <w:r w:rsidR="00EB6749">
          <w:rPr>
            <w:webHidden/>
          </w:rPr>
          <w:instrText xml:space="preserve"> PAGEREF _Toc220068361 \h </w:instrText>
        </w:r>
        <w:r w:rsidR="00EB6749">
          <w:rPr>
            <w:webHidden/>
          </w:rPr>
        </w:r>
        <w:r w:rsidR="00EB6749">
          <w:rPr>
            <w:webHidden/>
          </w:rPr>
          <w:fldChar w:fldCharType="separate"/>
        </w:r>
        <w:r w:rsidR="00F11108">
          <w:rPr>
            <w:webHidden/>
          </w:rPr>
          <w:t>1</w:t>
        </w:r>
        <w:r w:rsidR="00EB6749">
          <w:rPr>
            <w:webHidden/>
          </w:rPr>
          <w:fldChar w:fldCharType="end"/>
        </w:r>
      </w:hyperlink>
    </w:p>
    <w:p w14:paraId="4739C0FC" w14:textId="6706481A"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62" w:history="1">
        <w:r w:rsidRPr="007B67EE">
          <w:rPr>
            <w:rStyle w:val="Hyperlink"/>
          </w:rPr>
          <w:t>The Regulator’s priority areas</w:t>
        </w:r>
        <w:r>
          <w:rPr>
            <w:webHidden/>
          </w:rPr>
          <w:tab/>
        </w:r>
        <w:r>
          <w:rPr>
            <w:webHidden/>
          </w:rPr>
          <w:fldChar w:fldCharType="begin"/>
        </w:r>
        <w:r>
          <w:rPr>
            <w:webHidden/>
          </w:rPr>
          <w:instrText xml:space="preserve"> PAGEREF _Toc220068362 \h </w:instrText>
        </w:r>
        <w:r>
          <w:rPr>
            <w:webHidden/>
          </w:rPr>
        </w:r>
        <w:r>
          <w:rPr>
            <w:webHidden/>
          </w:rPr>
          <w:fldChar w:fldCharType="separate"/>
        </w:r>
        <w:r w:rsidR="00F11108">
          <w:rPr>
            <w:webHidden/>
          </w:rPr>
          <w:t>3</w:t>
        </w:r>
        <w:r>
          <w:rPr>
            <w:webHidden/>
          </w:rPr>
          <w:fldChar w:fldCharType="end"/>
        </w:r>
      </w:hyperlink>
    </w:p>
    <w:p w14:paraId="0DAD6ABA" w14:textId="2C4465B1" w:rsidR="00EB6749" w:rsidRDefault="00EB6749">
      <w:pPr>
        <w:pStyle w:val="TOC1"/>
        <w:rPr>
          <w:rFonts w:asciiTheme="minorHAnsi" w:eastAsiaTheme="minorEastAsia" w:hAnsiTheme="minorHAnsi"/>
          <w:b w:val="0"/>
          <w:color w:val="auto"/>
          <w:kern w:val="2"/>
          <w:sz w:val="24"/>
          <w:szCs w:val="24"/>
          <w:lang w:eastAsia="en-AU"/>
          <w14:ligatures w14:val="standardContextual"/>
        </w:rPr>
      </w:pPr>
      <w:hyperlink w:anchor="_Toc220068363" w:history="1">
        <w:r w:rsidRPr="007B67EE">
          <w:rPr>
            <w:rStyle w:val="Hyperlink"/>
          </w:rPr>
          <w:t>Engagement and education</w:t>
        </w:r>
        <w:r>
          <w:rPr>
            <w:webHidden/>
          </w:rPr>
          <w:tab/>
        </w:r>
        <w:r>
          <w:rPr>
            <w:webHidden/>
          </w:rPr>
          <w:fldChar w:fldCharType="begin"/>
        </w:r>
        <w:r>
          <w:rPr>
            <w:webHidden/>
          </w:rPr>
          <w:instrText xml:space="preserve"> PAGEREF _Toc220068363 \h </w:instrText>
        </w:r>
        <w:r>
          <w:rPr>
            <w:webHidden/>
          </w:rPr>
        </w:r>
        <w:r>
          <w:rPr>
            <w:webHidden/>
          </w:rPr>
          <w:fldChar w:fldCharType="separate"/>
        </w:r>
        <w:r w:rsidR="00F11108">
          <w:rPr>
            <w:webHidden/>
          </w:rPr>
          <w:t>8</w:t>
        </w:r>
        <w:r>
          <w:rPr>
            <w:webHidden/>
          </w:rPr>
          <w:fldChar w:fldCharType="end"/>
        </w:r>
      </w:hyperlink>
    </w:p>
    <w:p w14:paraId="50E4199E" w14:textId="6A7FF3C9"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64" w:history="1">
        <w:r w:rsidRPr="007B67EE">
          <w:rPr>
            <w:rStyle w:val="Hyperlink"/>
          </w:rPr>
          <w:t>Purposeful stakeholder engagement</w:t>
        </w:r>
        <w:r>
          <w:rPr>
            <w:webHidden/>
          </w:rPr>
          <w:tab/>
        </w:r>
        <w:r>
          <w:rPr>
            <w:webHidden/>
          </w:rPr>
          <w:fldChar w:fldCharType="begin"/>
        </w:r>
        <w:r>
          <w:rPr>
            <w:webHidden/>
          </w:rPr>
          <w:instrText xml:space="preserve"> PAGEREF _Toc220068364 \h </w:instrText>
        </w:r>
        <w:r>
          <w:rPr>
            <w:webHidden/>
          </w:rPr>
        </w:r>
        <w:r>
          <w:rPr>
            <w:webHidden/>
          </w:rPr>
          <w:fldChar w:fldCharType="separate"/>
        </w:r>
        <w:r w:rsidR="00F11108">
          <w:rPr>
            <w:webHidden/>
          </w:rPr>
          <w:t>9</w:t>
        </w:r>
        <w:r>
          <w:rPr>
            <w:webHidden/>
          </w:rPr>
          <w:fldChar w:fldCharType="end"/>
        </w:r>
      </w:hyperlink>
    </w:p>
    <w:p w14:paraId="59B79724" w14:textId="3E3CD829"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65" w:history="1">
        <w:r w:rsidRPr="007B67EE">
          <w:rPr>
            <w:rStyle w:val="Hyperlink"/>
          </w:rPr>
          <w:t>How the Regulator is helping you</w:t>
        </w:r>
        <w:r>
          <w:rPr>
            <w:webHidden/>
          </w:rPr>
          <w:tab/>
        </w:r>
        <w:r>
          <w:rPr>
            <w:webHidden/>
          </w:rPr>
          <w:fldChar w:fldCharType="begin"/>
        </w:r>
        <w:r>
          <w:rPr>
            <w:webHidden/>
          </w:rPr>
          <w:instrText xml:space="preserve"> PAGEREF _Toc220068365 \h </w:instrText>
        </w:r>
        <w:r>
          <w:rPr>
            <w:webHidden/>
          </w:rPr>
        </w:r>
        <w:r>
          <w:rPr>
            <w:webHidden/>
          </w:rPr>
          <w:fldChar w:fldCharType="separate"/>
        </w:r>
        <w:r w:rsidR="00F11108">
          <w:rPr>
            <w:webHidden/>
          </w:rPr>
          <w:t>11</w:t>
        </w:r>
        <w:r>
          <w:rPr>
            <w:webHidden/>
          </w:rPr>
          <w:fldChar w:fldCharType="end"/>
        </w:r>
      </w:hyperlink>
    </w:p>
    <w:p w14:paraId="732E2AA0" w14:textId="3417DAEF"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66" w:history="1">
        <w:r w:rsidRPr="007B67EE">
          <w:rPr>
            <w:rStyle w:val="Hyperlink"/>
          </w:rPr>
          <w:t>Regulator’s forward engagement program</w:t>
        </w:r>
        <w:r>
          <w:rPr>
            <w:webHidden/>
          </w:rPr>
          <w:tab/>
        </w:r>
        <w:r>
          <w:rPr>
            <w:webHidden/>
          </w:rPr>
          <w:fldChar w:fldCharType="begin"/>
        </w:r>
        <w:r>
          <w:rPr>
            <w:webHidden/>
          </w:rPr>
          <w:instrText xml:space="preserve"> PAGEREF _Toc220068366 \h </w:instrText>
        </w:r>
        <w:r>
          <w:rPr>
            <w:webHidden/>
          </w:rPr>
        </w:r>
        <w:r>
          <w:rPr>
            <w:webHidden/>
          </w:rPr>
          <w:fldChar w:fldCharType="separate"/>
        </w:r>
        <w:r w:rsidR="00F11108">
          <w:rPr>
            <w:webHidden/>
          </w:rPr>
          <w:t>13</w:t>
        </w:r>
        <w:r>
          <w:rPr>
            <w:webHidden/>
          </w:rPr>
          <w:fldChar w:fldCharType="end"/>
        </w:r>
      </w:hyperlink>
    </w:p>
    <w:p w14:paraId="4D262134" w14:textId="5E79EEE5" w:rsidR="00EB6749" w:rsidRDefault="00EB6749">
      <w:pPr>
        <w:pStyle w:val="TOC1"/>
        <w:rPr>
          <w:rFonts w:asciiTheme="minorHAnsi" w:eastAsiaTheme="minorEastAsia" w:hAnsiTheme="minorHAnsi"/>
          <w:b w:val="0"/>
          <w:color w:val="auto"/>
          <w:kern w:val="2"/>
          <w:sz w:val="24"/>
          <w:szCs w:val="24"/>
          <w:lang w:eastAsia="en-AU"/>
          <w14:ligatures w14:val="standardContextual"/>
        </w:rPr>
      </w:pPr>
      <w:hyperlink w:anchor="_Toc220068367" w:history="1">
        <w:r w:rsidRPr="007B67EE">
          <w:rPr>
            <w:rStyle w:val="Hyperlink"/>
          </w:rPr>
          <w:t>Research and intelligence</w:t>
        </w:r>
        <w:r>
          <w:rPr>
            <w:webHidden/>
          </w:rPr>
          <w:tab/>
        </w:r>
        <w:r>
          <w:rPr>
            <w:webHidden/>
          </w:rPr>
          <w:fldChar w:fldCharType="begin"/>
        </w:r>
        <w:r>
          <w:rPr>
            <w:webHidden/>
          </w:rPr>
          <w:instrText xml:space="preserve"> PAGEREF _Toc220068367 \h </w:instrText>
        </w:r>
        <w:r>
          <w:rPr>
            <w:webHidden/>
          </w:rPr>
        </w:r>
        <w:r>
          <w:rPr>
            <w:webHidden/>
          </w:rPr>
          <w:fldChar w:fldCharType="separate"/>
        </w:r>
        <w:r w:rsidR="00F11108">
          <w:rPr>
            <w:webHidden/>
          </w:rPr>
          <w:t>14</w:t>
        </w:r>
        <w:r>
          <w:rPr>
            <w:webHidden/>
          </w:rPr>
          <w:fldChar w:fldCharType="end"/>
        </w:r>
      </w:hyperlink>
    </w:p>
    <w:p w14:paraId="4AD4A314" w14:textId="3F6F084E"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68" w:history="1">
        <w:r w:rsidRPr="007B67EE">
          <w:rPr>
            <w:rStyle w:val="Hyperlink"/>
          </w:rPr>
          <w:t>Key payment times reporting measures</w:t>
        </w:r>
        <w:r>
          <w:rPr>
            <w:webHidden/>
          </w:rPr>
          <w:tab/>
        </w:r>
        <w:r>
          <w:rPr>
            <w:webHidden/>
          </w:rPr>
          <w:fldChar w:fldCharType="begin"/>
        </w:r>
        <w:r>
          <w:rPr>
            <w:webHidden/>
          </w:rPr>
          <w:instrText xml:space="preserve"> PAGEREF _Toc220068368 \h </w:instrText>
        </w:r>
        <w:r>
          <w:rPr>
            <w:webHidden/>
          </w:rPr>
        </w:r>
        <w:r>
          <w:rPr>
            <w:webHidden/>
          </w:rPr>
          <w:fldChar w:fldCharType="separate"/>
        </w:r>
        <w:r w:rsidR="00F11108">
          <w:rPr>
            <w:webHidden/>
          </w:rPr>
          <w:t>15</w:t>
        </w:r>
        <w:r>
          <w:rPr>
            <w:webHidden/>
          </w:rPr>
          <w:fldChar w:fldCharType="end"/>
        </w:r>
      </w:hyperlink>
    </w:p>
    <w:p w14:paraId="5A811247" w14:textId="541C5636"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69" w:history="1">
        <w:r w:rsidRPr="007B67EE">
          <w:rPr>
            <w:rStyle w:val="Hyperlink"/>
          </w:rPr>
          <w:t>Data snapshot</w:t>
        </w:r>
        <w:r>
          <w:rPr>
            <w:webHidden/>
          </w:rPr>
          <w:tab/>
        </w:r>
        <w:r>
          <w:rPr>
            <w:webHidden/>
          </w:rPr>
          <w:fldChar w:fldCharType="begin"/>
        </w:r>
        <w:r>
          <w:rPr>
            <w:webHidden/>
          </w:rPr>
          <w:instrText xml:space="preserve"> PAGEREF _Toc220068369 \h </w:instrText>
        </w:r>
        <w:r>
          <w:rPr>
            <w:webHidden/>
          </w:rPr>
        </w:r>
        <w:r>
          <w:rPr>
            <w:webHidden/>
          </w:rPr>
          <w:fldChar w:fldCharType="separate"/>
        </w:r>
        <w:r w:rsidR="00F11108">
          <w:rPr>
            <w:webHidden/>
          </w:rPr>
          <w:t>17</w:t>
        </w:r>
        <w:r>
          <w:rPr>
            <w:webHidden/>
          </w:rPr>
          <w:fldChar w:fldCharType="end"/>
        </w:r>
      </w:hyperlink>
    </w:p>
    <w:p w14:paraId="24A709BB" w14:textId="2F935247"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0" w:history="1">
        <w:r w:rsidRPr="007B67EE">
          <w:rPr>
            <w:rStyle w:val="Hyperlink"/>
          </w:rPr>
          <w:t>Data insights</w:t>
        </w:r>
        <w:r>
          <w:rPr>
            <w:webHidden/>
          </w:rPr>
          <w:tab/>
        </w:r>
        <w:r>
          <w:rPr>
            <w:webHidden/>
          </w:rPr>
          <w:fldChar w:fldCharType="begin"/>
        </w:r>
        <w:r>
          <w:rPr>
            <w:webHidden/>
          </w:rPr>
          <w:instrText xml:space="preserve"> PAGEREF _Toc220068370 \h </w:instrText>
        </w:r>
        <w:r>
          <w:rPr>
            <w:webHidden/>
          </w:rPr>
        </w:r>
        <w:r>
          <w:rPr>
            <w:webHidden/>
          </w:rPr>
          <w:fldChar w:fldCharType="separate"/>
        </w:r>
        <w:r w:rsidR="00F11108">
          <w:rPr>
            <w:webHidden/>
          </w:rPr>
          <w:t>18</w:t>
        </w:r>
        <w:r>
          <w:rPr>
            <w:webHidden/>
          </w:rPr>
          <w:fldChar w:fldCharType="end"/>
        </w:r>
      </w:hyperlink>
    </w:p>
    <w:p w14:paraId="372D1FE7" w14:textId="3965BB10"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1" w:history="1">
        <w:r w:rsidRPr="007B67EE">
          <w:rPr>
            <w:rStyle w:val="Hyperlink"/>
          </w:rPr>
          <w:t>Industry insights</w:t>
        </w:r>
        <w:r>
          <w:rPr>
            <w:webHidden/>
          </w:rPr>
          <w:tab/>
        </w:r>
        <w:r>
          <w:rPr>
            <w:webHidden/>
          </w:rPr>
          <w:fldChar w:fldCharType="begin"/>
        </w:r>
        <w:r>
          <w:rPr>
            <w:webHidden/>
          </w:rPr>
          <w:instrText xml:space="preserve"> PAGEREF _Toc220068371 \h </w:instrText>
        </w:r>
        <w:r>
          <w:rPr>
            <w:webHidden/>
          </w:rPr>
        </w:r>
        <w:r>
          <w:rPr>
            <w:webHidden/>
          </w:rPr>
          <w:fldChar w:fldCharType="separate"/>
        </w:r>
        <w:r w:rsidR="00F11108">
          <w:rPr>
            <w:webHidden/>
          </w:rPr>
          <w:t>27</w:t>
        </w:r>
        <w:r>
          <w:rPr>
            <w:webHidden/>
          </w:rPr>
          <w:fldChar w:fldCharType="end"/>
        </w:r>
      </w:hyperlink>
    </w:p>
    <w:p w14:paraId="592DBA02" w14:textId="61522CDC"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2" w:history="1">
        <w:r w:rsidRPr="007B67EE">
          <w:rPr>
            <w:rStyle w:val="Hyperlink"/>
          </w:rPr>
          <w:t>Industry focus</w:t>
        </w:r>
        <w:r>
          <w:rPr>
            <w:webHidden/>
          </w:rPr>
          <w:tab/>
        </w:r>
        <w:r>
          <w:rPr>
            <w:webHidden/>
          </w:rPr>
          <w:fldChar w:fldCharType="begin"/>
        </w:r>
        <w:r>
          <w:rPr>
            <w:webHidden/>
          </w:rPr>
          <w:instrText xml:space="preserve"> PAGEREF _Toc220068372 \h </w:instrText>
        </w:r>
        <w:r>
          <w:rPr>
            <w:webHidden/>
          </w:rPr>
        </w:r>
        <w:r>
          <w:rPr>
            <w:webHidden/>
          </w:rPr>
          <w:fldChar w:fldCharType="separate"/>
        </w:r>
        <w:r w:rsidR="00F11108">
          <w:rPr>
            <w:webHidden/>
          </w:rPr>
          <w:t>31</w:t>
        </w:r>
        <w:r>
          <w:rPr>
            <w:webHidden/>
          </w:rPr>
          <w:fldChar w:fldCharType="end"/>
        </w:r>
      </w:hyperlink>
    </w:p>
    <w:p w14:paraId="4A45B771" w14:textId="31C9AD03"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3" w:history="1">
        <w:r w:rsidRPr="007B67EE">
          <w:rPr>
            <w:rStyle w:val="Hyperlink"/>
          </w:rPr>
          <w:t>Commonwealth procurement</w:t>
        </w:r>
        <w:r>
          <w:rPr>
            <w:webHidden/>
          </w:rPr>
          <w:tab/>
        </w:r>
        <w:r>
          <w:rPr>
            <w:webHidden/>
          </w:rPr>
          <w:fldChar w:fldCharType="begin"/>
        </w:r>
        <w:r>
          <w:rPr>
            <w:webHidden/>
          </w:rPr>
          <w:instrText xml:space="preserve"> PAGEREF _Toc220068373 \h </w:instrText>
        </w:r>
        <w:r>
          <w:rPr>
            <w:webHidden/>
          </w:rPr>
        </w:r>
        <w:r>
          <w:rPr>
            <w:webHidden/>
          </w:rPr>
          <w:fldChar w:fldCharType="separate"/>
        </w:r>
        <w:r w:rsidR="00F11108">
          <w:rPr>
            <w:webHidden/>
          </w:rPr>
          <w:t>34</w:t>
        </w:r>
        <w:r>
          <w:rPr>
            <w:webHidden/>
          </w:rPr>
          <w:fldChar w:fldCharType="end"/>
        </w:r>
      </w:hyperlink>
    </w:p>
    <w:p w14:paraId="6F9B4649" w14:textId="73541BB0" w:rsidR="00EB6749" w:rsidRDefault="00EB6749">
      <w:pPr>
        <w:pStyle w:val="TOC1"/>
        <w:rPr>
          <w:rFonts w:asciiTheme="minorHAnsi" w:eastAsiaTheme="minorEastAsia" w:hAnsiTheme="minorHAnsi"/>
          <w:b w:val="0"/>
          <w:color w:val="auto"/>
          <w:kern w:val="2"/>
          <w:sz w:val="24"/>
          <w:szCs w:val="24"/>
          <w:lang w:eastAsia="en-AU"/>
          <w14:ligatures w14:val="standardContextual"/>
        </w:rPr>
      </w:pPr>
      <w:hyperlink w:anchor="_Toc220068374" w:history="1">
        <w:r w:rsidRPr="007B67EE">
          <w:rPr>
            <w:rStyle w:val="Hyperlink"/>
          </w:rPr>
          <w:t>Compliance and enforcement</w:t>
        </w:r>
        <w:r>
          <w:rPr>
            <w:webHidden/>
          </w:rPr>
          <w:tab/>
        </w:r>
        <w:r>
          <w:rPr>
            <w:webHidden/>
          </w:rPr>
          <w:fldChar w:fldCharType="begin"/>
        </w:r>
        <w:r>
          <w:rPr>
            <w:webHidden/>
          </w:rPr>
          <w:instrText xml:space="preserve"> PAGEREF _Toc220068374 \h </w:instrText>
        </w:r>
        <w:r>
          <w:rPr>
            <w:webHidden/>
          </w:rPr>
        </w:r>
        <w:r>
          <w:rPr>
            <w:webHidden/>
          </w:rPr>
          <w:fldChar w:fldCharType="separate"/>
        </w:r>
        <w:r w:rsidR="00F11108">
          <w:rPr>
            <w:webHidden/>
          </w:rPr>
          <w:t>35</w:t>
        </w:r>
        <w:r>
          <w:rPr>
            <w:webHidden/>
          </w:rPr>
          <w:fldChar w:fldCharType="end"/>
        </w:r>
      </w:hyperlink>
    </w:p>
    <w:p w14:paraId="32E44F5D" w14:textId="18A42055"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5" w:history="1">
        <w:r w:rsidRPr="007B67EE">
          <w:rPr>
            <w:rStyle w:val="Hyperlink"/>
          </w:rPr>
          <w:t>Compliance and enforcement update</w:t>
        </w:r>
        <w:r>
          <w:rPr>
            <w:webHidden/>
          </w:rPr>
          <w:tab/>
        </w:r>
        <w:r>
          <w:rPr>
            <w:webHidden/>
          </w:rPr>
          <w:fldChar w:fldCharType="begin"/>
        </w:r>
        <w:r>
          <w:rPr>
            <w:webHidden/>
          </w:rPr>
          <w:instrText xml:space="preserve"> PAGEREF _Toc220068375 \h </w:instrText>
        </w:r>
        <w:r>
          <w:rPr>
            <w:webHidden/>
          </w:rPr>
        </w:r>
        <w:r>
          <w:rPr>
            <w:webHidden/>
          </w:rPr>
          <w:fldChar w:fldCharType="separate"/>
        </w:r>
        <w:r w:rsidR="00F11108">
          <w:rPr>
            <w:webHidden/>
          </w:rPr>
          <w:t>36</w:t>
        </w:r>
        <w:r>
          <w:rPr>
            <w:webHidden/>
          </w:rPr>
          <w:fldChar w:fldCharType="end"/>
        </w:r>
      </w:hyperlink>
    </w:p>
    <w:p w14:paraId="7BC56B8A" w14:textId="1DAC0DC9"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6" w:history="1">
        <w:r w:rsidRPr="007B67EE">
          <w:rPr>
            <w:rStyle w:val="Hyperlink"/>
          </w:rPr>
          <w:t>Fast small business payer</w:t>
        </w:r>
        <w:r>
          <w:rPr>
            <w:webHidden/>
          </w:rPr>
          <w:tab/>
        </w:r>
        <w:r>
          <w:rPr>
            <w:webHidden/>
          </w:rPr>
          <w:fldChar w:fldCharType="begin"/>
        </w:r>
        <w:r>
          <w:rPr>
            <w:webHidden/>
          </w:rPr>
          <w:instrText xml:space="preserve"> PAGEREF _Toc220068376 \h </w:instrText>
        </w:r>
        <w:r>
          <w:rPr>
            <w:webHidden/>
          </w:rPr>
        </w:r>
        <w:r>
          <w:rPr>
            <w:webHidden/>
          </w:rPr>
          <w:fldChar w:fldCharType="separate"/>
        </w:r>
        <w:r w:rsidR="00F11108">
          <w:rPr>
            <w:webHidden/>
          </w:rPr>
          <w:t>40</w:t>
        </w:r>
        <w:r>
          <w:rPr>
            <w:webHidden/>
          </w:rPr>
          <w:fldChar w:fldCharType="end"/>
        </w:r>
      </w:hyperlink>
    </w:p>
    <w:p w14:paraId="5FBB7548" w14:textId="5C74B72F"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7" w:history="1">
        <w:r w:rsidRPr="007B67EE">
          <w:rPr>
            <w:rStyle w:val="Hyperlink"/>
          </w:rPr>
          <w:t>Slow small business payer</w:t>
        </w:r>
        <w:r>
          <w:rPr>
            <w:webHidden/>
          </w:rPr>
          <w:tab/>
        </w:r>
        <w:r>
          <w:rPr>
            <w:webHidden/>
          </w:rPr>
          <w:fldChar w:fldCharType="begin"/>
        </w:r>
        <w:r>
          <w:rPr>
            <w:webHidden/>
          </w:rPr>
          <w:instrText xml:space="preserve"> PAGEREF _Toc220068377 \h </w:instrText>
        </w:r>
        <w:r>
          <w:rPr>
            <w:webHidden/>
          </w:rPr>
        </w:r>
        <w:r>
          <w:rPr>
            <w:webHidden/>
          </w:rPr>
          <w:fldChar w:fldCharType="separate"/>
        </w:r>
        <w:r w:rsidR="00F11108">
          <w:rPr>
            <w:webHidden/>
          </w:rPr>
          <w:t>42</w:t>
        </w:r>
        <w:r>
          <w:rPr>
            <w:webHidden/>
          </w:rPr>
          <w:fldChar w:fldCharType="end"/>
        </w:r>
      </w:hyperlink>
    </w:p>
    <w:p w14:paraId="358F3794" w14:textId="315C618B"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8" w:history="1">
        <w:r w:rsidRPr="007B67EE">
          <w:rPr>
            <w:rStyle w:val="Hyperlink"/>
          </w:rPr>
          <w:t>Small Business Identification (SBI) Tool</w:t>
        </w:r>
        <w:r>
          <w:rPr>
            <w:webHidden/>
          </w:rPr>
          <w:tab/>
        </w:r>
        <w:r>
          <w:rPr>
            <w:webHidden/>
          </w:rPr>
          <w:fldChar w:fldCharType="begin"/>
        </w:r>
        <w:r>
          <w:rPr>
            <w:webHidden/>
          </w:rPr>
          <w:instrText xml:space="preserve"> PAGEREF _Toc220068378 \h </w:instrText>
        </w:r>
        <w:r>
          <w:rPr>
            <w:webHidden/>
          </w:rPr>
        </w:r>
        <w:r>
          <w:rPr>
            <w:webHidden/>
          </w:rPr>
          <w:fldChar w:fldCharType="separate"/>
        </w:r>
        <w:r w:rsidR="00F11108">
          <w:rPr>
            <w:webHidden/>
          </w:rPr>
          <w:t>44</w:t>
        </w:r>
        <w:r>
          <w:rPr>
            <w:webHidden/>
          </w:rPr>
          <w:fldChar w:fldCharType="end"/>
        </w:r>
      </w:hyperlink>
    </w:p>
    <w:p w14:paraId="5253FC3C" w14:textId="47B9F1A9"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79" w:history="1">
        <w:r w:rsidRPr="007B67EE">
          <w:rPr>
            <w:rStyle w:val="Hyperlink"/>
          </w:rPr>
          <w:t>Applications</w:t>
        </w:r>
        <w:r>
          <w:rPr>
            <w:webHidden/>
          </w:rPr>
          <w:tab/>
        </w:r>
        <w:r>
          <w:rPr>
            <w:webHidden/>
          </w:rPr>
          <w:fldChar w:fldCharType="begin"/>
        </w:r>
        <w:r>
          <w:rPr>
            <w:webHidden/>
          </w:rPr>
          <w:instrText xml:space="preserve"> PAGEREF _Toc220068379 \h </w:instrText>
        </w:r>
        <w:r>
          <w:rPr>
            <w:webHidden/>
          </w:rPr>
        </w:r>
        <w:r>
          <w:rPr>
            <w:webHidden/>
          </w:rPr>
          <w:fldChar w:fldCharType="separate"/>
        </w:r>
        <w:r w:rsidR="00F11108">
          <w:rPr>
            <w:webHidden/>
          </w:rPr>
          <w:t>46</w:t>
        </w:r>
        <w:r>
          <w:rPr>
            <w:webHidden/>
          </w:rPr>
          <w:fldChar w:fldCharType="end"/>
        </w:r>
      </w:hyperlink>
    </w:p>
    <w:p w14:paraId="7B0070F8" w14:textId="07CCF5A6"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80" w:history="1">
        <w:r w:rsidRPr="007B67EE">
          <w:rPr>
            <w:rStyle w:val="Hyperlink"/>
          </w:rPr>
          <w:t>Tips to avoid common errors</w:t>
        </w:r>
        <w:r>
          <w:rPr>
            <w:webHidden/>
          </w:rPr>
          <w:tab/>
        </w:r>
        <w:r>
          <w:rPr>
            <w:webHidden/>
          </w:rPr>
          <w:fldChar w:fldCharType="begin"/>
        </w:r>
        <w:r>
          <w:rPr>
            <w:webHidden/>
          </w:rPr>
          <w:instrText xml:space="preserve"> PAGEREF _Toc220068380 \h </w:instrText>
        </w:r>
        <w:r>
          <w:rPr>
            <w:webHidden/>
          </w:rPr>
        </w:r>
        <w:r>
          <w:rPr>
            <w:webHidden/>
          </w:rPr>
          <w:fldChar w:fldCharType="separate"/>
        </w:r>
        <w:r w:rsidR="00F11108">
          <w:rPr>
            <w:webHidden/>
          </w:rPr>
          <w:t>47</w:t>
        </w:r>
        <w:r>
          <w:rPr>
            <w:webHidden/>
          </w:rPr>
          <w:fldChar w:fldCharType="end"/>
        </w:r>
      </w:hyperlink>
    </w:p>
    <w:p w14:paraId="5AFADEDE" w14:textId="45FADF24"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81" w:history="1">
        <w:r w:rsidRPr="007B67EE">
          <w:rPr>
            <w:rStyle w:val="Hyperlink"/>
          </w:rPr>
          <w:t>Appendix A – Insights: methodology and assumptions</w:t>
        </w:r>
        <w:r>
          <w:rPr>
            <w:webHidden/>
          </w:rPr>
          <w:tab/>
        </w:r>
        <w:r>
          <w:rPr>
            <w:webHidden/>
          </w:rPr>
          <w:fldChar w:fldCharType="begin"/>
        </w:r>
        <w:r>
          <w:rPr>
            <w:webHidden/>
          </w:rPr>
          <w:instrText xml:space="preserve"> PAGEREF _Toc220068381 \h </w:instrText>
        </w:r>
        <w:r>
          <w:rPr>
            <w:webHidden/>
          </w:rPr>
        </w:r>
        <w:r>
          <w:rPr>
            <w:webHidden/>
          </w:rPr>
          <w:fldChar w:fldCharType="separate"/>
        </w:r>
        <w:r w:rsidR="00F11108">
          <w:rPr>
            <w:webHidden/>
          </w:rPr>
          <w:t>52</w:t>
        </w:r>
        <w:r>
          <w:rPr>
            <w:webHidden/>
          </w:rPr>
          <w:fldChar w:fldCharType="end"/>
        </w:r>
      </w:hyperlink>
    </w:p>
    <w:p w14:paraId="6544BF64" w14:textId="2F5BA926" w:rsidR="00EB6749" w:rsidRDefault="00EB6749">
      <w:pPr>
        <w:pStyle w:val="TOC2"/>
        <w:rPr>
          <w:rFonts w:asciiTheme="minorHAnsi" w:eastAsiaTheme="minorEastAsia" w:hAnsiTheme="minorHAnsi"/>
          <w:color w:val="auto"/>
          <w:kern w:val="2"/>
          <w:sz w:val="24"/>
          <w:szCs w:val="24"/>
          <w:lang w:eastAsia="en-AU"/>
          <w14:ligatures w14:val="standardContextual"/>
        </w:rPr>
      </w:pPr>
      <w:hyperlink w:anchor="_Toc220068382" w:history="1">
        <w:r w:rsidRPr="007B67EE">
          <w:rPr>
            <w:rStyle w:val="Hyperlink"/>
          </w:rPr>
          <w:t>Appendix B – Data tables</w:t>
        </w:r>
        <w:r>
          <w:rPr>
            <w:webHidden/>
          </w:rPr>
          <w:tab/>
        </w:r>
        <w:r>
          <w:rPr>
            <w:webHidden/>
          </w:rPr>
          <w:fldChar w:fldCharType="begin"/>
        </w:r>
        <w:r>
          <w:rPr>
            <w:webHidden/>
          </w:rPr>
          <w:instrText xml:space="preserve"> PAGEREF _Toc220068382 \h </w:instrText>
        </w:r>
        <w:r>
          <w:rPr>
            <w:webHidden/>
          </w:rPr>
        </w:r>
        <w:r>
          <w:rPr>
            <w:webHidden/>
          </w:rPr>
          <w:fldChar w:fldCharType="separate"/>
        </w:r>
        <w:r w:rsidR="00F11108">
          <w:rPr>
            <w:webHidden/>
          </w:rPr>
          <w:t>54</w:t>
        </w:r>
        <w:r>
          <w:rPr>
            <w:webHidden/>
          </w:rPr>
          <w:fldChar w:fldCharType="end"/>
        </w:r>
      </w:hyperlink>
    </w:p>
    <w:p w14:paraId="7ABFB5C2" w14:textId="196F49E1" w:rsidR="00073079" w:rsidRPr="002F5F97" w:rsidRDefault="00AE3256" w:rsidP="001F5FF9">
      <w:pPr>
        <w:pStyle w:val="SingleParagraph"/>
        <w:ind w:right="-2"/>
        <w:sectPr w:rsidR="00073079" w:rsidRPr="002F5F97" w:rsidSect="00210484">
          <w:type w:val="oddPage"/>
          <w:pgSz w:w="11906" w:h="16838" w:code="9"/>
          <w:pgMar w:top="1418" w:right="1701" w:bottom="1418" w:left="1701" w:header="709" w:footer="709" w:gutter="0"/>
          <w:pgNumType w:fmt="lowerRoman" w:start="1"/>
          <w:cols w:space="708"/>
          <w:docGrid w:linePitch="360"/>
        </w:sectPr>
      </w:pPr>
      <w:r>
        <w:rPr>
          <w:b/>
          <w:color w:val="2C384A" w:themeColor="accent6"/>
        </w:rPr>
        <w:fldChar w:fldCharType="end"/>
      </w:r>
    </w:p>
    <w:p w14:paraId="0BD63874" w14:textId="4C3EBD92" w:rsidR="00B10A0E" w:rsidRPr="002F5F97" w:rsidRDefault="00B10A0E" w:rsidP="00BC10E7">
      <w:pPr>
        <w:pStyle w:val="Heading1"/>
      </w:pPr>
      <w:bookmarkStart w:id="4" w:name="_Toc220068361"/>
      <w:bookmarkEnd w:id="2"/>
      <w:bookmarkEnd w:id="3"/>
      <w:r w:rsidRPr="002F5F97">
        <w:lastRenderedPageBreak/>
        <w:t>Letter from the Regulator</w:t>
      </w:r>
      <w:bookmarkEnd w:id="4"/>
    </w:p>
    <w:p w14:paraId="55D44381" w14:textId="79FE2122" w:rsidR="003D40C7" w:rsidRPr="002F5F97" w:rsidRDefault="00C21858" w:rsidP="00FF264D">
      <w:r w:rsidRPr="002F5F97">
        <w:rPr>
          <w:noProof/>
        </w:rPr>
        <w:drawing>
          <wp:anchor distT="0" distB="25400" distL="114300" distR="114300" simplePos="0" relativeHeight="251658241" behindDoc="0" locked="0" layoutInCell="1" allowOverlap="1" wp14:anchorId="63E48170" wp14:editId="5CD8F534">
            <wp:simplePos x="0" y="0"/>
            <wp:positionH relativeFrom="column">
              <wp:posOffset>53340</wp:posOffset>
            </wp:positionH>
            <wp:positionV relativeFrom="paragraph">
              <wp:posOffset>32385</wp:posOffset>
            </wp:positionV>
            <wp:extent cx="1494000" cy="1800000"/>
            <wp:effectExtent l="0" t="0" r="0" b="0"/>
            <wp:wrapSquare wrapText="bothSides"/>
            <wp:docPr id="50351516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15168" name="drawing">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4000" cy="1800000"/>
                    </a:xfrm>
                    <a:prstGeom prst="rect">
                      <a:avLst/>
                    </a:prstGeom>
                  </pic:spPr>
                </pic:pic>
              </a:graphicData>
            </a:graphic>
            <wp14:sizeRelH relativeFrom="margin">
              <wp14:pctWidth>0</wp14:pctWidth>
            </wp14:sizeRelH>
            <wp14:sizeRelV relativeFrom="margin">
              <wp14:pctHeight>0</wp14:pctHeight>
            </wp14:sizeRelV>
          </wp:anchor>
        </w:drawing>
      </w:r>
      <w:r w:rsidR="00966608" w:rsidRPr="002F5F97">
        <w:t xml:space="preserve">It </w:t>
      </w:r>
      <w:r w:rsidR="003D40C7" w:rsidRPr="002F5F97">
        <w:t>gives me great pleasure to share with you the Regulator</w:t>
      </w:r>
      <w:r w:rsidR="005D0129">
        <w:t>’</w:t>
      </w:r>
      <w:r w:rsidR="003D40C7" w:rsidRPr="002F5F97">
        <w:t>s Update for January 2026.</w:t>
      </w:r>
    </w:p>
    <w:p w14:paraId="4B2E846E" w14:textId="5C9517F4" w:rsidR="003D40C7" w:rsidRPr="002F5F97" w:rsidRDefault="003D40C7" w:rsidP="00FF264D">
      <w:r w:rsidRPr="002F5F97">
        <w:t>Firstly, I acknowledge the Traditional Owners and Custodians of Country throughout Australia and recognise their continued</w:t>
      </w:r>
      <w:r w:rsidR="00427521">
        <w:t xml:space="preserve"> </w:t>
      </w:r>
      <w:r w:rsidRPr="002F5F97">
        <w:t>connection to the lands, waterways and skies. I pay my</w:t>
      </w:r>
      <w:r w:rsidR="00427521">
        <w:t xml:space="preserve"> </w:t>
      </w:r>
      <w:r w:rsidRPr="002F5F97">
        <w:t>respect to Elders past, present and emerging. In</w:t>
      </w:r>
      <w:r w:rsidR="00427521">
        <w:t> </w:t>
      </w:r>
      <w:r w:rsidRPr="002F5F97">
        <w:t>the</w:t>
      </w:r>
      <w:r w:rsidR="00427521">
        <w:t> </w:t>
      </w:r>
      <w:r w:rsidRPr="002F5F97">
        <w:t>spirit</w:t>
      </w:r>
      <w:r w:rsidR="00427521">
        <w:t> </w:t>
      </w:r>
      <w:r w:rsidRPr="002F5F97">
        <w:t>of</w:t>
      </w:r>
      <w:r w:rsidR="00427521">
        <w:t> </w:t>
      </w:r>
      <w:r w:rsidRPr="002F5F97">
        <w:t>reconciliation, I also extend my respect to</w:t>
      </w:r>
      <w:r w:rsidR="00427521">
        <w:t> </w:t>
      </w:r>
      <w:r w:rsidRPr="002F5F97">
        <w:t>all</w:t>
      </w:r>
      <w:r w:rsidR="00427521">
        <w:t> </w:t>
      </w:r>
      <w:r w:rsidRPr="002F5F97">
        <w:t>non</w:t>
      </w:r>
      <w:r w:rsidR="005D0129">
        <w:noBreakHyphen/>
      </w:r>
      <w:r w:rsidRPr="002F5F97">
        <w:t>Indigenous</w:t>
      </w:r>
      <w:r w:rsidR="00427521">
        <w:t> </w:t>
      </w:r>
      <w:r w:rsidRPr="002F5F97">
        <w:t>Australians.</w:t>
      </w:r>
    </w:p>
    <w:p w14:paraId="529B3E43" w14:textId="18A51F06" w:rsidR="003D40C7" w:rsidRPr="002F5F97" w:rsidRDefault="003D40C7" w:rsidP="00FF264D">
      <w:r w:rsidRPr="002F5F97">
        <w:t>Over the past year I have focused on implementing the Australian Government</w:t>
      </w:r>
      <w:r w:rsidR="005D0129">
        <w:t>’</w:t>
      </w:r>
      <w:r w:rsidRPr="002F5F97">
        <w:t>s reforms to the Payment Times Reporting Scheme</w:t>
      </w:r>
      <w:r w:rsidR="008466D4">
        <w:t xml:space="preserve"> (</w:t>
      </w:r>
      <w:r w:rsidR="004A0B20" w:rsidRPr="004A0B20">
        <w:rPr>
          <w:b/>
          <w:bCs/>
        </w:rPr>
        <w:t>the Scheme</w:t>
      </w:r>
      <w:r w:rsidR="004A0B20">
        <w:t>)</w:t>
      </w:r>
      <w:r w:rsidRPr="002F5F97">
        <w:t>. With these reforms now largely implemented, this Update provides an</w:t>
      </w:r>
      <w:r w:rsidR="00427521">
        <w:t> </w:t>
      </w:r>
      <w:r w:rsidRPr="002F5F97">
        <w:t>opportunity to report on our regulatory work, reflect on our achievements over the past year and outline my priorities for 2026.</w:t>
      </w:r>
    </w:p>
    <w:p w14:paraId="28B06310" w14:textId="1F51C987" w:rsidR="003D40C7" w:rsidRPr="002F5F97" w:rsidRDefault="003D40C7" w:rsidP="00FF264D">
      <w:r w:rsidRPr="002F5F97">
        <w:t>The Scheme is not just about compliance – it is about shaping a culture of fairness that benefits Australia</w:t>
      </w:r>
      <w:r w:rsidR="005D0129">
        <w:t>’</w:t>
      </w:r>
      <w:r w:rsidRPr="002F5F97">
        <w:t>s economy. Large businesses and Commonwealth entities have the power to set the standard and lead the way in fair payment practices for small businesses.</w:t>
      </w:r>
    </w:p>
    <w:p w14:paraId="11D524AC" w14:textId="32D674A6" w:rsidR="003D40C7" w:rsidRPr="002F5F97" w:rsidRDefault="003D40C7" w:rsidP="00FF264D">
      <w:r w:rsidRPr="002F5F97">
        <w:rPr>
          <w:b/>
        </w:rPr>
        <w:t>Commonwealth entities</w:t>
      </w:r>
      <w:r w:rsidRPr="002F5F97">
        <w:t xml:space="preserve"> are expected to play a leadership role in demonstrating timely payment practices and fostering a culture of prompt payment. </w:t>
      </w:r>
      <w:r w:rsidR="008C68B4">
        <w:t xml:space="preserve">Corporate </w:t>
      </w:r>
      <w:r w:rsidR="00634064" w:rsidRPr="002F5F97">
        <w:t>Commonwealth</w:t>
      </w:r>
      <w:r w:rsidRPr="002F5F97">
        <w:t xml:space="preserve"> </w:t>
      </w:r>
      <w:r w:rsidR="004D58AD">
        <w:t>entit</w:t>
      </w:r>
      <w:r w:rsidR="00C6333F">
        <w:t>ies</w:t>
      </w:r>
      <w:r w:rsidR="007571BA">
        <w:t xml:space="preserve"> </w:t>
      </w:r>
      <w:r w:rsidRPr="002F5F97">
        <w:t xml:space="preserve">and </w:t>
      </w:r>
      <w:r w:rsidR="009C4A64">
        <w:t>Commonwealth</w:t>
      </w:r>
      <w:r w:rsidRPr="002F5F97">
        <w:t xml:space="preserve"> companies have obligations under the Scheme and are not treated any differently </w:t>
      </w:r>
      <w:r w:rsidR="00567581" w:rsidRPr="002F5F97">
        <w:t>from</w:t>
      </w:r>
      <w:r w:rsidRPr="002F5F97">
        <w:t xml:space="preserve"> any other reporting entity. Recent analysis of reported data from these Commonwealth entities highlights areas of strong performance as well as opportunities for improvement, underscoring the importance of accountability across all sectors. As part of my escalating approach to compliance, I have written to several Commonwealth entities to remind them of their reporting obligations.</w:t>
      </w:r>
    </w:p>
    <w:p w14:paraId="38EC9561" w14:textId="5FAD986E" w:rsidR="003D40C7" w:rsidRPr="002F5F97" w:rsidRDefault="003D40C7" w:rsidP="00FF264D">
      <w:r w:rsidRPr="002F5F97">
        <w:t>The reforms introduced key reporting measures that offer deeper insight into the payment practices and behaviour of Australia</w:t>
      </w:r>
      <w:r w:rsidR="005D0129">
        <w:t>’</w:t>
      </w:r>
      <w:r w:rsidRPr="002F5F97">
        <w:t>s large businesses and certain Commonwealth entities. Of particular importance is the 9</w:t>
      </w:r>
      <w:r w:rsidR="00F6040A">
        <w:t xml:space="preserve">5th </w:t>
      </w:r>
      <w:r w:rsidRPr="002F5F97">
        <w:t>percentile payment time, which shows how long it takes for 95</w:t>
      </w:r>
      <w:r w:rsidR="000B2701">
        <w:t> </w:t>
      </w:r>
      <w:r w:rsidRPr="002F5F97">
        <w:t>per</w:t>
      </w:r>
      <w:r w:rsidR="000B2701">
        <w:t> </w:t>
      </w:r>
      <w:r w:rsidRPr="002F5F97">
        <w:t xml:space="preserve">cent of small business invoices to be paid – a key metric underpinning </w:t>
      </w:r>
      <w:r w:rsidR="00AB31FB">
        <w:t>the</w:t>
      </w:r>
      <w:r w:rsidRPr="002F5F97">
        <w:t xml:space="preserve"> recently introduced fast and slow small business payer incentives.</w:t>
      </w:r>
    </w:p>
    <w:p w14:paraId="672B7B3C" w14:textId="292FA927" w:rsidR="003D40C7" w:rsidRPr="002F5F97" w:rsidRDefault="003D40C7" w:rsidP="00FF264D">
      <w:r w:rsidRPr="002F5F97">
        <w:t xml:space="preserve">In this </w:t>
      </w:r>
      <w:r w:rsidR="00C437D2" w:rsidRPr="002F5F97">
        <w:t>U</w:t>
      </w:r>
      <w:r w:rsidRPr="002F5F97">
        <w:t>pdate we take a closer look at reported data for the 95</w:t>
      </w:r>
      <w:r w:rsidR="00B5608D">
        <w:t>th</w:t>
      </w:r>
      <w:r w:rsidR="00F6040A">
        <w:t xml:space="preserve"> </w:t>
      </w:r>
      <w:r w:rsidRPr="002F5F97">
        <w:t>percentile payment time measure and the implications for reporting entities. We look at how closely entities across industries are tracking for eligibility on the Fast Small Business Payer List, as well as those who may meet the definition of a Slow Small Business Payer.</w:t>
      </w:r>
    </w:p>
    <w:p w14:paraId="0A239434" w14:textId="77777777" w:rsidR="003D40C7" w:rsidRPr="002F5F97" w:rsidRDefault="003D40C7" w:rsidP="00FF264D">
      <w:r w:rsidRPr="002F5F97">
        <w:t xml:space="preserve">The </w:t>
      </w:r>
      <w:r w:rsidRPr="002F5F97">
        <w:rPr>
          <w:b/>
        </w:rPr>
        <w:t>Fast Small Business Payer List</w:t>
      </w:r>
      <w:r w:rsidRPr="002F5F97">
        <w:t xml:space="preserve"> is now available on the public interactive Payment Times Reports Register and is updated daily. I would like to take this opportunity to congratulate our first fast small business payers who are leading the way in delivering faster payments to small businesses. </w:t>
      </w:r>
    </w:p>
    <w:p w14:paraId="13A7050D" w14:textId="4B1F15FF" w:rsidR="00930317" w:rsidRDefault="003D40C7" w:rsidP="0043505B">
      <w:pPr>
        <w:rPr>
          <w:b/>
        </w:rPr>
      </w:pPr>
      <w:r w:rsidRPr="002F5F97">
        <w:t xml:space="preserve">As the Regulator, I remain committed to </w:t>
      </w:r>
      <w:r w:rsidR="00B2022F">
        <w:rPr>
          <w:b/>
          <w:bCs/>
        </w:rPr>
        <w:t>T</w:t>
      </w:r>
      <w:r w:rsidRPr="002F5F97">
        <w:rPr>
          <w:b/>
        </w:rPr>
        <w:t>ransparency</w:t>
      </w:r>
      <w:r w:rsidRPr="002F5F97">
        <w:t xml:space="preserve"> – transparency in how I administer the Scheme and what that means for reporting entities. Through updates to </w:t>
      </w:r>
      <w:r w:rsidRPr="002F5F97">
        <w:rPr>
          <w:b/>
        </w:rPr>
        <w:t>Information sheet 7 – Our regulatory powers</w:t>
      </w:r>
      <w:r w:rsidRPr="002F5F97">
        <w:t xml:space="preserve"> I have provided more clarity and transparency </w:t>
      </w:r>
      <w:r w:rsidR="0075665A" w:rsidRPr="002F5F97">
        <w:t>on</w:t>
      </w:r>
      <w:r w:rsidRPr="002F5F97">
        <w:t xml:space="preserve"> how our regulatory powers may be used. Following Reporting Cycle 9, updates were also made to </w:t>
      </w:r>
      <w:r w:rsidRPr="002F5F97">
        <w:rPr>
          <w:b/>
        </w:rPr>
        <w:t>Information sheet 6</w:t>
      </w:r>
      <w:r w:rsidR="005D0129">
        <w:rPr>
          <w:b/>
        </w:rPr>
        <w:t xml:space="preserve"> – </w:t>
      </w:r>
      <w:r w:rsidRPr="002F5F97">
        <w:rPr>
          <w:b/>
        </w:rPr>
        <w:t xml:space="preserve">Small Business Identification </w:t>
      </w:r>
      <w:r w:rsidR="00EC5368" w:rsidRPr="002F5F97">
        <w:rPr>
          <w:b/>
        </w:rPr>
        <w:t>(SBI</w:t>
      </w:r>
      <w:r w:rsidR="00EC5368">
        <w:rPr>
          <w:b/>
        </w:rPr>
        <w:t>)</w:t>
      </w:r>
      <w:r w:rsidR="00EC5368" w:rsidRPr="002F5F97">
        <w:rPr>
          <w:b/>
        </w:rPr>
        <w:t xml:space="preserve"> Tool</w:t>
      </w:r>
      <w:r w:rsidRPr="002F5F97">
        <w:rPr>
          <w:b/>
        </w:rPr>
        <w:t>.</w:t>
      </w:r>
    </w:p>
    <w:p w14:paraId="6289A2C4" w14:textId="53BE6A8D" w:rsidR="001222DE" w:rsidRPr="002F5F97" w:rsidRDefault="003D40C7" w:rsidP="0043505B">
      <w:r w:rsidRPr="002F5F97">
        <w:lastRenderedPageBreak/>
        <w:t>These changes provide reporting entities with greater clarity</w:t>
      </w:r>
      <w:r w:rsidR="0043505B" w:rsidRPr="002F5F97">
        <w:t xml:space="preserve"> </w:t>
      </w:r>
      <w:r w:rsidR="001222DE" w:rsidRPr="002F5F97">
        <w:t xml:space="preserve">about when and how SBI </w:t>
      </w:r>
      <w:r w:rsidR="00B329D9" w:rsidRPr="002F5F97">
        <w:t>T</w:t>
      </w:r>
      <w:r w:rsidR="001222DE" w:rsidRPr="002F5F97">
        <w:t>ool data is updated, and the evidence required from reporting entities to support requests to update the data</w:t>
      </w:r>
      <w:r w:rsidR="00155540">
        <w:t>.</w:t>
      </w:r>
    </w:p>
    <w:p w14:paraId="55361AFC" w14:textId="72AD63EE" w:rsidR="001222DE" w:rsidRPr="002F5F97" w:rsidRDefault="001222DE" w:rsidP="0043505B">
      <w:r w:rsidRPr="002F5F97">
        <w:t>Transparency goes hand in hand with our escalating approach to compliance and enforcement. The team commenced work on my priorities for the 2025</w:t>
      </w:r>
      <w:r w:rsidR="000B2701">
        <w:t>–</w:t>
      </w:r>
      <w:r w:rsidRPr="002F5F97">
        <w:t xml:space="preserve">26 year by reaching out to entities and giving them an opportunity to explain their conduct before any enforcement action </w:t>
      </w:r>
      <w:r w:rsidR="00556189">
        <w:t>is</w:t>
      </w:r>
      <w:r w:rsidRPr="002F5F97">
        <w:t xml:space="preserve"> taken.</w:t>
      </w:r>
    </w:p>
    <w:p w14:paraId="17B610F6" w14:textId="6DFC8433" w:rsidR="001222DE" w:rsidRPr="002F5F97" w:rsidRDefault="001222DE" w:rsidP="0043505B">
      <w:r w:rsidRPr="002F5F97">
        <w:t>Following Reporting Cycle 9, I wrote to over 650</w:t>
      </w:r>
      <w:r w:rsidR="000B2701">
        <w:t> </w:t>
      </w:r>
      <w:r w:rsidRPr="002F5F97">
        <w:t xml:space="preserve">reporting entities, advising them they had been identified as slow small business payers and </w:t>
      </w:r>
      <w:r w:rsidR="00993C1C">
        <w:t>to give</w:t>
      </w:r>
      <w:r w:rsidRPr="002F5F97">
        <w:t xml:space="preserve"> them an opportunity </w:t>
      </w:r>
      <w:r w:rsidR="001A7CBA" w:rsidRPr="002F5F97">
        <w:t xml:space="preserve">to </w:t>
      </w:r>
      <w:r w:rsidRPr="002F5F97">
        <w:t xml:space="preserve">improve payment practices to help them avoid receiving a slow small business payer direction. </w:t>
      </w:r>
    </w:p>
    <w:p w14:paraId="3EB577EC" w14:textId="2AE40A65" w:rsidR="001222DE" w:rsidRPr="002F5F97" w:rsidRDefault="001222DE" w:rsidP="0043505B">
      <w:r w:rsidRPr="002F5F97">
        <w:t xml:space="preserve">During the same period, where I had reasonable grounds to believe that an entity had contravened a civil penalty provision of </w:t>
      </w:r>
      <w:r w:rsidR="0032670A">
        <w:t>the</w:t>
      </w:r>
      <w:r w:rsidRPr="002F5F97">
        <w:t xml:space="preserve"> </w:t>
      </w:r>
      <w:r w:rsidR="00D63F3D" w:rsidRPr="002F5F97">
        <w:rPr>
          <w:i/>
          <w:iCs/>
        </w:rPr>
        <w:t>Payment Times Reporting Act 2020</w:t>
      </w:r>
      <w:r w:rsidR="00D63F3D" w:rsidRPr="002F5F97">
        <w:t xml:space="preserve"> </w:t>
      </w:r>
      <w:r w:rsidR="00B833F2">
        <w:t>(</w:t>
      </w:r>
      <w:r w:rsidRPr="002F5F97">
        <w:t>the Act</w:t>
      </w:r>
      <w:r w:rsidR="00B833F2">
        <w:t>)</w:t>
      </w:r>
      <w:r w:rsidRPr="002F5F97">
        <w:t xml:space="preserve"> and it was within the relevant time period, I</w:t>
      </w:r>
      <w:r w:rsidR="00A92415">
        <w:t> </w:t>
      </w:r>
      <w:r w:rsidRPr="002F5F97">
        <w:t xml:space="preserve">exercised my powers </w:t>
      </w:r>
      <w:r w:rsidR="0099314B" w:rsidRPr="002F5F97">
        <w:t xml:space="preserve">to </w:t>
      </w:r>
      <w:r w:rsidRPr="002F5F97">
        <w:t>issu</w:t>
      </w:r>
      <w:r w:rsidR="0099314B" w:rsidRPr="002F5F97">
        <w:t>e</w:t>
      </w:r>
      <w:r w:rsidRPr="002F5F97">
        <w:t xml:space="preserve"> </w:t>
      </w:r>
      <w:r w:rsidRPr="0018417F">
        <w:rPr>
          <w:b/>
        </w:rPr>
        <w:t>infringement</w:t>
      </w:r>
      <w:r w:rsidRPr="002F5F97">
        <w:rPr>
          <w:b/>
        </w:rPr>
        <w:t xml:space="preserve"> notices</w:t>
      </w:r>
      <w:r w:rsidRPr="002F5F97">
        <w:t xml:space="preserve"> under the </w:t>
      </w:r>
      <w:r w:rsidRPr="002F5F97">
        <w:rPr>
          <w:i/>
        </w:rPr>
        <w:t>Regulatory Powers (Standard Provisions) Act 2014</w:t>
      </w:r>
      <w:r w:rsidRPr="002F5F97">
        <w:t>.</w:t>
      </w:r>
    </w:p>
    <w:p w14:paraId="52C6684F" w14:textId="7A0EE33E" w:rsidR="001222DE" w:rsidRPr="002F5F97" w:rsidRDefault="001222DE" w:rsidP="008F3541">
      <w:r w:rsidRPr="002F5F97">
        <w:t>In my capacity as</w:t>
      </w:r>
      <w:r w:rsidR="0018417F">
        <w:t xml:space="preserve"> an</w:t>
      </w:r>
      <w:r w:rsidRPr="002F5F97">
        <w:t xml:space="preserve"> Assistant Secretary in Treasury, I am responsible for the </w:t>
      </w:r>
      <w:r w:rsidRPr="002F5F97">
        <w:rPr>
          <w:b/>
          <w:bCs/>
        </w:rPr>
        <w:t>Payment Times Procurement Connected Policy</w:t>
      </w:r>
      <w:r w:rsidR="00070523">
        <w:rPr>
          <w:b/>
          <w:bCs/>
        </w:rPr>
        <w:t xml:space="preserve"> </w:t>
      </w:r>
      <w:r w:rsidR="00070523" w:rsidRPr="00070523">
        <w:t xml:space="preserve">(the </w:t>
      </w:r>
      <w:r w:rsidR="00070523" w:rsidRPr="0018417F">
        <w:rPr>
          <w:b/>
          <w:bCs/>
        </w:rPr>
        <w:t>Policy</w:t>
      </w:r>
      <w:r w:rsidR="00070523" w:rsidRPr="00070523">
        <w:t>)</w:t>
      </w:r>
      <w:r w:rsidRPr="00070523">
        <w:t>.</w:t>
      </w:r>
      <w:r w:rsidRPr="002F5F97">
        <w:t xml:space="preserve"> This Policy complements the Scheme by leveraging the Government</w:t>
      </w:r>
      <w:r w:rsidR="005D0129">
        <w:t>’</w:t>
      </w:r>
      <w:r w:rsidRPr="002F5F97">
        <w:t xml:space="preserve">s procurement to improve payment times for Australian small businesses in the supply chain of Commonwealth contracts. Under the </w:t>
      </w:r>
      <w:r w:rsidR="007003C8" w:rsidRPr="002F5F97">
        <w:t>P</w:t>
      </w:r>
      <w:r w:rsidRPr="002F5F97">
        <w:t xml:space="preserve">olicy, any reporting entity </w:t>
      </w:r>
      <w:r w:rsidRPr="008F3541">
        <w:t>awarded</w:t>
      </w:r>
      <w:r w:rsidRPr="002F5F97">
        <w:t xml:space="preserve"> a Commonwealth contract valued above $4</w:t>
      </w:r>
      <w:r w:rsidR="000B2701">
        <w:t> </w:t>
      </w:r>
      <w:r w:rsidRPr="002F5F97">
        <w:t>million must pay its subcontracts valued up to $</w:t>
      </w:r>
      <w:r w:rsidR="000B2701">
        <w:t>1 </w:t>
      </w:r>
      <w:r w:rsidRPr="002F5F97">
        <w:t>million within 20</w:t>
      </w:r>
      <w:r w:rsidR="000B2701">
        <w:t> </w:t>
      </w:r>
      <w:r w:rsidRPr="002F5F97">
        <w:t xml:space="preserve">calendar </w:t>
      </w:r>
      <w:r w:rsidRPr="002F5F97" w:rsidDel="00235792">
        <w:t>days</w:t>
      </w:r>
      <w:r w:rsidRPr="002F5F97">
        <w:t xml:space="preserve"> and pay interest on late payments. These same obligations are to be passed down to reporting entity subcontractors. Reporting entities must comply with the Policy.</w:t>
      </w:r>
    </w:p>
    <w:p w14:paraId="209C74CB" w14:textId="00D79520" w:rsidR="001222DE" w:rsidRPr="002F5F97" w:rsidRDefault="001222DE" w:rsidP="0043505B">
      <w:r w:rsidRPr="002F5F97">
        <w:t xml:space="preserve">I have commenced a review of the Policy in line with the Commonwealth Procurement Rules and associated guidance. As part of this review, my team will contact and survey reporting entities to assess compliance with the </w:t>
      </w:r>
      <w:r w:rsidR="00EA1C45" w:rsidRPr="002F5F97">
        <w:t>P</w:t>
      </w:r>
      <w:r w:rsidRPr="002F5F97">
        <w:t>olicy, evaluate its effectiveness, and determine whether it is achieving the Government</w:t>
      </w:r>
      <w:r w:rsidR="005D0129">
        <w:t>’</w:t>
      </w:r>
      <w:r w:rsidRPr="002F5F97">
        <w:t>s policy objectives.</w:t>
      </w:r>
    </w:p>
    <w:p w14:paraId="2D395E46" w14:textId="6A3A6454" w:rsidR="001222DE" w:rsidRPr="002F5F97" w:rsidRDefault="001222DE" w:rsidP="0043505B">
      <w:r w:rsidRPr="002F5F97">
        <w:t xml:space="preserve">I encourage you to attend the next </w:t>
      </w:r>
      <w:r w:rsidRPr="002F5F97">
        <w:rPr>
          <w:b/>
          <w:bCs/>
        </w:rPr>
        <w:t>Regulator</w:t>
      </w:r>
      <w:r w:rsidR="005D0129">
        <w:rPr>
          <w:b/>
          <w:bCs/>
        </w:rPr>
        <w:t>’</w:t>
      </w:r>
      <w:r w:rsidRPr="002F5F97">
        <w:rPr>
          <w:b/>
          <w:bCs/>
        </w:rPr>
        <w:t>s Stakeholder Liaison Forum</w:t>
      </w:r>
      <w:r w:rsidRPr="002F5F97">
        <w:t xml:space="preserve"> in mid</w:t>
      </w:r>
      <w:r w:rsidR="005D0129">
        <w:noBreakHyphen/>
      </w:r>
      <w:r w:rsidRPr="002F5F97">
        <w:t>March</w:t>
      </w:r>
      <w:r w:rsidRPr="002F5F97">
        <w:rPr>
          <w:rFonts w:ascii="Arial" w:hAnsi="Arial" w:cs="Arial"/>
        </w:rPr>
        <w:t> </w:t>
      </w:r>
      <w:r w:rsidRPr="002F5F97">
        <w:t>2026, where we will explore some of the insights and topics in this Update in more detail. I invite you to register your attendance for this online event via the paymenttimes.gov.au website.</w:t>
      </w:r>
      <w:r w:rsidRPr="002F5F97" w:rsidDel="00A9770F">
        <w:t xml:space="preserve"> </w:t>
      </w:r>
      <w:r w:rsidRPr="002F5F97">
        <w:t>I look forward to seeing you there.</w:t>
      </w:r>
    </w:p>
    <w:p w14:paraId="0CE264B2" w14:textId="02F17466" w:rsidR="001222DE" w:rsidRPr="002F5F97" w:rsidRDefault="001222DE" w:rsidP="0043505B">
      <w:r w:rsidRPr="002F5F97">
        <w:t xml:space="preserve">Before signing off, I want to bring us back to the </w:t>
      </w:r>
      <w:r w:rsidRPr="002F5F97">
        <w:rPr>
          <w:b/>
          <w:i/>
        </w:rPr>
        <w:t>Why</w:t>
      </w:r>
      <w:r w:rsidRPr="00024933">
        <w:t xml:space="preserve"> –</w:t>
      </w:r>
      <w:r w:rsidRPr="002F5F97">
        <w:rPr>
          <w:b/>
          <w:bCs/>
        </w:rPr>
        <w:t xml:space="preserve"> </w:t>
      </w:r>
      <w:r w:rsidRPr="002F5F97">
        <w:t>why what we do matters. Timely payments are not just good practice – they are good business. In today</w:t>
      </w:r>
      <w:r w:rsidR="005D0129">
        <w:t>’</w:t>
      </w:r>
      <w:r w:rsidRPr="002F5F97">
        <w:t>s competitive and volatile environment, reputation and trust matter</w:t>
      </w:r>
      <w:r w:rsidR="006A47BF">
        <w:t>s</w:t>
      </w:r>
      <w:r w:rsidRPr="002F5F97">
        <w:t xml:space="preserve"> more than ever. The Scheme offers large businesses a unique opportunity to demonstrate leadership, transparency and commitment to fair business dealings.</w:t>
      </w:r>
    </w:p>
    <w:p w14:paraId="5C38F61F" w14:textId="07AB0B0C" w:rsidR="00CB61EE" w:rsidRPr="002F5F97" w:rsidRDefault="001222DE" w:rsidP="008F3541">
      <w:r w:rsidRPr="002F5F97">
        <w:t xml:space="preserve">Thank you for your continued </w:t>
      </w:r>
      <w:r w:rsidRPr="008F3541">
        <w:t>engagement</w:t>
      </w:r>
      <w:r w:rsidRPr="002F5F97">
        <w:t xml:space="preserve"> and leadership in responsible payment practices, benefi</w:t>
      </w:r>
      <w:r w:rsidR="007832B2" w:rsidRPr="002F5F97">
        <w:t>t</w:t>
      </w:r>
      <w:r w:rsidRPr="002F5F97">
        <w:t>ting small businesses and the Australian economy.</w:t>
      </w:r>
    </w:p>
    <w:p w14:paraId="0C621C7A" w14:textId="2C389C62" w:rsidR="00DE0355" w:rsidRPr="002F5F97" w:rsidRDefault="00F65DC7" w:rsidP="00427521">
      <w:r w:rsidRPr="002F5F97">
        <w:t>Yours sincerely</w:t>
      </w:r>
    </w:p>
    <w:p w14:paraId="69223866" w14:textId="4F94E65C" w:rsidR="00DE0355" w:rsidRPr="00AD2B42" w:rsidRDefault="00DE0355" w:rsidP="00427521">
      <w:pPr>
        <w:pStyle w:val="SingleParagraph"/>
        <w:spacing w:before="240"/>
        <w:rPr>
          <w:b/>
          <w:bCs/>
        </w:rPr>
      </w:pPr>
      <w:r w:rsidRPr="00AD2B42">
        <w:rPr>
          <w:b/>
          <w:bCs/>
        </w:rPr>
        <w:t xml:space="preserve">Robyn Beutel </w:t>
      </w:r>
    </w:p>
    <w:p w14:paraId="3721E650" w14:textId="7FCFEDE1" w:rsidR="00A217ED" w:rsidRDefault="00DE0355" w:rsidP="007208C8">
      <w:pPr>
        <w:pStyle w:val="SingleParagraph"/>
        <w:sectPr w:rsidR="00A217ED" w:rsidSect="00A217ED">
          <w:headerReference w:type="even" r:id="rId15"/>
          <w:headerReference w:type="default" r:id="rId16"/>
          <w:footerReference w:type="even" r:id="rId17"/>
          <w:footerReference w:type="default" r:id="rId18"/>
          <w:headerReference w:type="first" r:id="rId19"/>
          <w:footerReference w:type="first" r:id="rId20"/>
          <w:pgSz w:w="11906" w:h="16838" w:code="9"/>
          <w:pgMar w:top="1418" w:right="1701" w:bottom="1418" w:left="1701" w:header="709" w:footer="709" w:gutter="0"/>
          <w:pgNumType w:start="1"/>
          <w:cols w:space="708"/>
          <w:docGrid w:linePitch="360"/>
        </w:sectPr>
      </w:pPr>
      <w:r w:rsidRPr="002F5F97">
        <w:t>Payment Times Reporting Regulato</w:t>
      </w:r>
      <w:r w:rsidR="00846444">
        <w:t>r</w:t>
      </w:r>
    </w:p>
    <w:p w14:paraId="7F25ECD1" w14:textId="431327CB" w:rsidR="000447C2" w:rsidRPr="002F5F97" w:rsidRDefault="003D5A31" w:rsidP="003D5A31">
      <w:pPr>
        <w:pStyle w:val="Heading1"/>
      </w:pPr>
      <w:bookmarkStart w:id="5" w:name="_Toc220068362"/>
      <w:r w:rsidRPr="002F5F97">
        <w:lastRenderedPageBreak/>
        <w:t>The Regulator</w:t>
      </w:r>
      <w:r w:rsidR="005D0129">
        <w:t>’</w:t>
      </w:r>
      <w:r w:rsidRPr="002F5F97">
        <w:t>s priority areas</w:t>
      </w:r>
      <w:bookmarkEnd w:id="5"/>
    </w:p>
    <w:p w14:paraId="26C203E4" w14:textId="026F7D40" w:rsidR="00C1143D" w:rsidRPr="002F5F97" w:rsidRDefault="0017304E" w:rsidP="001E1C2C">
      <w:pPr>
        <w:pStyle w:val="Heading2"/>
      </w:pPr>
      <w:r w:rsidRPr="002F5F97">
        <w:t xml:space="preserve">The </w:t>
      </w:r>
      <w:r w:rsidR="005A4848" w:rsidRPr="001E1C2C">
        <w:t>y</w:t>
      </w:r>
      <w:r w:rsidRPr="001E1C2C">
        <w:t>ear</w:t>
      </w:r>
      <w:r w:rsidRPr="002F5F97">
        <w:t xml:space="preserve"> in </w:t>
      </w:r>
      <w:r w:rsidR="005A4848" w:rsidRPr="002F5F97">
        <w:t>r</w:t>
      </w:r>
      <w:r w:rsidRPr="002F5F97">
        <w:t>eview – 2025</w:t>
      </w:r>
    </w:p>
    <w:p w14:paraId="155F960B" w14:textId="77777777" w:rsidR="009F6848" w:rsidRPr="002F5F97" w:rsidRDefault="009F6848" w:rsidP="0018213D">
      <w:r w:rsidRPr="002F5F97">
        <w:t xml:space="preserve">In 2025, I set our </w:t>
      </w:r>
      <w:r w:rsidRPr="0018213D">
        <w:t>priority</w:t>
      </w:r>
      <w:r w:rsidRPr="002F5F97">
        <w:t xml:space="preserve"> areas to provide transparency, clarity on where we focused our efforts and to effect positive behavioural change to drive better outcomes for small businesses.</w:t>
      </w:r>
    </w:p>
    <w:p w14:paraId="72BAA472" w14:textId="0F0BF1A0" w:rsidR="0017304E" w:rsidRPr="002F5F97" w:rsidRDefault="009F6848" w:rsidP="0018213D">
      <w:r w:rsidRPr="002F5F97">
        <w:t xml:space="preserve">Importantly, </w:t>
      </w:r>
      <w:r w:rsidRPr="0018213D">
        <w:t>being</w:t>
      </w:r>
      <w:r w:rsidRPr="002F5F97">
        <w:t xml:space="preserve"> open about our priorities holds us to account – did we do what we said we would do?</w:t>
      </w:r>
    </w:p>
    <w:p w14:paraId="75EA91FA" w14:textId="77777777" w:rsidR="00F03EE0" w:rsidRPr="002F5F97" w:rsidRDefault="00F03EE0" w:rsidP="00E0101D">
      <w:pPr>
        <w:pStyle w:val="Heading3"/>
      </w:pPr>
      <w:r w:rsidRPr="002F5F97">
        <w:t>Regulator Performance – Best Practice Principles</w:t>
      </w:r>
    </w:p>
    <w:p w14:paraId="6B874943" w14:textId="1A877D51" w:rsidR="000C415F" w:rsidRPr="002F5F97" w:rsidRDefault="00306835" w:rsidP="00EA1AFD">
      <w:pPr>
        <w:pStyle w:val="SingleParagraph"/>
      </w:pPr>
      <w:r w:rsidRPr="002F5F97">
        <w:rPr>
          <w:noProof/>
        </w:rPr>
        <w:drawing>
          <wp:inline distT="0" distB="0" distL="0" distR="0" wp14:anchorId="5ADF5421" wp14:editId="102EA17E">
            <wp:extent cx="5108400" cy="1299600"/>
            <wp:effectExtent l="0" t="0" r="0" b="0"/>
            <wp:docPr id="1273624571" name="Picture 1" descr="Regulator Performance (RMG 128) Best Practice Principles outlined in three box tiles. First box containing decorative icon of two hands shaking ‘continuous improvement and building trust’, second box containing decorative icon of a chart ‘being risk based and data driven, third box containing decorative icon of a building and network of people, ‘Collaboration and e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24571" name="Picture 1" descr="Regulator Performance (RMG 128) Best Practice Principles outlined in three box tiles. First box containing decorative icon of two hands shaking ‘continuous improvement and building trust’, second box containing decorative icon of a chart ‘being risk based and data driven, third box containing decorative icon of a building and network of people, ‘Collaboration and engagement’. "/>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8400" cy="1299600"/>
                    </a:xfrm>
                    <a:prstGeom prst="rect">
                      <a:avLst/>
                    </a:prstGeom>
                  </pic:spPr>
                </pic:pic>
              </a:graphicData>
            </a:graphic>
          </wp:inline>
        </w:drawing>
      </w:r>
    </w:p>
    <w:p w14:paraId="64C5A8D2" w14:textId="68652C09" w:rsidR="00A00AAF" w:rsidRPr="002F5F97" w:rsidRDefault="00A00AAF" w:rsidP="00C1228E">
      <w:r w:rsidRPr="002F5F97">
        <w:t>We made good progress in implementing the Government</w:t>
      </w:r>
      <w:r w:rsidR="005D0129">
        <w:t>’</w:t>
      </w:r>
      <w:r w:rsidRPr="002F5F97">
        <w:t xml:space="preserve">s </w:t>
      </w:r>
      <w:r w:rsidR="007E635D" w:rsidRPr="002F5F97">
        <w:t xml:space="preserve">reforms </w:t>
      </w:r>
      <w:r w:rsidR="007E635D">
        <w:t xml:space="preserve">to the </w:t>
      </w:r>
      <w:r w:rsidRPr="002F5F97">
        <w:t xml:space="preserve">Scheme. In doing so, we matured as a </w:t>
      </w:r>
      <w:r w:rsidR="007E635D">
        <w:t>r</w:t>
      </w:r>
      <w:r w:rsidRPr="002F5F97">
        <w:t xml:space="preserve">egulator </w:t>
      </w:r>
      <w:r w:rsidR="006D44E6">
        <w:t xml:space="preserve">by </w:t>
      </w:r>
      <w:r w:rsidRPr="002F5F97">
        <w:t>strengthening our integrity, delivering significant improvements to our ICT infrastructure and tools, invest</w:t>
      </w:r>
      <w:r w:rsidR="00C86970" w:rsidRPr="002F5F97">
        <w:t>ing</w:t>
      </w:r>
      <w:r w:rsidRPr="002F5F97">
        <w:t xml:space="preserve"> heavily in stakeholder engagement and education materials and collaborati</w:t>
      </w:r>
      <w:r w:rsidR="00B90F71" w:rsidRPr="002F5F97">
        <w:t>ng</w:t>
      </w:r>
      <w:r w:rsidRPr="002F5F97">
        <w:t xml:space="preserve"> with professional bodies.</w:t>
      </w:r>
    </w:p>
    <w:p w14:paraId="0DEA6CDD" w14:textId="35916DC9" w:rsidR="00A00AAF" w:rsidRPr="002F5F97" w:rsidRDefault="00A00AAF" w:rsidP="007208C8">
      <w:pPr>
        <w:pStyle w:val="Heading4"/>
      </w:pPr>
      <w:r w:rsidRPr="002F5F97">
        <w:t xml:space="preserve">Integrity and </w:t>
      </w:r>
      <w:r w:rsidR="004315F8" w:rsidRPr="002F5F97">
        <w:t>t</w:t>
      </w:r>
      <w:r w:rsidRPr="002F5F97">
        <w:t>ransparency</w:t>
      </w:r>
    </w:p>
    <w:p w14:paraId="6E250BAA" w14:textId="744051E6" w:rsidR="00055760" w:rsidRPr="002F5F97" w:rsidRDefault="00A00AAF" w:rsidP="00632BC3">
      <w:pPr>
        <w:pStyle w:val="Bullet"/>
      </w:pPr>
      <w:r w:rsidRPr="002F5F97">
        <w:t>Published the Regulator</w:t>
      </w:r>
      <w:r w:rsidR="005D0129">
        <w:t>’</w:t>
      </w:r>
      <w:r w:rsidRPr="002F5F97">
        <w:t>s Statement of Intent</w:t>
      </w:r>
      <w:r w:rsidR="006D44E6">
        <w:t xml:space="preserve"> -</w:t>
      </w:r>
      <w:r w:rsidRPr="002F5F97">
        <w:t xml:space="preserve"> providing a roadmap on how regulatory functions will </w:t>
      </w:r>
      <w:r w:rsidRPr="00632BC3">
        <w:t>be</w:t>
      </w:r>
      <w:r w:rsidRPr="002F5F97">
        <w:t xml:space="preserve"> delivered, reinforcing commitment to integrity, professionalism and best practice regulation.</w:t>
      </w:r>
    </w:p>
    <w:p w14:paraId="71350619" w14:textId="3FE973E9" w:rsidR="00055760" w:rsidRPr="002F5F97" w:rsidRDefault="00A00AAF" w:rsidP="003C65E6">
      <w:pPr>
        <w:pStyle w:val="Bullet"/>
      </w:pPr>
      <w:r w:rsidRPr="002F5F97">
        <w:t>Published our 2025</w:t>
      </w:r>
      <w:r w:rsidR="00632BC3">
        <w:t>–</w:t>
      </w:r>
      <w:r w:rsidRPr="002F5F97">
        <w:t>26 Compliance and Enforcement Priorities</w:t>
      </w:r>
      <w:r w:rsidR="006D44E6">
        <w:t xml:space="preserve"> - </w:t>
      </w:r>
      <w:r w:rsidRPr="002F5F97">
        <w:t>outlining our key priorit</w:t>
      </w:r>
      <w:r w:rsidR="00211DB1">
        <w:t>y</w:t>
      </w:r>
      <w:r w:rsidRPr="002F5F97">
        <w:t xml:space="preserve"> areas, the conduct and harms we prioritise, and our escalating approach to compliance.</w:t>
      </w:r>
    </w:p>
    <w:p w14:paraId="3FE41903" w14:textId="6A32A77E" w:rsidR="00A00AAF" w:rsidRPr="002F5F97" w:rsidRDefault="00A00AAF" w:rsidP="003C65E6">
      <w:pPr>
        <w:pStyle w:val="Bullet"/>
      </w:pPr>
      <w:r w:rsidRPr="002F5F97">
        <w:t xml:space="preserve">Introduced our Service Charter </w:t>
      </w:r>
      <w:r w:rsidR="006D44E6">
        <w:t xml:space="preserve">- </w:t>
      </w:r>
      <w:r w:rsidRPr="002F5F97">
        <w:t>covering the standard of behaviour you can expect from us, what we ask of you, and the actions you can take if we have not met your expectations.</w:t>
      </w:r>
    </w:p>
    <w:p w14:paraId="2CA05CC3" w14:textId="21884097" w:rsidR="00A00AAF" w:rsidRPr="002F5F97" w:rsidRDefault="00A00AAF" w:rsidP="007208C8">
      <w:pPr>
        <w:pStyle w:val="Heading4"/>
      </w:pPr>
      <w:r w:rsidRPr="002F5F97">
        <w:t xml:space="preserve">ICT </w:t>
      </w:r>
      <w:r w:rsidR="00DC2FC9" w:rsidRPr="002F5F97">
        <w:t>i</w:t>
      </w:r>
      <w:r w:rsidRPr="002F5F97">
        <w:t xml:space="preserve">nfrastructure and </w:t>
      </w:r>
      <w:r w:rsidR="00DC2FC9" w:rsidRPr="002F5F97">
        <w:t>t</w:t>
      </w:r>
      <w:r w:rsidRPr="002F5F97">
        <w:t>ools</w:t>
      </w:r>
    </w:p>
    <w:p w14:paraId="212A51F5" w14:textId="05656032" w:rsidR="00DF6E99" w:rsidRPr="002F5F97" w:rsidRDefault="00A00AAF" w:rsidP="003C65E6">
      <w:pPr>
        <w:pStyle w:val="Bullet"/>
      </w:pPr>
      <w:r w:rsidRPr="002F5F97">
        <w:t>Major I</w:t>
      </w:r>
      <w:r w:rsidR="00DF4C3B" w:rsidRPr="002F5F97">
        <w:t>C</w:t>
      </w:r>
      <w:r w:rsidRPr="002F5F97">
        <w:t xml:space="preserve">T releases to support reporting entities meet their legislated reporting obligations under the amended </w:t>
      </w:r>
      <w:r w:rsidR="00FA27D6" w:rsidRPr="002F5F97">
        <w:t>the A</w:t>
      </w:r>
      <w:r w:rsidR="003E7183" w:rsidRPr="002F5F97">
        <w:t>ct</w:t>
      </w:r>
      <w:r w:rsidRPr="002F5F97">
        <w:t>, including a new webform to capture reporting information and a self</w:t>
      </w:r>
      <w:r w:rsidR="005D0129">
        <w:noBreakHyphen/>
      </w:r>
      <w:r w:rsidRPr="002F5F97">
        <w:t>assessment questionnaire.</w:t>
      </w:r>
    </w:p>
    <w:p w14:paraId="45A59C49" w14:textId="2D13ED9E" w:rsidR="00A00AAF" w:rsidRPr="002F5F97" w:rsidRDefault="00A00AAF" w:rsidP="003C65E6">
      <w:pPr>
        <w:pStyle w:val="Bullet"/>
      </w:pPr>
      <w:r w:rsidRPr="002F5F97">
        <w:t>Increasing transparency through a new interactive Payment Times Reports Register</w:t>
      </w:r>
      <w:r w:rsidR="006D44E6">
        <w:t xml:space="preserve"> -</w:t>
      </w:r>
      <w:r w:rsidRPr="002F5F97">
        <w:t xml:space="preserve"> an</w:t>
      </w:r>
      <w:r w:rsidR="00CA4798">
        <w:t> </w:t>
      </w:r>
      <w:r w:rsidRPr="002F5F97">
        <w:t>accessible and user</w:t>
      </w:r>
      <w:r w:rsidR="005D0129">
        <w:noBreakHyphen/>
      </w:r>
      <w:r w:rsidRPr="002F5F97">
        <w:t xml:space="preserve">friendly tool that allows users to search and compare reported data, including </w:t>
      </w:r>
      <w:r w:rsidR="00B274E6">
        <w:t>key</w:t>
      </w:r>
      <w:r w:rsidRPr="002F5F97">
        <w:t xml:space="preserve"> reporting measures introduced as part of the reforms.</w:t>
      </w:r>
    </w:p>
    <w:p w14:paraId="7D697741" w14:textId="1EBC2FB2" w:rsidR="00A00AAF" w:rsidRPr="002F5F97" w:rsidRDefault="00A00AAF" w:rsidP="007208C8">
      <w:pPr>
        <w:pStyle w:val="Heading4"/>
      </w:pPr>
      <w:r w:rsidRPr="002F5F97">
        <w:t xml:space="preserve">Stakeholder </w:t>
      </w:r>
      <w:r w:rsidR="00DD083D" w:rsidRPr="002F5F97">
        <w:t>e</w:t>
      </w:r>
      <w:r w:rsidRPr="002F5F97">
        <w:t xml:space="preserve">ngagement and </w:t>
      </w:r>
      <w:r w:rsidR="00DD083D" w:rsidRPr="002F5F97">
        <w:t>e</w:t>
      </w:r>
      <w:r w:rsidRPr="002F5F97">
        <w:t>ducation</w:t>
      </w:r>
    </w:p>
    <w:p w14:paraId="26AF81FA" w14:textId="33736A96" w:rsidR="00843F7F" w:rsidRPr="002F5F97" w:rsidRDefault="00A00AAF" w:rsidP="003C65E6">
      <w:pPr>
        <w:pStyle w:val="Bullet"/>
      </w:pPr>
      <w:r w:rsidRPr="002F5F97">
        <w:t xml:space="preserve">Published quick reference guides and demonstration videos for users of the refreshed </w:t>
      </w:r>
      <w:r w:rsidR="00E31D4E" w:rsidRPr="002F5F97">
        <w:t>Payment Times Rep</w:t>
      </w:r>
      <w:r w:rsidR="00B501A5">
        <w:t>or</w:t>
      </w:r>
      <w:r w:rsidR="00E31D4E" w:rsidRPr="002F5F97">
        <w:t xml:space="preserve">ting </w:t>
      </w:r>
      <w:r w:rsidRPr="002F5F97">
        <w:t>Portal</w:t>
      </w:r>
      <w:r w:rsidR="00D24D89" w:rsidRPr="002F5F97">
        <w:t>.</w:t>
      </w:r>
    </w:p>
    <w:p w14:paraId="58E6E8AE" w14:textId="77777777" w:rsidR="00843F7F" w:rsidRPr="002F5F97" w:rsidRDefault="00A00AAF" w:rsidP="003C65E6">
      <w:pPr>
        <w:pStyle w:val="Bullet"/>
      </w:pPr>
      <w:r w:rsidRPr="002F5F97">
        <w:lastRenderedPageBreak/>
        <w:t>Delivered updated guidance materials and education sessions, including how to complete a payment times report under the reformed Scheme and answers to commonly asked questions.</w:t>
      </w:r>
    </w:p>
    <w:p w14:paraId="41914EA7" w14:textId="1117CB82" w:rsidR="00306835" w:rsidRPr="002F5F97" w:rsidRDefault="00A00AAF" w:rsidP="003C65E6">
      <w:pPr>
        <w:pStyle w:val="Bullet"/>
      </w:pPr>
      <w:r w:rsidRPr="002F5F97">
        <w:t>Collaborated with several professional bodies, tailoring and delivering payment times information in different forums for their members, and engaged with state Small Business Commissioners.</w:t>
      </w:r>
    </w:p>
    <w:p w14:paraId="5864BA07" w14:textId="16C62F2F" w:rsidR="00315560" w:rsidRPr="002F5F97" w:rsidRDefault="00623DB5" w:rsidP="00623DB5">
      <w:pPr>
        <w:pStyle w:val="Heading3"/>
      </w:pPr>
      <w:r w:rsidRPr="002F5F97">
        <w:t>Regulator</w:t>
      </w:r>
      <w:r w:rsidR="005D0129">
        <w:t>’</w:t>
      </w:r>
      <w:r w:rsidRPr="002F5F97">
        <w:t>s 2025 priority areas</w:t>
      </w: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2128"/>
        <w:gridCol w:w="6376"/>
      </w:tblGrid>
      <w:tr w:rsidR="00E17BDB" w:rsidRPr="005D0129" w14:paraId="23298CE7" w14:textId="77777777" w:rsidTr="00E0101D">
        <w:tc>
          <w:tcPr>
            <w:tcW w:w="1251" w:type="pct"/>
            <w:shd w:val="clear" w:color="auto" w:fill="461F65" w:themeFill="accent1"/>
            <w:vAlign w:val="center"/>
          </w:tcPr>
          <w:p w14:paraId="0A842209" w14:textId="77777777" w:rsidR="00E0101D" w:rsidRPr="005D0129" w:rsidRDefault="00A820FE" w:rsidP="00E0101D">
            <w:pPr>
              <w:pStyle w:val="BoxHeading-Purplelightbox"/>
              <w:jc w:val="center"/>
              <w:rPr>
                <w:color w:val="FFFFFF" w:themeColor="background1"/>
              </w:rPr>
            </w:pPr>
            <w:r w:rsidRPr="005D0129">
              <w:rPr>
                <w:noProof/>
                <w:color w:val="FFFFFF" w:themeColor="background1"/>
              </w:rPr>
              <w:drawing>
                <wp:inline distT="0" distB="0" distL="0" distR="0" wp14:anchorId="2A303C89" wp14:editId="792AAB19">
                  <wp:extent cx="648000" cy="648000"/>
                  <wp:effectExtent l="0" t="0" r="0" b="0"/>
                  <wp:docPr id="15321917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9178" name="Picture 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p w14:paraId="72E41F55" w14:textId="41844627" w:rsidR="00566ED0" w:rsidRPr="005D0129" w:rsidRDefault="00566ED0" w:rsidP="00786EBA">
            <w:pPr>
              <w:pStyle w:val="BoxHeading-Purplelightbox"/>
              <w:rPr>
                <w:color w:val="FFFFFF" w:themeColor="background1"/>
              </w:rPr>
            </w:pPr>
            <w:r w:rsidRPr="005D0129">
              <w:rPr>
                <w:color w:val="FFFFFF" w:themeColor="background1"/>
              </w:rPr>
              <w:t>Engagement &amp; Education</w:t>
            </w:r>
          </w:p>
          <w:p w14:paraId="0142AFE9" w14:textId="76B67AED" w:rsidR="00E17BDB" w:rsidRPr="005D0129" w:rsidRDefault="00E17BDB" w:rsidP="00E0101D">
            <w:pPr>
              <w:pStyle w:val="BoxHeading-Purplelightbox"/>
              <w:jc w:val="center"/>
            </w:pPr>
          </w:p>
        </w:tc>
        <w:tc>
          <w:tcPr>
            <w:tcW w:w="3749" w:type="pct"/>
            <w:shd w:val="clear" w:color="auto" w:fill="F2F2F2" w:themeFill="background1" w:themeFillShade="F2"/>
          </w:tcPr>
          <w:p w14:paraId="3F97ACB9" w14:textId="33E2778F" w:rsidR="00E17BDB" w:rsidRPr="005D0129" w:rsidRDefault="00566ED0" w:rsidP="00DA75A1">
            <w:pPr>
              <w:pStyle w:val="BoxHeading-Purplelightbox"/>
            </w:pPr>
            <w:r w:rsidRPr="005D0129">
              <w:t>Greater stakeholder engagement and education</w:t>
            </w:r>
          </w:p>
          <w:p w14:paraId="26B3CF28" w14:textId="2FFFFD81" w:rsidR="00DA75A1" w:rsidRPr="005D0129" w:rsidRDefault="00DA75A1" w:rsidP="00DA75A1">
            <w:pPr>
              <w:pStyle w:val="BoxText"/>
            </w:pPr>
            <w:r w:rsidRPr="005D0129">
              <w:t xml:space="preserve">We invested heavily in stakeholder engagement and education. </w:t>
            </w:r>
            <w:r w:rsidR="004A732C">
              <w:t>A</w:t>
            </w:r>
            <w:r w:rsidRPr="005D0129">
              <w:t xml:space="preserve">ttendance at the Regulator’s </w:t>
            </w:r>
            <w:r w:rsidR="004A732C" w:rsidRPr="005D0129">
              <w:t xml:space="preserve">Stakeholder </w:t>
            </w:r>
            <w:r w:rsidRPr="005D0129">
              <w:t>Liaison Forums increased significantly in 2025 compared to previous</w:t>
            </w:r>
            <w:r w:rsidR="00786EBA" w:rsidRPr="005D0129">
              <w:t> </w:t>
            </w:r>
            <w:r w:rsidRPr="005D0129">
              <w:t>years.</w:t>
            </w:r>
          </w:p>
          <w:p w14:paraId="5B1F03BA" w14:textId="427DC55F" w:rsidR="00DA75A1" w:rsidRPr="005D0129" w:rsidRDefault="00DA75A1" w:rsidP="00DA75A1">
            <w:pPr>
              <w:pStyle w:val="BoxText"/>
            </w:pPr>
            <w:r w:rsidRPr="005D0129">
              <w:t xml:space="preserve">Stakeholder </w:t>
            </w:r>
            <w:r w:rsidRPr="005D0129">
              <w:rPr>
                <w:b/>
                <w:bCs/>
              </w:rPr>
              <w:t>engagement is trending upwards</w:t>
            </w:r>
            <w:r w:rsidRPr="005D0129">
              <w:t>. Attendance at the February 2025 forum increased 175</w:t>
            </w:r>
            <w:r w:rsidR="00786EBA" w:rsidRPr="005D0129">
              <w:t> </w:t>
            </w:r>
            <w:r w:rsidRPr="005D0129">
              <w:t>per</w:t>
            </w:r>
            <w:r w:rsidR="00CA4798" w:rsidRPr="005D0129">
              <w:t> </w:t>
            </w:r>
            <w:r w:rsidRPr="005D0129">
              <w:t xml:space="preserve">cent and the number of organisations </w:t>
            </w:r>
            <w:r w:rsidR="00942D27">
              <w:t xml:space="preserve">by </w:t>
            </w:r>
            <w:r w:rsidRPr="005D0129">
              <w:t>179</w:t>
            </w:r>
            <w:r w:rsidR="00786EBA" w:rsidRPr="005D0129">
              <w:t> </w:t>
            </w:r>
            <w:r w:rsidRPr="005D0129">
              <w:t>per</w:t>
            </w:r>
            <w:r w:rsidR="00CA4798" w:rsidRPr="005D0129">
              <w:t> </w:t>
            </w:r>
            <w:r w:rsidRPr="005D0129">
              <w:t>cent, compared with February 2024. At the August 2025 forum 674</w:t>
            </w:r>
            <w:r w:rsidR="00786EBA" w:rsidRPr="005D0129">
              <w:t> </w:t>
            </w:r>
            <w:r w:rsidRPr="005D0129">
              <w:t xml:space="preserve">attendees represented 508 organisations – </w:t>
            </w:r>
            <w:r w:rsidR="00A83D2C" w:rsidRPr="005D0129">
              <w:t xml:space="preserve">that </w:t>
            </w:r>
            <w:r w:rsidRPr="005D0129">
              <w:t>is a 120</w:t>
            </w:r>
            <w:r w:rsidR="00786EBA" w:rsidRPr="005D0129">
              <w:t> </w:t>
            </w:r>
            <w:r w:rsidRPr="005D0129">
              <w:t>per cent and 167</w:t>
            </w:r>
            <w:r w:rsidR="00786EBA" w:rsidRPr="005D0129">
              <w:t> </w:t>
            </w:r>
            <w:r w:rsidRPr="005D0129">
              <w:t>per</w:t>
            </w:r>
            <w:r w:rsidR="00786EBA" w:rsidRPr="005D0129">
              <w:t> </w:t>
            </w:r>
            <w:r w:rsidRPr="005D0129">
              <w:t>cent increase respectively on the February</w:t>
            </w:r>
            <w:r w:rsidR="00786EBA" w:rsidRPr="005D0129">
              <w:t> </w:t>
            </w:r>
            <w:r w:rsidRPr="005D0129">
              <w:t>2025</w:t>
            </w:r>
            <w:r w:rsidR="00786EBA" w:rsidRPr="005D0129">
              <w:t> </w:t>
            </w:r>
            <w:r w:rsidRPr="005D0129">
              <w:t>forum.</w:t>
            </w:r>
          </w:p>
          <w:p w14:paraId="4FDEDA60" w14:textId="77777777" w:rsidR="00DA75A1" w:rsidRPr="005D0129" w:rsidRDefault="00DA75A1" w:rsidP="00DA75A1">
            <w:pPr>
              <w:pStyle w:val="BoxText"/>
            </w:pPr>
            <w:r w:rsidRPr="005D0129">
              <w:t>The Regulator undertook strategic engagements with industry associations, professional bodies, professional service providers and small business advocates to raise the profile of the Scheme, promote responsible payment practices, develop mutually beneficial relationships and lay the foundations for future collaboration.</w:t>
            </w:r>
          </w:p>
          <w:p w14:paraId="336C6C9E" w14:textId="77777777" w:rsidR="00DA75A1" w:rsidRPr="005D0129" w:rsidRDefault="00DA75A1" w:rsidP="00DA75A1">
            <w:pPr>
              <w:pStyle w:val="BoxText"/>
            </w:pPr>
            <w:r w:rsidRPr="005D0129">
              <w:t xml:space="preserve">Our </w:t>
            </w:r>
            <w:r w:rsidRPr="005D0129">
              <w:rPr>
                <w:b/>
                <w:bCs/>
              </w:rPr>
              <w:t>education</w:t>
            </w:r>
            <w:r w:rsidRPr="005D0129">
              <w:t xml:space="preserve"> initiatives during the year concentrated on helping reporting entities to meet their reporting obligations under the reformed Scheme. We delivered:</w:t>
            </w:r>
          </w:p>
          <w:p w14:paraId="618FB7C6" w14:textId="245F13CF" w:rsidR="00DA75A1" w:rsidRPr="005D0129" w:rsidRDefault="00DA75A1" w:rsidP="00DA75A1">
            <w:pPr>
              <w:pStyle w:val="BoxBullet"/>
            </w:pPr>
            <w:r w:rsidRPr="005D0129">
              <w:tab/>
              <w:t>4</w:t>
            </w:r>
            <w:r w:rsidR="00CA4798" w:rsidRPr="005D0129">
              <w:t> </w:t>
            </w:r>
            <w:r w:rsidRPr="005D0129">
              <w:t>online education sessions in March and April</w:t>
            </w:r>
            <w:r w:rsidR="00CA4798" w:rsidRPr="005D0129">
              <w:t> </w:t>
            </w:r>
            <w:r w:rsidRPr="005D0129">
              <w:t>2025, with</w:t>
            </w:r>
            <w:r w:rsidR="006C7831" w:rsidRPr="005D0129">
              <w:t> </w:t>
            </w:r>
            <w:r w:rsidRPr="005D0129">
              <w:t>over 2,700 people attending</w:t>
            </w:r>
          </w:p>
          <w:p w14:paraId="618A009E" w14:textId="461735AE" w:rsidR="00DA75A1" w:rsidRPr="005D0129" w:rsidRDefault="00DA75A1" w:rsidP="00DA75A1">
            <w:pPr>
              <w:pStyle w:val="BoxBullet"/>
            </w:pPr>
            <w:r w:rsidRPr="005D0129">
              <w:tab/>
              <w:t>a range of explanatory and guidance documents for reporting entities to help them prepare new payment times reports</w:t>
            </w:r>
          </w:p>
          <w:p w14:paraId="740FF4A6" w14:textId="50882DF2" w:rsidR="00E17BDB" w:rsidRPr="005D0129" w:rsidRDefault="00DA75A1" w:rsidP="00DA75A1">
            <w:pPr>
              <w:pStyle w:val="BoxBullet"/>
            </w:pPr>
            <w:r w:rsidRPr="005D0129">
              <w:tab/>
              <w:t xml:space="preserve">updated key information sheets on using </w:t>
            </w:r>
            <w:r w:rsidR="001B1447">
              <w:t>o</w:t>
            </w:r>
            <w:r w:rsidRPr="005D0129">
              <w:t xml:space="preserve">ur </w:t>
            </w:r>
            <w:r w:rsidR="001B1447">
              <w:t>r</w:t>
            </w:r>
            <w:r w:rsidRPr="005D0129">
              <w:t>egulatory</w:t>
            </w:r>
            <w:r w:rsidR="006C7831" w:rsidRPr="005D0129">
              <w:t xml:space="preserve"> </w:t>
            </w:r>
            <w:r w:rsidR="001B1447">
              <w:t>p</w:t>
            </w:r>
            <w:r w:rsidRPr="005D0129">
              <w:t>owers (Information Sheet 7) and the SBI Tool (Information Sheet 6).</w:t>
            </w:r>
          </w:p>
        </w:tc>
      </w:tr>
    </w:tbl>
    <w:p w14:paraId="69C5A722" w14:textId="5365B570" w:rsidR="003E773E" w:rsidRPr="002F5F97" w:rsidRDefault="003E773E" w:rsidP="003E773E">
      <w:pPr>
        <w:pStyle w:val="OutlineNumberedDot"/>
        <w:numPr>
          <w:ilvl w:val="0"/>
          <w:numId w:val="0"/>
        </w:numPr>
      </w:pP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2128"/>
        <w:gridCol w:w="6376"/>
      </w:tblGrid>
      <w:tr w:rsidR="00DA75A1" w:rsidRPr="005D0129" w14:paraId="3A2BE700" w14:textId="77777777" w:rsidTr="00DB1F8D">
        <w:tc>
          <w:tcPr>
            <w:tcW w:w="1251" w:type="pct"/>
            <w:shd w:val="clear" w:color="auto" w:fill="461F65" w:themeFill="accent1"/>
            <w:vAlign w:val="center"/>
          </w:tcPr>
          <w:p w14:paraId="5A7CC0D1" w14:textId="77777777" w:rsidR="00DB1F8D" w:rsidRPr="005D0129" w:rsidRDefault="00DB1F8D" w:rsidP="00DB1F8D">
            <w:pPr>
              <w:pStyle w:val="BoxHeading-Purplelightbox"/>
              <w:jc w:val="center"/>
              <w:rPr>
                <w:color w:val="FFFFFF" w:themeColor="background1"/>
              </w:rPr>
            </w:pPr>
            <w:r w:rsidRPr="005D0129">
              <w:rPr>
                <w:noProof/>
              </w:rPr>
              <w:lastRenderedPageBreak/>
              <w:drawing>
                <wp:inline distT="0" distB="0" distL="0" distR="0" wp14:anchorId="37B7FD75" wp14:editId="1FB1D0A4">
                  <wp:extent cx="612000" cy="612000"/>
                  <wp:effectExtent l="0" t="0" r="0" b="0"/>
                  <wp:docPr id="96866585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65855" name="Picture 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p w14:paraId="4E69FF02" w14:textId="09B90C75" w:rsidR="00DB1F8D" w:rsidRPr="005D0129" w:rsidRDefault="00F41D52" w:rsidP="00DB1F8D">
            <w:pPr>
              <w:pStyle w:val="BoxHeading-Purplelightbox"/>
              <w:spacing w:before="120"/>
              <w:jc w:val="center"/>
              <w:rPr>
                <w:color w:val="FFFFFF" w:themeColor="background1"/>
              </w:rPr>
            </w:pPr>
            <w:r w:rsidRPr="005D0129">
              <w:rPr>
                <w:color w:val="FFFFFF" w:themeColor="background1"/>
              </w:rPr>
              <w:t>Research &amp; Intelligence</w:t>
            </w:r>
          </w:p>
        </w:tc>
        <w:tc>
          <w:tcPr>
            <w:tcW w:w="3749" w:type="pct"/>
            <w:shd w:val="clear" w:color="auto" w:fill="F2F2F2" w:themeFill="background1" w:themeFillShade="F2"/>
          </w:tcPr>
          <w:p w14:paraId="5368BCC1" w14:textId="58E331D3" w:rsidR="00DA75A1" w:rsidRPr="005D0129" w:rsidRDefault="00F41D52" w:rsidP="00805861">
            <w:pPr>
              <w:pStyle w:val="BoxHeading-Purplelightbox"/>
            </w:pPr>
            <w:r w:rsidRPr="005D0129">
              <w:t>Better understand drivers of payment practices and increase transparency</w:t>
            </w:r>
          </w:p>
          <w:p w14:paraId="76B52864" w14:textId="77777777" w:rsidR="00F41D52" w:rsidRPr="005D0129" w:rsidRDefault="00F41D52" w:rsidP="00F41D52">
            <w:pPr>
              <w:pStyle w:val="BoxText"/>
            </w:pPr>
            <w:r w:rsidRPr="005D0129">
              <w:t xml:space="preserve">In 2025, we initiated </w:t>
            </w:r>
            <w:r w:rsidRPr="005D0129">
              <w:rPr>
                <w:b/>
                <w:bCs/>
              </w:rPr>
              <w:t>research</w:t>
            </w:r>
            <w:r w:rsidRPr="005D0129">
              <w:t xml:space="preserve"> projects; our primary focus was to quantify the economic impact of slow payments and analyse the potential reach and demographic of small businesses impacted by slow payments, at both the entity and industry level.</w:t>
            </w:r>
          </w:p>
          <w:p w14:paraId="1EDB8E6C" w14:textId="77777777" w:rsidR="00F41D52" w:rsidRPr="005D0129" w:rsidRDefault="00F41D52" w:rsidP="00F41D52">
            <w:pPr>
              <w:pStyle w:val="BoxText"/>
            </w:pPr>
            <w:r w:rsidRPr="005D0129">
              <w:t xml:space="preserve">We improved the presentation and </w:t>
            </w:r>
            <w:r w:rsidRPr="005D0129">
              <w:rPr>
                <w:b/>
                <w:bCs/>
              </w:rPr>
              <w:t>transparency of information</w:t>
            </w:r>
            <w:r w:rsidRPr="005D0129">
              <w:t xml:space="preserve"> in the publicly available Payment Times Reports Register to ensure it makes data easier to understand and provides a clear visual summary of each reporting entity’s payment performance. </w:t>
            </w:r>
          </w:p>
          <w:p w14:paraId="7305A22F" w14:textId="35FD4098" w:rsidR="00DA75A1" w:rsidRPr="005D0129" w:rsidRDefault="00F41D52" w:rsidP="00F41D52">
            <w:pPr>
              <w:pStyle w:val="BoxBullet"/>
              <w:numPr>
                <w:ilvl w:val="0"/>
                <w:numId w:val="0"/>
              </w:numPr>
            </w:pPr>
            <w:r w:rsidRPr="005D0129">
              <w:t xml:space="preserve">The Payment Times Reports Register now contains the </w:t>
            </w:r>
            <w:r w:rsidR="00BF6C8B">
              <w:t>key</w:t>
            </w:r>
            <w:r w:rsidRPr="005D0129">
              <w:t xml:space="preserve"> reporting measures introduced by the reforms, including the new ‘Paid on Time’ tab for all industries and individual entities, and consolidated group structures with controlled</w:t>
            </w:r>
            <w:r w:rsidR="00937E1F" w:rsidRPr="005D0129">
              <w:t> </w:t>
            </w:r>
            <w:r w:rsidRPr="005D0129">
              <w:t>entities.</w:t>
            </w:r>
          </w:p>
        </w:tc>
      </w:tr>
    </w:tbl>
    <w:p w14:paraId="48065EE7" w14:textId="2AC8C52F" w:rsidR="00F5639C" w:rsidRPr="002F5F97" w:rsidRDefault="00F5639C" w:rsidP="00C1228E">
      <w:r w:rsidRPr="002F5F97">
        <w:t xml:space="preserve"> </w:t>
      </w: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2128"/>
        <w:gridCol w:w="6376"/>
      </w:tblGrid>
      <w:tr w:rsidR="00F41D52" w:rsidRPr="005D0129" w14:paraId="40048B62" w14:textId="77777777" w:rsidTr="00DB1F8D">
        <w:tc>
          <w:tcPr>
            <w:tcW w:w="1251" w:type="pct"/>
            <w:shd w:val="clear" w:color="auto" w:fill="461F65" w:themeFill="accent1"/>
            <w:vAlign w:val="center"/>
          </w:tcPr>
          <w:p w14:paraId="0610CEA7" w14:textId="1A74051B" w:rsidR="00DB1F8D" w:rsidRPr="005D0129" w:rsidRDefault="00CA4798" w:rsidP="00DB1F8D">
            <w:pPr>
              <w:pStyle w:val="BoxHeading-Purplelightbox"/>
              <w:jc w:val="center"/>
              <w:rPr>
                <w:color w:val="FFFFFF" w:themeColor="background1"/>
                <w:sz w:val="24"/>
                <w:szCs w:val="24"/>
              </w:rPr>
            </w:pPr>
            <w:r w:rsidRPr="005D0129">
              <w:rPr>
                <w:noProof/>
                <w:color w:val="FFFFFF" w:themeColor="background1"/>
                <w:sz w:val="24"/>
                <w:szCs w:val="24"/>
              </w:rPr>
              <w:drawing>
                <wp:inline distT="0" distB="0" distL="0" distR="0" wp14:anchorId="6FF4A57D" wp14:editId="48176A12">
                  <wp:extent cx="648000" cy="648000"/>
                  <wp:effectExtent l="0" t="0" r="0" b="0"/>
                  <wp:docPr id="11886650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65084"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p w14:paraId="2CE0DFC2" w14:textId="1D23EB91" w:rsidR="00F41D52" w:rsidRPr="005D0129" w:rsidRDefault="002B1CA9" w:rsidP="00DB1F8D">
            <w:pPr>
              <w:pStyle w:val="BoxHeading-Purplelightbox"/>
              <w:spacing w:before="120"/>
              <w:jc w:val="center"/>
            </w:pPr>
            <w:r w:rsidRPr="005D0129">
              <w:rPr>
                <w:color w:val="FFFFFF" w:themeColor="background1"/>
                <w:sz w:val="24"/>
                <w:szCs w:val="24"/>
              </w:rPr>
              <w:t>Compliance &amp; Enforcement</w:t>
            </w:r>
          </w:p>
        </w:tc>
        <w:tc>
          <w:tcPr>
            <w:tcW w:w="3749" w:type="pct"/>
            <w:shd w:val="clear" w:color="auto" w:fill="F2F2F2" w:themeFill="background1" w:themeFillShade="F2"/>
          </w:tcPr>
          <w:p w14:paraId="0E55F1DE" w14:textId="77777777" w:rsidR="00461317" w:rsidRPr="005D0129" w:rsidRDefault="00461317" w:rsidP="00805861">
            <w:pPr>
              <w:pStyle w:val="BoxText"/>
              <w:rPr>
                <w:b/>
                <w:color w:val="461F65" w:themeColor="accent1"/>
                <w:sz w:val="26"/>
                <w:szCs w:val="26"/>
              </w:rPr>
            </w:pPr>
            <w:r w:rsidRPr="005D0129">
              <w:rPr>
                <w:b/>
                <w:color w:val="461F65" w:themeColor="accent1"/>
                <w:sz w:val="26"/>
                <w:szCs w:val="26"/>
              </w:rPr>
              <w:t xml:space="preserve">Strengthening integrity and taking action </w:t>
            </w:r>
          </w:p>
          <w:p w14:paraId="0568633A" w14:textId="77777777" w:rsidR="007208C8" w:rsidRPr="005D0129" w:rsidRDefault="007208C8" w:rsidP="007208C8">
            <w:pPr>
              <w:pStyle w:val="BoxText"/>
            </w:pPr>
            <w:r w:rsidRPr="005D0129">
              <w:t>We increased our compliance activities in 2025, focusing on entities that were required to report but had not met their obligations, together with those submitting potentially false or misleading reports.</w:t>
            </w:r>
          </w:p>
          <w:p w14:paraId="10B36A89" w14:textId="77777777" w:rsidR="007208C8" w:rsidRPr="005D0129" w:rsidRDefault="007208C8" w:rsidP="007208C8">
            <w:pPr>
              <w:pStyle w:val="BoxText"/>
            </w:pPr>
            <w:r w:rsidRPr="005D0129">
              <w:t>We wrote to entities that:</w:t>
            </w:r>
          </w:p>
          <w:p w14:paraId="4E0AC1AA" w14:textId="53A9ABEE" w:rsidR="007208C8" w:rsidRPr="005D0129" w:rsidRDefault="007208C8" w:rsidP="007208C8">
            <w:pPr>
              <w:pStyle w:val="BoxBullet"/>
            </w:pPr>
            <w:r w:rsidRPr="005D0129">
              <w:tab/>
              <w:t>failed to submit a report to remind them of their reporting obligations</w:t>
            </w:r>
          </w:p>
          <w:p w14:paraId="0DB483EF" w14:textId="5A52B778" w:rsidR="007208C8" w:rsidRPr="005D0129" w:rsidRDefault="007208C8" w:rsidP="007208C8">
            <w:pPr>
              <w:pStyle w:val="BoxBullet"/>
            </w:pPr>
            <w:r w:rsidRPr="005D0129">
              <w:tab/>
              <w:t>submitted reports late</w:t>
            </w:r>
          </w:p>
          <w:p w14:paraId="61360DE3" w14:textId="07881E6D" w:rsidR="007208C8" w:rsidRPr="005D0129" w:rsidRDefault="007208C8" w:rsidP="007208C8">
            <w:pPr>
              <w:pStyle w:val="BoxBullet"/>
            </w:pPr>
            <w:r w:rsidRPr="005D0129">
              <w:tab/>
              <w:t>submitted reports that were potentially false or misleading, or</w:t>
            </w:r>
          </w:p>
          <w:p w14:paraId="71BFA1CB" w14:textId="66491BAC" w:rsidR="007208C8" w:rsidRPr="005D0129" w:rsidRDefault="007208C8" w:rsidP="007208C8">
            <w:pPr>
              <w:pStyle w:val="BoxBullet"/>
            </w:pPr>
            <w:r w:rsidRPr="005D0129">
              <w:tab/>
              <w:t xml:space="preserve">were identified as being at risk of meeting the criteria </w:t>
            </w:r>
            <w:r w:rsidR="0009795C">
              <w:t>to receive a</w:t>
            </w:r>
            <w:r w:rsidRPr="005D0129">
              <w:t xml:space="preserve"> slow small business payer direction.</w:t>
            </w:r>
          </w:p>
          <w:p w14:paraId="74BE3502" w14:textId="5FAECAE7" w:rsidR="00F41D52" w:rsidRPr="005D0129" w:rsidRDefault="007208C8" w:rsidP="007208C8">
            <w:pPr>
              <w:pStyle w:val="BoxBullet"/>
              <w:numPr>
                <w:ilvl w:val="0"/>
                <w:numId w:val="0"/>
              </w:numPr>
            </w:pPr>
            <w:r w:rsidRPr="005D0129">
              <w:t>We expanded the use of our regulatory powers, including sending formal information gathering notices and issuing infringement notices.</w:t>
            </w:r>
          </w:p>
        </w:tc>
      </w:tr>
    </w:tbl>
    <w:p w14:paraId="50044700" w14:textId="77777777" w:rsidR="000D39B8" w:rsidRPr="002F5F97" w:rsidRDefault="000D39B8" w:rsidP="00EA1AFD">
      <w:pPr>
        <w:pStyle w:val="SingleParagraph"/>
      </w:pPr>
    </w:p>
    <w:p w14:paraId="514E7B85" w14:textId="77777777" w:rsidR="000D39B8" w:rsidRPr="002F5F97" w:rsidRDefault="000D39B8" w:rsidP="00EA1AFD">
      <w:pPr>
        <w:pStyle w:val="SingleParagraph"/>
        <w:sectPr w:rsidR="000D39B8" w:rsidRPr="002F5F97" w:rsidSect="00C65430">
          <w:pgSz w:w="11906" w:h="16838" w:code="9"/>
          <w:pgMar w:top="1418" w:right="1701" w:bottom="1418" w:left="1701" w:header="709" w:footer="709" w:gutter="0"/>
          <w:cols w:space="708"/>
          <w:docGrid w:linePitch="360"/>
        </w:sectPr>
      </w:pPr>
    </w:p>
    <w:p w14:paraId="7E7EE9A2" w14:textId="636F963D" w:rsidR="00FA3A2D" w:rsidRPr="002F5F97" w:rsidRDefault="00AE473D" w:rsidP="0018114C">
      <w:pPr>
        <w:pStyle w:val="Heading2"/>
        <w:spacing w:before="0"/>
      </w:pPr>
      <w:r w:rsidRPr="002F5F97">
        <w:lastRenderedPageBreak/>
        <w:t xml:space="preserve">The </w:t>
      </w:r>
      <w:r w:rsidR="00157F68" w:rsidRPr="002F5F97">
        <w:t>y</w:t>
      </w:r>
      <w:r w:rsidRPr="002F5F97">
        <w:t xml:space="preserve">ear </w:t>
      </w:r>
      <w:r w:rsidR="00157F68" w:rsidRPr="002F5F97">
        <w:t>a</w:t>
      </w:r>
      <w:r w:rsidRPr="002F5F97">
        <w:t>head: 2026 priority areas</w:t>
      </w:r>
    </w:p>
    <w:p w14:paraId="38404A44" w14:textId="6C4CBB8D" w:rsidR="000C415F" w:rsidRPr="002F5F97" w:rsidRDefault="008B13F7" w:rsidP="00FA3A2D">
      <w:pPr>
        <w:rPr>
          <w:lang w:eastAsia="en-AU"/>
        </w:rPr>
      </w:pPr>
      <w:r w:rsidRPr="002F5F97">
        <w:rPr>
          <w:lang w:eastAsia="en-AU"/>
        </w:rPr>
        <w:t xml:space="preserve">Our commitment to the </w:t>
      </w:r>
      <w:r w:rsidR="00106FB0">
        <w:rPr>
          <w:lang w:eastAsia="en-AU"/>
        </w:rPr>
        <w:t>3 p</w:t>
      </w:r>
      <w:r w:rsidR="006F0CAD" w:rsidRPr="002F5F97">
        <w:rPr>
          <w:lang w:eastAsia="en-AU"/>
        </w:rPr>
        <w:t xml:space="preserve">rinciples </w:t>
      </w:r>
      <w:r w:rsidR="006F0CAD">
        <w:rPr>
          <w:lang w:eastAsia="en-AU"/>
        </w:rPr>
        <w:t xml:space="preserve">of </w:t>
      </w:r>
      <w:r w:rsidR="00F4194E">
        <w:rPr>
          <w:lang w:eastAsia="en-AU"/>
        </w:rPr>
        <w:t>r</w:t>
      </w:r>
      <w:r w:rsidRPr="002F5F97">
        <w:rPr>
          <w:lang w:eastAsia="en-AU"/>
        </w:rPr>
        <w:t xml:space="preserve">egulator </w:t>
      </w:r>
      <w:r w:rsidR="00106FB0">
        <w:rPr>
          <w:lang w:eastAsia="en-AU"/>
        </w:rPr>
        <w:t>b</w:t>
      </w:r>
      <w:r w:rsidRPr="002F5F97">
        <w:rPr>
          <w:lang w:eastAsia="en-AU"/>
        </w:rPr>
        <w:t xml:space="preserve">est </w:t>
      </w:r>
      <w:r w:rsidR="00106FB0">
        <w:rPr>
          <w:lang w:eastAsia="en-AU"/>
        </w:rPr>
        <w:t>p</w:t>
      </w:r>
      <w:r w:rsidRPr="002F5F97">
        <w:rPr>
          <w:lang w:eastAsia="en-AU"/>
        </w:rPr>
        <w:t xml:space="preserve">ractice </w:t>
      </w:r>
      <w:r w:rsidR="002502B1">
        <w:rPr>
          <w:lang w:eastAsia="en-AU"/>
        </w:rPr>
        <w:t>consistent with</w:t>
      </w:r>
      <w:r w:rsidRPr="002F5F97">
        <w:rPr>
          <w:lang w:eastAsia="en-AU"/>
        </w:rPr>
        <w:t xml:space="preserve"> the Commonwealth</w:t>
      </w:r>
      <w:r w:rsidR="005D0129">
        <w:rPr>
          <w:lang w:eastAsia="en-AU"/>
        </w:rPr>
        <w:t>’</w:t>
      </w:r>
      <w:r w:rsidRPr="002F5F97">
        <w:rPr>
          <w:lang w:eastAsia="en-AU"/>
        </w:rPr>
        <w:t>s Regulator</w:t>
      </w:r>
      <w:r w:rsidR="00700C36">
        <w:rPr>
          <w:lang w:eastAsia="en-AU"/>
        </w:rPr>
        <w:t xml:space="preserve"> Performance </w:t>
      </w:r>
      <w:r w:rsidR="005B1FF2">
        <w:rPr>
          <w:lang w:eastAsia="en-AU"/>
        </w:rPr>
        <w:t xml:space="preserve">(RMG 128) </w:t>
      </w:r>
      <w:r w:rsidRPr="002F5F97">
        <w:rPr>
          <w:lang w:eastAsia="en-AU"/>
        </w:rPr>
        <w:t xml:space="preserve"> </w:t>
      </w:r>
      <w:r w:rsidR="00E3067D" w:rsidRPr="002F5F97">
        <w:rPr>
          <w:lang w:eastAsia="en-AU"/>
        </w:rPr>
        <w:t>is</w:t>
      </w:r>
      <w:r w:rsidRPr="002F5F97">
        <w:rPr>
          <w:lang w:eastAsia="en-AU"/>
        </w:rPr>
        <w:t xml:space="preserve"> ongoing</w:t>
      </w:r>
      <w:r w:rsidR="00E3067D" w:rsidRPr="002F5F97">
        <w:rPr>
          <w:lang w:eastAsia="en-AU"/>
        </w:rPr>
        <w:t>.</w:t>
      </w:r>
    </w:p>
    <w:p w14:paraId="0DC9C272" w14:textId="76EDC05B" w:rsidR="000C415F" w:rsidRPr="002F5F97" w:rsidRDefault="00F66C95" w:rsidP="00FA3A2D">
      <w:pPr>
        <w:rPr>
          <w:lang w:eastAsia="en-AU"/>
        </w:rPr>
      </w:pPr>
      <w:r w:rsidRPr="002F5F97">
        <w:rPr>
          <w:noProof/>
        </w:rPr>
        <w:drawing>
          <wp:inline distT="0" distB="0" distL="0" distR="0" wp14:anchorId="3A24BA75" wp14:editId="023ECD99">
            <wp:extent cx="5122800" cy="1303200"/>
            <wp:effectExtent l="0" t="0" r="1905" b="0"/>
            <wp:docPr id="1183941816" name="Picture 1" descr="Regulator Performance (RMG 128) Best Practice Principles outlined in three box tiles. First box containing decorative icon of two hands shaking ‘continuous improvement and building trust’, second box containing decorative icon of a chart ‘being risk based and data driven, third box containing decorative icon of a building and network of people, ‘Collaboration and e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41816" name="Picture 1" descr="Regulator Performance (RMG 128) Best Practice Principles outlined in three box tiles. First box containing decorative icon of two hands shaking ‘continuous improvement and building trust’, second box containing decorative icon of a chart ‘being risk based and data driven, third box containing decorative icon of a building and network of people, ‘Collaboration and engagement’. "/>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2800" cy="1303200"/>
                    </a:xfrm>
                    <a:prstGeom prst="rect">
                      <a:avLst/>
                    </a:prstGeom>
                  </pic:spPr>
                </pic:pic>
              </a:graphicData>
            </a:graphic>
          </wp:inline>
        </w:drawing>
      </w:r>
      <w:r w:rsidRPr="002F5F97">
        <w:t xml:space="preserve"> </w:t>
      </w:r>
    </w:p>
    <w:p w14:paraId="4575853A" w14:textId="1F1D6BD2" w:rsidR="0025584F" w:rsidRPr="002F5F97" w:rsidRDefault="0025584F" w:rsidP="00F66C95">
      <w:pPr>
        <w:pStyle w:val="Heading3"/>
      </w:pPr>
      <w:r w:rsidRPr="002F5F97">
        <w:t xml:space="preserve">ICT </w:t>
      </w:r>
      <w:r w:rsidR="00B64F16" w:rsidRPr="002F5F97">
        <w:t>i</w:t>
      </w:r>
      <w:r w:rsidRPr="002F5F97">
        <w:t>nfrastructure and tools</w:t>
      </w:r>
    </w:p>
    <w:p w14:paraId="6BE9CE29" w14:textId="4713D1A2" w:rsidR="001E2EAC" w:rsidRPr="002F5F97" w:rsidRDefault="00C47CC1" w:rsidP="001E2EAC">
      <w:pPr>
        <w:rPr>
          <w:lang w:eastAsia="en-AU"/>
        </w:rPr>
      </w:pPr>
      <w:r w:rsidRPr="002F5F97">
        <w:rPr>
          <w:lang w:eastAsia="en-AU"/>
        </w:rPr>
        <w:t xml:space="preserve">We will release a new Payment Times Reporting Portal in </w:t>
      </w:r>
      <w:r w:rsidRPr="00AC3DA2">
        <w:rPr>
          <w:b/>
          <w:bCs/>
          <w:lang w:eastAsia="en-AU"/>
        </w:rPr>
        <w:t>mid</w:t>
      </w:r>
      <w:r w:rsidR="005D0129">
        <w:rPr>
          <w:b/>
          <w:bCs/>
          <w:lang w:eastAsia="en-AU"/>
        </w:rPr>
        <w:noBreakHyphen/>
      </w:r>
      <w:r w:rsidRPr="00AC3DA2">
        <w:rPr>
          <w:b/>
          <w:bCs/>
          <w:lang w:eastAsia="en-AU"/>
        </w:rPr>
        <w:t>February 2026</w:t>
      </w:r>
      <w:r w:rsidRPr="002F5F97">
        <w:rPr>
          <w:lang w:eastAsia="en-AU"/>
        </w:rPr>
        <w:t>. This is a major ICT release that delivers significant improvements to usability and efficiency, effectively implementing the remaining reforms. After this release</w:t>
      </w:r>
      <w:r w:rsidR="00AA7190">
        <w:rPr>
          <w:lang w:eastAsia="en-AU"/>
        </w:rPr>
        <w:t>,</w:t>
      </w:r>
      <w:r w:rsidRPr="002F5F97">
        <w:rPr>
          <w:lang w:eastAsia="en-AU"/>
        </w:rPr>
        <w:t xml:space="preserve"> we will enter a sustainment phase for the ICT infrastructure.</w:t>
      </w:r>
    </w:p>
    <w:tbl>
      <w:tblPr>
        <w:tblW w:w="5000" w:type="pct"/>
        <w:shd w:val="clear" w:color="auto" w:fill="CCDCDB"/>
        <w:tblCellMar>
          <w:top w:w="57" w:type="dxa"/>
          <w:left w:w="284" w:type="dxa"/>
          <w:bottom w:w="170" w:type="dxa"/>
          <w:right w:w="284" w:type="dxa"/>
        </w:tblCellMar>
        <w:tblLook w:val="01E0" w:firstRow="1" w:lastRow="1" w:firstColumn="1" w:lastColumn="1" w:noHBand="0" w:noVBand="0"/>
      </w:tblPr>
      <w:tblGrid>
        <w:gridCol w:w="2041"/>
        <w:gridCol w:w="6463"/>
      </w:tblGrid>
      <w:tr w:rsidR="00A8577E" w:rsidRPr="005D0129" w14:paraId="38100706" w14:textId="77777777" w:rsidTr="0037148C">
        <w:tc>
          <w:tcPr>
            <w:tcW w:w="2041" w:type="dxa"/>
            <w:shd w:val="clear" w:color="auto" w:fill="9CACC4" w:themeFill="accent6" w:themeFillTint="66"/>
            <w:vAlign w:val="center"/>
          </w:tcPr>
          <w:p w14:paraId="10CEC838" w14:textId="33B5F05C" w:rsidR="00122C8B" w:rsidRPr="005D0129" w:rsidRDefault="007500CC" w:rsidP="007500CC">
            <w:pPr>
              <w:pStyle w:val="BoxHeading-Purplelightbox"/>
              <w:jc w:val="center"/>
              <w:rPr>
                <w:color w:val="212937" w:themeColor="text1" w:themeShade="BF"/>
              </w:rPr>
            </w:pPr>
            <w:r w:rsidRPr="005D0129">
              <w:rPr>
                <w:noProof/>
                <w:color w:val="212937" w:themeColor="text1" w:themeShade="BF"/>
              </w:rPr>
              <w:drawing>
                <wp:inline distT="0" distB="0" distL="0" distR="0" wp14:anchorId="65D2BD01" wp14:editId="22177686">
                  <wp:extent cx="648000" cy="648000"/>
                  <wp:effectExtent l="0" t="0" r="0" b="0"/>
                  <wp:docPr id="16949266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2660" name="Picture 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p w14:paraId="50839568" w14:textId="767B0857" w:rsidR="00A8577E" w:rsidRPr="005D0129" w:rsidRDefault="004321FC" w:rsidP="000961AB">
            <w:pPr>
              <w:pStyle w:val="BoxHeading-Purplelightbox"/>
              <w:spacing w:before="120"/>
              <w:rPr>
                <w:color w:val="212937" w:themeColor="text1" w:themeShade="BF"/>
              </w:rPr>
            </w:pPr>
            <w:r w:rsidRPr="005D0129">
              <w:rPr>
                <w:color w:val="212937" w:themeColor="text1" w:themeShade="BF"/>
              </w:rPr>
              <w:t>Engagement &amp; Education</w:t>
            </w:r>
          </w:p>
        </w:tc>
        <w:tc>
          <w:tcPr>
            <w:tcW w:w="6520" w:type="dxa"/>
            <w:shd w:val="clear" w:color="auto" w:fill="CDD5E1" w:themeFill="text1" w:themeFillTint="33"/>
          </w:tcPr>
          <w:p w14:paraId="7D5A0E13" w14:textId="77777777" w:rsidR="004321FC" w:rsidRPr="005D0129" w:rsidRDefault="00A8577E" w:rsidP="00682E7B">
            <w:pPr>
              <w:pStyle w:val="BoxHeading"/>
              <w:rPr>
                <w:color w:val="212937" w:themeColor="text1" w:themeShade="BF"/>
              </w:rPr>
            </w:pPr>
            <w:r w:rsidRPr="005D0129">
              <w:rPr>
                <w:color w:val="212937" w:themeColor="text1" w:themeShade="BF"/>
              </w:rPr>
              <w:t xml:space="preserve">Strategic stakeholder engagement and education </w:t>
            </w:r>
          </w:p>
          <w:p w14:paraId="0F8CFEAB" w14:textId="7FA879EA" w:rsidR="00073CD7" w:rsidRPr="005D0129" w:rsidRDefault="00073CD7" w:rsidP="00073CD7">
            <w:pPr>
              <w:pStyle w:val="BoxText"/>
            </w:pPr>
            <w:r w:rsidRPr="005D0129">
              <w:t>Continue strategic engagements with industry associations, professional bodies, professional service providers and small business advocates to raise the profile of the Scheme and promote responsible payment practices.</w:t>
            </w:r>
          </w:p>
          <w:p w14:paraId="2F129733" w14:textId="77777777" w:rsidR="00073CD7" w:rsidRPr="005D0129" w:rsidRDefault="00073CD7" w:rsidP="00073CD7">
            <w:pPr>
              <w:pStyle w:val="BoxText"/>
            </w:pPr>
            <w:r w:rsidRPr="005D0129">
              <w:t xml:space="preserve">Leverage the trusted relations we established in 2025 for purposeful engagements aligned to the 3 pillars of our stakeholder engagement strategy: </w:t>
            </w:r>
            <w:r w:rsidRPr="005D0129">
              <w:rPr>
                <w:b/>
                <w:bCs/>
              </w:rPr>
              <w:t>influence, inform</w:t>
            </w:r>
            <w:r w:rsidRPr="005D0129">
              <w:t xml:space="preserve"> and </w:t>
            </w:r>
            <w:r w:rsidRPr="005D0129">
              <w:rPr>
                <w:b/>
                <w:bCs/>
              </w:rPr>
              <w:t>collaborate</w:t>
            </w:r>
            <w:r w:rsidRPr="005D0129">
              <w:t>.</w:t>
            </w:r>
          </w:p>
          <w:p w14:paraId="0FD6A1F6" w14:textId="24FDBF48" w:rsidR="00A8577E" w:rsidRPr="005D0129" w:rsidRDefault="00073CD7" w:rsidP="00073CD7">
            <w:pPr>
              <w:pStyle w:val="BoxText"/>
            </w:pPr>
            <w:r w:rsidRPr="005D0129">
              <w:t>Support reporting entities by providing fit-for-purpose educational resources and tools to help them understand and meet their legal</w:t>
            </w:r>
            <w:r w:rsidR="006676E9" w:rsidRPr="005D0129">
              <w:t> </w:t>
            </w:r>
            <w:r w:rsidRPr="005D0129">
              <w:t xml:space="preserve">obligations. </w:t>
            </w:r>
          </w:p>
        </w:tc>
      </w:tr>
    </w:tbl>
    <w:p w14:paraId="602F4370" w14:textId="793F2CCE" w:rsidR="004321FC" w:rsidRPr="00CF1B03" w:rsidRDefault="004321FC" w:rsidP="00CF1B03"/>
    <w:tbl>
      <w:tblPr>
        <w:tblW w:w="5000" w:type="pct"/>
        <w:shd w:val="clear" w:color="auto" w:fill="CCDCDB"/>
        <w:tblCellMar>
          <w:top w:w="57" w:type="dxa"/>
          <w:left w:w="284" w:type="dxa"/>
          <w:bottom w:w="170" w:type="dxa"/>
          <w:right w:w="284" w:type="dxa"/>
        </w:tblCellMar>
        <w:tblLook w:val="01E0" w:firstRow="1" w:lastRow="1" w:firstColumn="1" w:lastColumn="1" w:noHBand="0" w:noVBand="0"/>
      </w:tblPr>
      <w:tblGrid>
        <w:gridCol w:w="1985"/>
        <w:gridCol w:w="6519"/>
      </w:tblGrid>
      <w:tr w:rsidR="004321FC" w:rsidRPr="005D0129" w14:paraId="0101F877" w14:textId="77777777" w:rsidTr="0037148C">
        <w:tc>
          <w:tcPr>
            <w:tcW w:w="1167" w:type="pct"/>
            <w:shd w:val="clear" w:color="auto" w:fill="A6A6A6" w:themeFill="background1" w:themeFillShade="A6"/>
            <w:vAlign w:val="center"/>
          </w:tcPr>
          <w:p w14:paraId="414F1A9D" w14:textId="10CD5061" w:rsidR="00AF3565" w:rsidRPr="005D0129" w:rsidRDefault="000961AB" w:rsidP="0004380B">
            <w:pPr>
              <w:pStyle w:val="BoxHeading-Purplelightbox"/>
              <w:jc w:val="center"/>
              <w:rPr>
                <w:color w:val="161C24" w:themeColor="text1" w:themeShade="80"/>
              </w:rPr>
            </w:pPr>
            <w:r w:rsidRPr="005D0129">
              <w:rPr>
                <w:noProof/>
                <w:color w:val="161C24" w:themeColor="text1" w:themeShade="80"/>
              </w:rPr>
              <w:lastRenderedPageBreak/>
              <w:drawing>
                <wp:inline distT="0" distB="0" distL="0" distR="0" wp14:anchorId="2F915D33" wp14:editId="1EEC0056">
                  <wp:extent cx="612000" cy="612000"/>
                  <wp:effectExtent l="0" t="0" r="0" b="0"/>
                  <wp:docPr id="1654738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3827" name="Picture 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p w14:paraId="023E29CA" w14:textId="12B79D72" w:rsidR="004321FC" w:rsidRPr="005D0129" w:rsidRDefault="00C47CC1" w:rsidP="0004380B">
            <w:pPr>
              <w:pStyle w:val="BoxHeading-Purplelightbox"/>
              <w:jc w:val="center"/>
              <w:rPr>
                <w:color w:val="161C24" w:themeColor="text1" w:themeShade="80"/>
              </w:rPr>
            </w:pPr>
            <w:r w:rsidRPr="005D0129">
              <w:rPr>
                <w:color w:val="161C24" w:themeColor="text1" w:themeShade="80"/>
              </w:rPr>
              <w:t>Research &amp; Intelligence</w:t>
            </w:r>
          </w:p>
        </w:tc>
        <w:tc>
          <w:tcPr>
            <w:tcW w:w="3833" w:type="pct"/>
            <w:shd w:val="clear" w:color="auto" w:fill="D9D9D9" w:themeFill="background1" w:themeFillShade="D9"/>
          </w:tcPr>
          <w:p w14:paraId="6BB59983" w14:textId="77777777" w:rsidR="00C47CC1" w:rsidRPr="005D0129" w:rsidRDefault="00C47CC1" w:rsidP="00A9314B">
            <w:pPr>
              <w:pStyle w:val="BoxHeading"/>
              <w:rPr>
                <w:color w:val="161C24" w:themeColor="text1" w:themeShade="80"/>
              </w:rPr>
            </w:pPr>
            <w:r w:rsidRPr="005D0129">
              <w:rPr>
                <w:color w:val="161C24" w:themeColor="text1" w:themeShade="80"/>
              </w:rPr>
              <w:t xml:space="preserve">Better understand drivers of payment practices and increase transparency </w:t>
            </w:r>
          </w:p>
          <w:p w14:paraId="476BEE84" w14:textId="77777777" w:rsidR="00C47CC1" w:rsidRPr="005D0129" w:rsidRDefault="00C47CC1" w:rsidP="00C47CC1">
            <w:pPr>
              <w:pStyle w:val="BoxText"/>
            </w:pPr>
            <w:r w:rsidRPr="005D0129">
              <w:t>Use data to inform research projects that will help us to better understand the drivers of payment and procurement practices, including the economic impact of slow payment times. Research will highlight how improved payment times and practices can strengthen small businesses cash flow, build resilient supply chains, and support productivity in Australia.</w:t>
            </w:r>
          </w:p>
          <w:p w14:paraId="4A7837D0" w14:textId="213FE983" w:rsidR="004321FC" w:rsidRPr="005D0129" w:rsidRDefault="00C47CC1" w:rsidP="00C47CC1">
            <w:pPr>
              <w:pStyle w:val="BoxText"/>
            </w:pPr>
            <w:r w:rsidRPr="005D0129">
              <w:t>Increase transparency through continual improvements to the public Payment Times Reports Register and publication of research and data insights highlighting fast and slow small business payers.</w:t>
            </w:r>
            <w:r w:rsidR="004321FC" w:rsidRPr="005D0129">
              <w:t xml:space="preserve"> </w:t>
            </w:r>
          </w:p>
        </w:tc>
      </w:tr>
    </w:tbl>
    <w:p w14:paraId="5D2F0DDD" w14:textId="77777777" w:rsidR="00EF6E31" w:rsidRPr="00CF1B03" w:rsidRDefault="00EF6E31" w:rsidP="00CF1B03"/>
    <w:tbl>
      <w:tblPr>
        <w:tblW w:w="5000" w:type="pct"/>
        <w:shd w:val="clear" w:color="auto" w:fill="CCDCDB"/>
        <w:tblLayout w:type="fixed"/>
        <w:tblCellMar>
          <w:top w:w="57" w:type="dxa"/>
          <w:left w:w="284" w:type="dxa"/>
          <w:bottom w:w="170" w:type="dxa"/>
          <w:right w:w="284" w:type="dxa"/>
        </w:tblCellMar>
        <w:tblLook w:val="01E0" w:firstRow="1" w:lastRow="1" w:firstColumn="1" w:lastColumn="1" w:noHBand="0" w:noVBand="0"/>
      </w:tblPr>
      <w:tblGrid>
        <w:gridCol w:w="1985"/>
        <w:gridCol w:w="6519"/>
      </w:tblGrid>
      <w:tr w:rsidR="00C47CC1" w:rsidRPr="005D0129" w14:paraId="7AAA9845" w14:textId="77777777" w:rsidTr="00730787">
        <w:tc>
          <w:tcPr>
            <w:tcW w:w="1167" w:type="pct"/>
            <w:shd w:val="clear" w:color="auto" w:fill="004F4D" w:themeFill="text2"/>
            <w:tcMar>
              <w:left w:w="0" w:type="dxa"/>
              <w:right w:w="0" w:type="dxa"/>
            </w:tcMar>
            <w:vAlign w:val="center"/>
          </w:tcPr>
          <w:p w14:paraId="6CF600FB" w14:textId="55635A96" w:rsidR="006D39A1" w:rsidRPr="005D0129" w:rsidRDefault="00056209" w:rsidP="00056209">
            <w:pPr>
              <w:pStyle w:val="BoxHeading-Purplelightbox"/>
              <w:jc w:val="center"/>
              <w:rPr>
                <w:color w:val="FFFFFF" w:themeColor="background1"/>
                <w:lang w:eastAsia="en-AU"/>
              </w:rPr>
            </w:pPr>
            <w:r w:rsidRPr="005D0129">
              <w:rPr>
                <w:noProof/>
                <w:color w:val="FFFFFF" w:themeColor="background1"/>
                <w:lang w:eastAsia="en-AU"/>
              </w:rPr>
              <w:drawing>
                <wp:inline distT="0" distB="0" distL="0" distR="0" wp14:anchorId="5F970B0D" wp14:editId="35B3B56F">
                  <wp:extent cx="648000" cy="648000"/>
                  <wp:effectExtent l="0" t="0" r="0" b="0"/>
                  <wp:docPr id="3483787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7870" name="Picture 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p w14:paraId="74C63534" w14:textId="03D84D92" w:rsidR="00C47CC1" w:rsidRPr="005D0129" w:rsidRDefault="00682E7B" w:rsidP="006676E9">
            <w:pPr>
              <w:pStyle w:val="BoxHeading-Purplelightbox"/>
              <w:spacing w:before="120"/>
              <w:jc w:val="center"/>
              <w:rPr>
                <w:color w:val="FFFFFF" w:themeColor="background1"/>
              </w:rPr>
            </w:pPr>
            <w:r w:rsidRPr="005D0129">
              <w:rPr>
                <w:color w:val="FFFFFF" w:themeColor="background1"/>
                <w:lang w:eastAsia="en-AU"/>
              </w:rPr>
              <w:t>Compliance &amp;</w:t>
            </w:r>
            <w:r w:rsidR="00730787">
              <w:rPr>
                <w:color w:val="FFFFFF" w:themeColor="background1"/>
                <w:lang w:eastAsia="en-AU"/>
              </w:rPr>
              <w:t xml:space="preserve"> </w:t>
            </w:r>
            <w:r w:rsidRPr="005D0129">
              <w:rPr>
                <w:color w:val="FFFFFF" w:themeColor="background1"/>
                <w:lang w:eastAsia="en-AU"/>
              </w:rPr>
              <w:t>Enforcement</w:t>
            </w:r>
          </w:p>
        </w:tc>
        <w:tc>
          <w:tcPr>
            <w:tcW w:w="3833" w:type="pct"/>
            <w:shd w:val="clear" w:color="auto" w:fill="CCDCDB"/>
          </w:tcPr>
          <w:p w14:paraId="0E249612" w14:textId="77777777" w:rsidR="00682E7B" w:rsidRPr="005D0129" w:rsidRDefault="00682E7B" w:rsidP="00DF135A">
            <w:pPr>
              <w:pStyle w:val="BoxHeading-Greenbox"/>
            </w:pPr>
            <w:r w:rsidRPr="005D0129">
              <w:t xml:space="preserve">Strengthening integrity and taking action </w:t>
            </w:r>
          </w:p>
          <w:p w14:paraId="228DFF1C" w14:textId="20DCFDF6" w:rsidR="00682E7B" w:rsidRPr="005D0129" w:rsidRDefault="00682E7B" w:rsidP="00682E7B">
            <w:pPr>
              <w:rPr>
                <w:lang w:eastAsia="en-AU"/>
              </w:rPr>
            </w:pPr>
            <w:r w:rsidRPr="005D0129">
              <w:rPr>
                <w:lang w:eastAsia="en-AU"/>
              </w:rPr>
              <w:t>Continue to strengthen the integrity of the Scheme through data</w:t>
            </w:r>
            <w:r w:rsidR="00AA7190">
              <w:rPr>
                <w:lang w:eastAsia="en-AU"/>
              </w:rPr>
              <w:t>-</w:t>
            </w:r>
            <w:r w:rsidRPr="005D0129">
              <w:rPr>
                <w:lang w:eastAsia="en-AU"/>
              </w:rPr>
              <w:t xml:space="preserve">informed compliance activities, applying greater scrutiny to the completeness and quality of reports received and holding entities to account. </w:t>
            </w:r>
          </w:p>
          <w:p w14:paraId="6FA07B64" w14:textId="3EC880D7" w:rsidR="00C47CC1" w:rsidRPr="005D0129" w:rsidRDefault="00682E7B" w:rsidP="00682E7B">
            <w:r w:rsidRPr="005D0129">
              <w:rPr>
                <w:lang w:eastAsia="en-AU"/>
              </w:rPr>
              <w:t>Encourage positive behavioural shifts and improve voluntary adherence to statutory obligations by continuing to apply nudge strategies.</w:t>
            </w:r>
            <w:r w:rsidR="00C47CC1" w:rsidRPr="005D0129">
              <w:t xml:space="preserve"> </w:t>
            </w:r>
          </w:p>
        </w:tc>
      </w:tr>
    </w:tbl>
    <w:p w14:paraId="3E318F06" w14:textId="77777777" w:rsidR="00A952C7" w:rsidRDefault="00A952C7" w:rsidP="00345700">
      <w:pPr>
        <w:sectPr w:rsidR="00A952C7" w:rsidSect="005C6293">
          <w:pgSz w:w="11906" w:h="16838" w:code="9"/>
          <w:pgMar w:top="1418" w:right="1701" w:bottom="1418" w:left="1701" w:header="709" w:footer="709" w:gutter="0"/>
          <w:cols w:space="708"/>
          <w:docGrid w:linePitch="360"/>
        </w:sectPr>
      </w:pPr>
    </w:p>
    <w:p w14:paraId="1CD4FC81" w14:textId="385EC6F1" w:rsidR="00507D3B" w:rsidRPr="00C33D21" w:rsidRDefault="003355A7" w:rsidP="00C33D21">
      <w:pPr>
        <w:pStyle w:val="ChapterTitle"/>
      </w:pPr>
      <w:bookmarkStart w:id="6" w:name="_Toc220068363"/>
      <w:r w:rsidRPr="00C33D21">
        <w:lastRenderedPageBreak/>
        <w:t>Engagement and</w:t>
      </w:r>
      <w:r w:rsidR="00C33D21">
        <w:t> </w:t>
      </w:r>
      <w:r w:rsidRPr="00C33D21">
        <w:t>education</w:t>
      </w:r>
      <w:bookmarkEnd w:id="6"/>
    </w:p>
    <w:p w14:paraId="31E7946A" w14:textId="22D8CB03" w:rsidR="00507D3B" w:rsidRPr="00CF1B03" w:rsidRDefault="005E0DC7" w:rsidP="00CF1B03">
      <w:pPr>
        <w:pStyle w:val="ChapterSubtitle"/>
        <w:ind w:right="2834"/>
      </w:pPr>
      <w:r w:rsidRPr="00CF1B03">
        <w:t>Purposeful stakeholder engagement</w:t>
      </w:r>
    </w:p>
    <w:p w14:paraId="44A61AB0" w14:textId="6B3F9462" w:rsidR="005E0DC7" w:rsidRPr="00CF1B03" w:rsidRDefault="005E0DC7" w:rsidP="00CF1B03">
      <w:pPr>
        <w:pStyle w:val="ChapterSubtitle"/>
        <w:ind w:right="2834"/>
      </w:pPr>
      <w:r w:rsidRPr="00CF1B03">
        <w:t>How the Regulator</w:t>
      </w:r>
      <w:r w:rsidR="41A60BC0" w:rsidRPr="00CF1B03">
        <w:t xml:space="preserve"> </w:t>
      </w:r>
      <w:r w:rsidRPr="00CF1B03">
        <w:t>is helping you</w:t>
      </w:r>
    </w:p>
    <w:p w14:paraId="5B94F831" w14:textId="2AC623D6" w:rsidR="005E0DC7" w:rsidRPr="00CF1B03" w:rsidRDefault="002F470D" w:rsidP="00CF1B03">
      <w:pPr>
        <w:pStyle w:val="ChapterSubtitle"/>
        <w:ind w:right="2834"/>
      </w:pPr>
      <w:r w:rsidRPr="00CF1B03">
        <w:t>Regulator</w:t>
      </w:r>
      <w:r w:rsidR="005D0129">
        <w:t>’</w:t>
      </w:r>
      <w:r w:rsidRPr="00CF1B03">
        <w:t>s forward</w:t>
      </w:r>
      <w:r w:rsidR="1A67584F" w:rsidRPr="00CF1B03">
        <w:t xml:space="preserve"> </w:t>
      </w:r>
      <w:r w:rsidRPr="00CF1B03">
        <w:t>engagement program</w:t>
      </w:r>
    </w:p>
    <w:p w14:paraId="1C357F27" w14:textId="77777777" w:rsidR="00297CDC" w:rsidRPr="002F5F97" w:rsidRDefault="00297CDC">
      <w:pPr>
        <w:spacing w:before="0" w:after="160" w:line="259" w:lineRule="auto"/>
      </w:pPr>
      <w:r w:rsidRPr="002F5F97">
        <w:br w:type="page"/>
      </w:r>
    </w:p>
    <w:p w14:paraId="4B5BAA13" w14:textId="16551166" w:rsidR="00B15E54" w:rsidRPr="002F5F97" w:rsidRDefault="000D39B8" w:rsidP="00B15E54">
      <w:pPr>
        <w:pStyle w:val="ChapterHeading1"/>
      </w:pPr>
      <w:bookmarkStart w:id="7" w:name="_Toc220068364"/>
      <w:r w:rsidRPr="002F5F97">
        <w:lastRenderedPageBreak/>
        <w:t>Purposeful stakeholder engagement</w:t>
      </w:r>
      <w:bookmarkEnd w:id="7"/>
    </w:p>
    <w:p w14:paraId="6B73A6C4" w14:textId="7385824E" w:rsidR="00EE7072" w:rsidRPr="002F5F97" w:rsidRDefault="00EE7072" w:rsidP="00EE7072">
      <w:r w:rsidRPr="002F5F97">
        <w:t xml:space="preserve">Purposeful engagement goes beyond </w:t>
      </w:r>
      <w:r w:rsidR="004B4248" w:rsidRPr="002F5F97">
        <w:t>communication;</w:t>
      </w:r>
      <w:r w:rsidRPr="002F5F97">
        <w:t xml:space="preserve"> it</w:t>
      </w:r>
      <w:r w:rsidR="005D0129">
        <w:t>’</w:t>
      </w:r>
      <w:r w:rsidRPr="002F5F97">
        <w:t>s about building a culture where every interaction leads to meaningful outcomes. Every interaction is an opportunity to build mutual understanding and drive positive outcomes through open, two</w:t>
      </w:r>
      <w:r w:rsidR="005D0129">
        <w:noBreakHyphen/>
      </w:r>
      <w:r w:rsidRPr="002F5F97">
        <w:t>way communication. The Regulator strives to</w:t>
      </w:r>
      <w:r>
        <w:t> </w:t>
      </w:r>
      <w:r w:rsidRPr="002F5F97">
        <w:t xml:space="preserve">foster a collaborative environment </w:t>
      </w:r>
      <w:r w:rsidR="004B4248">
        <w:t xml:space="preserve">by </w:t>
      </w:r>
      <w:r w:rsidRPr="002F5F97">
        <w:t xml:space="preserve">facilitating constructive discussions where stakeholder feedback is genuinely valued and acted on where appropriate. </w:t>
      </w:r>
    </w:p>
    <w:p w14:paraId="4ED194D4" w14:textId="6BCE230C" w:rsidR="00EE7072" w:rsidRDefault="00EE7072" w:rsidP="00EE7072">
      <w:r w:rsidRPr="002F5F97">
        <w:t>The Regulator has 4 stakeholder engagement priorit</w:t>
      </w:r>
      <w:r w:rsidR="00273850">
        <w:t>ies,</w:t>
      </w:r>
      <w:r w:rsidRPr="002F5F97">
        <w:t xml:space="preserve"> supported by</w:t>
      </w:r>
      <w:r>
        <w:t> </w:t>
      </w:r>
      <w:r w:rsidR="00273850">
        <w:t xml:space="preserve">the </w:t>
      </w:r>
      <w:r w:rsidRPr="002F5F97">
        <w:t>3 pillars</w:t>
      </w:r>
      <w:r w:rsidR="005517EF">
        <w:t xml:space="preserve"> of our stakeholder engagement strategy</w:t>
      </w:r>
      <w:r w:rsidRPr="002F5F97">
        <w:t xml:space="preserve">: </w:t>
      </w:r>
      <w:bookmarkStart w:id="8" w:name="_Hlk219714518"/>
      <w:r w:rsidRPr="002F5F97">
        <w:rPr>
          <w:b/>
        </w:rPr>
        <w:t>influence</w:t>
      </w:r>
      <w:r w:rsidRPr="002F5F97">
        <w:t xml:space="preserve">, </w:t>
      </w:r>
      <w:r w:rsidRPr="002F5F97">
        <w:rPr>
          <w:b/>
        </w:rPr>
        <w:t>inform</w:t>
      </w:r>
      <w:r w:rsidRPr="002F5F97">
        <w:t xml:space="preserve"> and</w:t>
      </w:r>
      <w:r>
        <w:t> </w:t>
      </w:r>
      <w:r w:rsidRPr="002F5F97">
        <w:rPr>
          <w:b/>
        </w:rPr>
        <w:t>collaborate</w:t>
      </w:r>
      <w:r w:rsidRPr="002F5F97">
        <w:t>.</w:t>
      </w:r>
      <w:bookmarkEnd w:id="8"/>
    </w:p>
    <w:p w14:paraId="4491DF22" w14:textId="77777777" w:rsidR="00EE7072" w:rsidRPr="001E6115" w:rsidRDefault="00EE7072" w:rsidP="001E6115"/>
    <w:p w14:paraId="08BC14A9" w14:textId="0E349EAB" w:rsidR="00EE7072" w:rsidRPr="00EE7072" w:rsidRDefault="002105FB" w:rsidP="00134A80">
      <w:pPr>
        <w:pStyle w:val="ChartGraphic"/>
      </w:pPr>
      <w:r w:rsidRPr="002F5F97">
        <w:rPr>
          <w:noProof/>
        </w:rPr>
        <w:drawing>
          <wp:inline distT="0" distB="0" distL="0" distR="0" wp14:anchorId="5418A119" wp14:editId="198B6AC4">
            <wp:extent cx="4118400" cy="4179600"/>
            <wp:effectExtent l="0" t="0" r="0" b="0"/>
            <wp:docPr id="425362222" name="Picture 1" descr="This infographic is a circular diagram divided into four numbered quadrants: &#10;&#10;1. Relationships and collaboration &#10;&#10;2. Building trust and authority &#10;&#10;3. Improving outcomes for small business &#10;&#10;4. Prompt payment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62222" name="Picture 425362222" descr="This infographic is a circular diagram divided into four numbered quadrants: &#10;&#10;1. Relationships and collaboration &#10;&#10;2. Building trust and authority &#10;&#10;3. Improving outcomes for small business &#10;&#10;4. Prompt payment culture "/>
                    <pic:cNvPicPr>
                      <a:picLocks noChangeAspect="1"/>
                    </pic:cNvPicPr>
                  </pic:nvPicPr>
                  <pic:blipFill rotWithShape="1">
                    <a:blip r:embed="rId28" cstate="print">
                      <a:extLst>
                        <a:ext uri="{28A0092B-C50C-407E-A947-70E740481C1C}">
                          <a14:useLocalDpi xmlns:a14="http://schemas.microsoft.com/office/drawing/2010/main" val="0"/>
                        </a:ext>
                      </a:extLst>
                    </a:blip>
                    <a:srcRect t="-1" b="-1439"/>
                    <a:stretch/>
                  </pic:blipFill>
                  <pic:spPr bwMode="auto">
                    <a:xfrm>
                      <a:off x="0" y="0"/>
                      <a:ext cx="4118400" cy="4179600"/>
                    </a:xfrm>
                    <a:prstGeom prst="rect">
                      <a:avLst/>
                    </a:prstGeom>
                    <a:ln>
                      <a:noFill/>
                    </a:ln>
                    <a:extLst>
                      <a:ext uri="{53640926-AAD7-44D8-BBD7-CCE9431645EC}">
                        <a14:shadowObscured xmlns:a14="http://schemas.microsoft.com/office/drawing/2010/main"/>
                      </a:ext>
                    </a:extLst>
                  </pic:spPr>
                </pic:pic>
              </a:graphicData>
            </a:graphic>
          </wp:inline>
        </w:drawing>
      </w:r>
    </w:p>
    <w:p w14:paraId="190E854A" w14:textId="77777777" w:rsidR="00A34D57" w:rsidRPr="00A34D57" w:rsidRDefault="00A34D57" w:rsidP="00A34D57">
      <w:r>
        <w:br w:type="page"/>
      </w:r>
    </w:p>
    <w:p w14:paraId="635B8ABD" w14:textId="5B65DFDB" w:rsidR="0044000D" w:rsidRPr="00FE4475" w:rsidRDefault="0000736A" w:rsidP="007A0345">
      <w:pPr>
        <w:pStyle w:val="Heading2"/>
      </w:pPr>
      <w:r w:rsidRPr="00FE4475">
        <w:lastRenderedPageBreak/>
        <w:t xml:space="preserve">The </w:t>
      </w:r>
      <w:r w:rsidR="00497029" w:rsidRPr="00FE4475">
        <w:t xml:space="preserve">3 </w:t>
      </w:r>
      <w:r w:rsidRPr="00FE4475">
        <w:t xml:space="preserve">pillars </w:t>
      </w:r>
      <w:r w:rsidR="00094AC8" w:rsidRPr="00FE4475">
        <w:t xml:space="preserve">of our </w:t>
      </w:r>
      <w:r w:rsidR="00E043C3" w:rsidRPr="007A0345">
        <w:t>stakeholder</w:t>
      </w:r>
      <w:r w:rsidR="00E043C3" w:rsidRPr="00FE4475">
        <w:t xml:space="preserve"> engagement</w:t>
      </w:r>
      <w:r w:rsidR="00AF111E" w:rsidRPr="00FE4475">
        <w:t xml:space="preserve"> </w:t>
      </w:r>
      <w:r w:rsidR="00094AC8" w:rsidRPr="00FE4475">
        <w:t>strategy</w:t>
      </w:r>
    </w:p>
    <w:p w14:paraId="16986981" w14:textId="106DE79F" w:rsidR="00B15E54" w:rsidRPr="002F5F97" w:rsidRDefault="005205B6" w:rsidP="00867427">
      <w:pPr>
        <w:pStyle w:val="Heading3"/>
      </w:pPr>
      <w:r w:rsidRPr="002F5F97">
        <w:t>Influence</w:t>
      </w: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8504"/>
      </w:tblGrid>
      <w:tr w:rsidR="00994FEE" w:rsidRPr="005D0129" w14:paraId="614F5A4D" w14:textId="77777777" w:rsidTr="00025F87">
        <w:trPr>
          <w:trHeight w:val="300"/>
        </w:trPr>
        <w:tc>
          <w:tcPr>
            <w:tcW w:w="5000" w:type="pct"/>
            <w:shd w:val="clear" w:color="auto" w:fill="CDD5E1" w:themeFill="text1" w:themeFillTint="33"/>
          </w:tcPr>
          <w:p w14:paraId="0A85AE70" w14:textId="19FF6AC9" w:rsidR="00994FEE" w:rsidRPr="005D0129" w:rsidRDefault="000D1307" w:rsidP="00994FEE">
            <w:pPr>
              <w:pStyle w:val="BoxText"/>
            </w:pPr>
            <w:bookmarkStart w:id="9" w:name="_Hlk219466530"/>
            <w:r w:rsidRPr="005D0129">
              <w:rPr>
                <w:noProof/>
              </w:rPr>
              <w:drawing>
                <wp:anchor distT="0" distB="0" distL="114300" distR="114300" simplePos="0" relativeHeight="251658245" behindDoc="0" locked="0" layoutInCell="1" allowOverlap="1" wp14:anchorId="2ABA1213" wp14:editId="766E3442">
                  <wp:simplePos x="0" y="0"/>
                  <wp:positionH relativeFrom="column">
                    <wp:posOffset>0</wp:posOffset>
                  </wp:positionH>
                  <wp:positionV relativeFrom="paragraph">
                    <wp:posOffset>76200</wp:posOffset>
                  </wp:positionV>
                  <wp:extent cx="684000" cy="684000"/>
                  <wp:effectExtent l="0" t="0" r="1905" b="1905"/>
                  <wp:wrapSquare wrapText="bothSides"/>
                  <wp:docPr id="134654335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43358"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684000" cy="684000"/>
                          </a:xfrm>
                          <a:prstGeom prst="rect">
                            <a:avLst/>
                          </a:prstGeom>
                        </pic:spPr>
                      </pic:pic>
                    </a:graphicData>
                  </a:graphic>
                  <wp14:sizeRelH relativeFrom="margin">
                    <wp14:pctWidth>0</wp14:pctWidth>
                  </wp14:sizeRelH>
                  <wp14:sizeRelV relativeFrom="margin">
                    <wp14:pctHeight>0</wp14:pctHeight>
                  </wp14:sizeRelV>
                </wp:anchor>
              </w:drawing>
            </w:r>
            <w:r w:rsidR="00994FEE" w:rsidRPr="005D0129">
              <w:t>Influence is about shaping the payment practices landscape through shared responsibility and expertise. Both the Regulator and stakeholders play a vital role in driving behavioural change to improve</w:t>
            </w:r>
            <w:r w:rsidR="00255086" w:rsidRPr="005D0129">
              <w:t> </w:t>
            </w:r>
            <w:r w:rsidR="00994FEE" w:rsidRPr="005D0129">
              <w:t>payment times and practices</w:t>
            </w:r>
            <w:r w:rsidR="00103352">
              <w:t>.</w:t>
            </w:r>
          </w:p>
          <w:p w14:paraId="45F19E36" w14:textId="3F38F40E" w:rsidR="00994FEE" w:rsidRPr="005D0129" w:rsidRDefault="00994FEE" w:rsidP="00994FEE">
            <w:pPr>
              <w:pStyle w:val="BoxText"/>
            </w:pPr>
            <w:r w:rsidRPr="005D0129">
              <w:t>This pillar creates opportunities for stakeholders to raise concerns, share insights, and contribute meaningfully to better outcomes</w:t>
            </w:r>
            <w:r w:rsidR="00255086" w:rsidRPr="005D0129">
              <w:t>.</w:t>
            </w:r>
          </w:p>
        </w:tc>
      </w:tr>
    </w:tbl>
    <w:bookmarkEnd w:id="9"/>
    <w:p w14:paraId="3F3F2597" w14:textId="08A92F63" w:rsidR="00E872FE" w:rsidRPr="002F5F97" w:rsidRDefault="005205B6" w:rsidP="00867427">
      <w:pPr>
        <w:pStyle w:val="Heading3"/>
      </w:pPr>
      <w:r w:rsidRPr="002F5F97">
        <w:t>Inform</w:t>
      </w: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8504"/>
      </w:tblGrid>
      <w:tr w:rsidR="00255086" w:rsidRPr="005D0129" w14:paraId="74E7EE1B" w14:textId="77777777">
        <w:trPr>
          <w:trHeight w:val="300"/>
        </w:trPr>
        <w:tc>
          <w:tcPr>
            <w:tcW w:w="5000" w:type="pct"/>
            <w:shd w:val="clear" w:color="auto" w:fill="CDD5E1" w:themeFill="text1" w:themeFillTint="33"/>
          </w:tcPr>
          <w:p w14:paraId="6B01CDD6" w14:textId="0495D18F" w:rsidR="00255086" w:rsidRPr="005D0129" w:rsidRDefault="00255086">
            <w:pPr>
              <w:pStyle w:val="BoxText"/>
            </w:pPr>
            <w:bookmarkStart w:id="10" w:name="_Hlk219467136"/>
            <w:r w:rsidRPr="005D0129">
              <w:rPr>
                <w:noProof/>
              </w:rPr>
              <w:drawing>
                <wp:anchor distT="0" distB="0" distL="114300" distR="114300" simplePos="0" relativeHeight="251658259" behindDoc="0" locked="0" layoutInCell="1" allowOverlap="1" wp14:anchorId="00A67F8B" wp14:editId="5609649C">
                  <wp:simplePos x="0" y="0"/>
                  <wp:positionH relativeFrom="column">
                    <wp:posOffset>-3175</wp:posOffset>
                  </wp:positionH>
                  <wp:positionV relativeFrom="paragraph">
                    <wp:posOffset>114300</wp:posOffset>
                  </wp:positionV>
                  <wp:extent cx="612000" cy="612000"/>
                  <wp:effectExtent l="0" t="0" r="0" b="0"/>
                  <wp:wrapSquare wrapText="bothSides"/>
                  <wp:docPr id="1221656990"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56990"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Pr="005D0129">
              <w:t>Keeping stakeholders informed is essential for building trust and credibility. This pillar focuses on transparency and timely, accurate communication, and ensuring stakeholders remain up to date on relevant developments, key milestones, and important decisions.</w:t>
            </w:r>
          </w:p>
          <w:p w14:paraId="3F427DFB" w14:textId="041E1AFA" w:rsidR="00255086" w:rsidRPr="005D0129" w:rsidRDefault="00255086">
            <w:pPr>
              <w:pStyle w:val="BoxText"/>
            </w:pPr>
            <w:r w:rsidRPr="005D0129">
              <w:t xml:space="preserve">Providing clear and consistent information enables stakeholders </w:t>
            </w:r>
            <w:r w:rsidR="00103352">
              <w:t xml:space="preserve">to </w:t>
            </w:r>
            <w:r w:rsidRPr="005D0129">
              <w:t>understand their obligations, anticipate change, and make informed decisions that support better payment practices.</w:t>
            </w:r>
          </w:p>
        </w:tc>
      </w:tr>
    </w:tbl>
    <w:bookmarkEnd w:id="10"/>
    <w:p w14:paraId="24C4FF7D" w14:textId="1291B398" w:rsidR="005205B6" w:rsidRDefault="005205B6" w:rsidP="00867427">
      <w:pPr>
        <w:pStyle w:val="Heading3"/>
      </w:pPr>
      <w:r w:rsidRPr="002F5F97">
        <w:t>Collaborate</w:t>
      </w: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8504"/>
      </w:tblGrid>
      <w:tr w:rsidR="001E6115" w:rsidRPr="005D0129" w14:paraId="5970BE3A" w14:textId="77777777">
        <w:trPr>
          <w:trHeight w:val="300"/>
        </w:trPr>
        <w:tc>
          <w:tcPr>
            <w:tcW w:w="5000" w:type="pct"/>
            <w:shd w:val="clear" w:color="auto" w:fill="CDD5E1" w:themeFill="text1" w:themeFillTint="33"/>
          </w:tcPr>
          <w:p w14:paraId="13928E2D" w14:textId="45F782C0" w:rsidR="001E6115" w:rsidRPr="005D0129" w:rsidRDefault="001E6115">
            <w:pPr>
              <w:pStyle w:val="BoxText"/>
            </w:pPr>
            <w:r w:rsidRPr="005D0129">
              <w:rPr>
                <w:noProof/>
              </w:rPr>
              <w:drawing>
                <wp:anchor distT="0" distB="0" distL="114300" distR="114300" simplePos="0" relativeHeight="251658246" behindDoc="0" locked="0" layoutInCell="1" allowOverlap="1" wp14:anchorId="553E8A04" wp14:editId="4C7D4F16">
                  <wp:simplePos x="0" y="0"/>
                  <wp:positionH relativeFrom="column">
                    <wp:posOffset>-4445</wp:posOffset>
                  </wp:positionH>
                  <wp:positionV relativeFrom="paragraph">
                    <wp:posOffset>93980</wp:posOffset>
                  </wp:positionV>
                  <wp:extent cx="645160" cy="757555"/>
                  <wp:effectExtent l="0" t="0" r="2540" b="0"/>
                  <wp:wrapSquare wrapText="bothSides"/>
                  <wp:docPr id="1761061239"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61239" name="Graphic 5">
                            <a:extLst>
                              <a:ext uri="{C183D7F6-B498-43B3-948B-1728B52AA6E4}">
                                <adec:decorative xmlns:adec="http://schemas.microsoft.com/office/drawing/2017/decorative" val="1"/>
                              </a:ext>
                            </a:extLst>
                          </pic:cNvPr>
                          <pic:cNvPicPr/>
                        </pic:nvPicPr>
                        <pic:blipFill rotWithShape="1">
                          <a:blip r:embed="rId33">
                            <a:extLst>
                              <a:ext uri="{96DAC541-7B7A-43D3-8B79-37D633B846F1}">
                                <asvg:svgBlip xmlns:asvg="http://schemas.microsoft.com/office/drawing/2016/SVG/main" r:embed="rId34"/>
                              </a:ext>
                            </a:extLst>
                          </a:blip>
                          <a:srcRect l="8583" r="6183"/>
                          <a:stretch>
                            <a:fillRect/>
                          </a:stretch>
                        </pic:blipFill>
                        <pic:spPr bwMode="auto">
                          <a:xfrm>
                            <a:off x="0" y="0"/>
                            <a:ext cx="645160" cy="75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F71" w:rsidRPr="005D0129">
              <w:t>Collaboration is essential to building shared ownership and aligning stakeholders with the Scheme’s objectives. This pillar focuses on creating meaningful opportunities for stakeholders to contribute their expertise, share insights, and work alongside the Regulator to address challenges.</w:t>
            </w:r>
          </w:p>
          <w:p w14:paraId="786518AE" w14:textId="13133B93" w:rsidR="001E6115" w:rsidRPr="005D0129" w:rsidRDefault="00BB5F71">
            <w:pPr>
              <w:pStyle w:val="BoxText"/>
            </w:pPr>
            <w:r w:rsidRPr="005D0129">
              <w:t>Collaboration ensures practical outcomes are informed by diverse perspectives and supports the implementation of effective improvements. By influencing behaviours, informing decisions, and working together on solutions, we strengthen the payment environment for small businesses and the broader economy.</w:t>
            </w:r>
          </w:p>
        </w:tc>
      </w:tr>
    </w:tbl>
    <w:p w14:paraId="7114734E" w14:textId="7129B872" w:rsidR="00EB7E6C" w:rsidRPr="002F5F97" w:rsidRDefault="00EB7E6C">
      <w:pPr>
        <w:spacing w:before="0" w:after="160" w:line="259" w:lineRule="auto"/>
      </w:pPr>
      <w:r w:rsidRPr="002F5F97">
        <w:br w:type="page"/>
      </w:r>
    </w:p>
    <w:p w14:paraId="74038CBE" w14:textId="65318C39" w:rsidR="00EB7E6C" w:rsidRPr="002F5F97" w:rsidRDefault="00AE17E8" w:rsidP="00EB7E6C">
      <w:pPr>
        <w:pStyle w:val="ChapterHeading1"/>
      </w:pPr>
      <w:bookmarkStart w:id="11" w:name="_Toc220068365"/>
      <w:r w:rsidRPr="002F5F97">
        <w:lastRenderedPageBreak/>
        <w:t xml:space="preserve">How the </w:t>
      </w:r>
      <w:r w:rsidR="000366D0">
        <w:t>R</w:t>
      </w:r>
      <w:r w:rsidRPr="002F5F97">
        <w:t>egulator is helping you</w:t>
      </w:r>
      <w:bookmarkEnd w:id="11"/>
    </w:p>
    <w:p w14:paraId="257765F4" w14:textId="64FD4793" w:rsidR="00F7289C" w:rsidRPr="002F5F97" w:rsidRDefault="007B5C25" w:rsidP="00F7289C">
      <w:r w:rsidRPr="002F5F97">
        <w:t>We</w:t>
      </w:r>
      <w:r w:rsidR="005D0129">
        <w:t>’</w:t>
      </w:r>
      <w:r w:rsidRPr="002F5F97">
        <w:t xml:space="preserve">re committed to making compliance easier. Feedback from our engagement activities drives continuous improvement </w:t>
      </w:r>
      <w:r w:rsidR="00B35F6A">
        <w:t>to</w:t>
      </w:r>
      <w:r w:rsidRPr="002F5F97">
        <w:t xml:space="preserve"> our guidance, helping entities </w:t>
      </w:r>
      <w:r w:rsidR="008B3B1D">
        <w:t xml:space="preserve">to </w:t>
      </w:r>
      <w:r w:rsidRPr="002F5F97">
        <w:t>get the clarity and support they need.</w:t>
      </w:r>
    </w:p>
    <w:p w14:paraId="473B55C0" w14:textId="625113B7" w:rsidR="00EB7E6C" w:rsidRPr="002F5F97" w:rsidRDefault="00567415" w:rsidP="00EB7E6C">
      <w:pPr>
        <w:pStyle w:val="Heading2"/>
      </w:pPr>
      <w:r w:rsidRPr="002F5F97">
        <w:t>Direct engagement</w:t>
      </w:r>
    </w:p>
    <w:p w14:paraId="1E9BE481" w14:textId="5901FC67" w:rsidR="00567415" w:rsidRDefault="00D01470" w:rsidP="00567415">
      <w:r w:rsidRPr="002F5F97">
        <w:t xml:space="preserve">One of the ways our team helps entities meet their reporting requirements is by responding to enquiries sent to </w:t>
      </w:r>
      <w:r w:rsidRPr="005D0129">
        <w:t>support@paymenttimes.gov.au</w:t>
      </w:r>
      <w:r w:rsidRPr="002F5F97">
        <w:t>.</w:t>
      </w:r>
    </w:p>
    <w:p w14:paraId="0CE83171" w14:textId="10E4E8C4" w:rsidR="00FC26D0" w:rsidRPr="002F5F97" w:rsidRDefault="00D34BC4" w:rsidP="00567415">
      <w:r>
        <w:rPr>
          <w:noProof/>
        </w:rPr>
        <w:drawing>
          <wp:inline distT="0" distB="0" distL="0" distR="0" wp14:anchorId="7C3C8C9A" wp14:editId="3666A92B">
            <wp:extent cx="5108400" cy="1112400"/>
            <wp:effectExtent l="0" t="0" r="0" b="0"/>
            <wp:docPr id="515200440" name="Picture 1" descr="We completed 2,874 enquiries&#10;within an average of 4.6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00440" name="Picture 1" descr="We completed 2,874 enquiries&#10;within an average of 4.6 day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8400" cy="1112400"/>
                    </a:xfrm>
                    <a:prstGeom prst="rect">
                      <a:avLst/>
                    </a:prstGeom>
                  </pic:spPr>
                </pic:pic>
              </a:graphicData>
            </a:graphic>
          </wp:inline>
        </w:drawing>
      </w:r>
    </w:p>
    <w:p w14:paraId="49345256" w14:textId="77777777" w:rsidR="002B1C85" w:rsidRPr="002F5F97" w:rsidRDefault="002B1C85" w:rsidP="002B1C85">
      <w:r w:rsidRPr="002F5F97">
        <w:t>Entities most commonly seek further guidance and information on the following:</w:t>
      </w:r>
    </w:p>
    <w:p w14:paraId="77479AB6" w14:textId="7F6E733D" w:rsidR="002B1C85" w:rsidRPr="002F5F97" w:rsidRDefault="002B1C85" w:rsidP="002B1C85">
      <w:pPr>
        <w:pStyle w:val="Bullet"/>
      </w:pPr>
      <w:r w:rsidRPr="002F5F97">
        <w:t>applications for extensions of time and subsidiary reporting</w:t>
      </w:r>
    </w:p>
    <w:p w14:paraId="1107206C" w14:textId="25ADFBE4" w:rsidR="002B1C85" w:rsidRPr="002F5F97" w:rsidRDefault="002B1C85" w:rsidP="002B1C85">
      <w:pPr>
        <w:pStyle w:val="Bullet"/>
      </w:pPr>
      <w:r w:rsidRPr="002F5F97">
        <w:t>how to complete reporting fields</w:t>
      </w:r>
    </w:p>
    <w:p w14:paraId="59737CB7" w14:textId="0A80B0B5" w:rsidR="002B1C85" w:rsidRPr="002F5F97" w:rsidRDefault="002B1C85" w:rsidP="002B1C85">
      <w:pPr>
        <w:pStyle w:val="Bullet"/>
      </w:pPr>
      <w:r w:rsidRPr="002F5F97">
        <w:t>complying with reporting obligations, such as reporting entity criteria and the use of the S</w:t>
      </w:r>
      <w:r w:rsidR="00FD4D21">
        <w:t>BI</w:t>
      </w:r>
      <w:r w:rsidRPr="002F5F97">
        <w:t xml:space="preserve"> Tool, and</w:t>
      </w:r>
    </w:p>
    <w:p w14:paraId="590E0060" w14:textId="7B7E7C18" w:rsidR="00FD0084" w:rsidRPr="002F5F97" w:rsidRDefault="002B1C85" w:rsidP="002B1C85">
      <w:pPr>
        <w:pStyle w:val="Bullet"/>
      </w:pPr>
      <w:r w:rsidRPr="002F5F97">
        <w:t>correspondence from the Regulator advising the entity has been identified as a slow small business payer.</w:t>
      </w:r>
    </w:p>
    <w:p w14:paraId="7F5B0430" w14:textId="0C7BC2B8" w:rsidR="00E872FE" w:rsidRPr="002F5F97" w:rsidRDefault="00567415" w:rsidP="00FD4D21">
      <w:pPr>
        <w:pStyle w:val="Heading2"/>
      </w:pPr>
      <w:r w:rsidRPr="002F5F97">
        <w:t>Proactive engagement</w:t>
      </w:r>
    </w:p>
    <w:p w14:paraId="5F2C413F" w14:textId="0A5485D4" w:rsidR="00660790" w:rsidRPr="002F5F97" w:rsidRDefault="00660790" w:rsidP="00660790">
      <w:pPr>
        <w:rPr>
          <w:lang w:eastAsia="en-AU"/>
        </w:rPr>
      </w:pPr>
      <w:r w:rsidRPr="002F5F97">
        <w:rPr>
          <w:lang w:eastAsia="en-AU"/>
        </w:rPr>
        <w:t>Our proactive approach delivers strong results. For the period 1</w:t>
      </w:r>
      <w:r w:rsidR="00512689">
        <w:rPr>
          <w:lang w:eastAsia="en-AU"/>
        </w:rPr>
        <w:t> </w:t>
      </w:r>
      <w:r w:rsidRPr="002F5F97">
        <w:rPr>
          <w:lang w:eastAsia="en-AU"/>
        </w:rPr>
        <w:t xml:space="preserve">July </w:t>
      </w:r>
      <w:r w:rsidR="00CD4568">
        <w:rPr>
          <w:lang w:eastAsia="en-AU"/>
        </w:rPr>
        <w:t>to</w:t>
      </w:r>
      <w:r w:rsidR="005E476F">
        <w:rPr>
          <w:lang w:eastAsia="en-AU"/>
        </w:rPr>
        <w:t xml:space="preserve"> </w:t>
      </w:r>
      <w:r w:rsidRPr="002F5F97">
        <w:rPr>
          <w:lang w:eastAsia="en-AU"/>
        </w:rPr>
        <w:t>31</w:t>
      </w:r>
      <w:r w:rsidR="00A720E2" w:rsidRPr="002F5F97">
        <w:rPr>
          <w:lang w:eastAsia="en-AU"/>
        </w:rPr>
        <w:t> </w:t>
      </w:r>
      <w:r w:rsidRPr="002F5F97">
        <w:rPr>
          <w:lang w:eastAsia="en-AU"/>
        </w:rPr>
        <w:t>December</w:t>
      </w:r>
      <w:r w:rsidR="00A720E2" w:rsidRPr="002F5F97">
        <w:rPr>
          <w:lang w:eastAsia="en-AU"/>
        </w:rPr>
        <w:t> </w:t>
      </w:r>
      <w:r w:rsidRPr="002F5F97">
        <w:rPr>
          <w:lang w:eastAsia="en-AU"/>
        </w:rPr>
        <w:t>2025:</w:t>
      </w:r>
    </w:p>
    <w:p w14:paraId="1EB31F75" w14:textId="32E1E36C" w:rsidR="00660790" w:rsidRPr="002F5F97" w:rsidRDefault="00660790" w:rsidP="00660790">
      <w:pPr>
        <w:pStyle w:val="Bullet"/>
      </w:pPr>
      <w:r w:rsidRPr="002F5F97">
        <w:t>nearly 300</w:t>
      </w:r>
      <w:r w:rsidR="00512689">
        <w:t> </w:t>
      </w:r>
      <w:r w:rsidRPr="002F5F97">
        <w:t>entities submitted a report for the first time</w:t>
      </w:r>
      <w:r w:rsidR="00B563F8">
        <w:t>, after engagement with the Re</w:t>
      </w:r>
      <w:r w:rsidR="00D55A32">
        <w:t>gulator</w:t>
      </w:r>
    </w:p>
    <w:p w14:paraId="4FCCD610" w14:textId="07B95B51" w:rsidR="00660790" w:rsidRPr="002F5F97" w:rsidRDefault="00660790" w:rsidP="00660790">
      <w:pPr>
        <w:pStyle w:val="Bullet"/>
      </w:pPr>
      <w:r w:rsidRPr="002F5F97">
        <w:t>112</w:t>
      </w:r>
      <w:r w:rsidR="00512689">
        <w:t> </w:t>
      </w:r>
      <w:r w:rsidRPr="002F5F97">
        <w:t xml:space="preserve">reports </w:t>
      </w:r>
      <w:r w:rsidR="00AD4FC7">
        <w:t xml:space="preserve">were </w:t>
      </w:r>
      <w:r w:rsidRPr="002F5F97">
        <w:t xml:space="preserve">removed </w:t>
      </w:r>
      <w:r w:rsidR="00AD4FC7">
        <w:t>at the</w:t>
      </w:r>
      <w:r w:rsidRPr="002F5F97">
        <w:t xml:space="preserve"> request </w:t>
      </w:r>
      <w:r w:rsidR="00D17153">
        <w:t>of</w:t>
      </w:r>
      <w:r w:rsidRPr="002F5F97">
        <w:t xml:space="preserve"> entities</w:t>
      </w:r>
      <w:r w:rsidR="0055443B">
        <w:t>; they were</w:t>
      </w:r>
      <w:r w:rsidRPr="002F5F97">
        <w:t xml:space="preserve"> incorrectly lodged by entities within their consolidated group, rather than by the head reporting entity (parent entity), and </w:t>
      </w:r>
    </w:p>
    <w:p w14:paraId="6BF2E856" w14:textId="5398FF65" w:rsidR="00660790" w:rsidRPr="002F5F97" w:rsidRDefault="00660790" w:rsidP="00660790">
      <w:pPr>
        <w:pStyle w:val="Bullet"/>
      </w:pPr>
      <w:r w:rsidRPr="002F5F97">
        <w:t>200</w:t>
      </w:r>
      <w:r w:rsidR="00512689">
        <w:t> </w:t>
      </w:r>
      <w:r w:rsidRPr="002F5F97">
        <w:t xml:space="preserve">reports </w:t>
      </w:r>
      <w:r w:rsidR="002A7B13">
        <w:t xml:space="preserve">were </w:t>
      </w:r>
      <w:r w:rsidRPr="002F5F97">
        <w:t>revised due to errors identified in the original report.</w:t>
      </w:r>
    </w:p>
    <w:p w14:paraId="60C80C93" w14:textId="703C4888" w:rsidR="00660790" w:rsidRPr="002F5F97" w:rsidRDefault="00660790" w:rsidP="00660790">
      <w:pPr>
        <w:rPr>
          <w:lang w:eastAsia="en-AU"/>
        </w:rPr>
      </w:pPr>
      <w:r w:rsidRPr="002F5F97">
        <w:rPr>
          <w:lang w:eastAsia="en-AU"/>
        </w:rPr>
        <w:t>We work with large businesses to help them comply with their reporting obligations under the Act.</w:t>
      </w:r>
    </w:p>
    <w:p w14:paraId="75973B71" w14:textId="62ABE240" w:rsidR="00660790" w:rsidRPr="002F5F97" w:rsidRDefault="00660790" w:rsidP="00660790">
      <w:pPr>
        <w:rPr>
          <w:lang w:eastAsia="en-AU"/>
        </w:rPr>
      </w:pPr>
      <w:r w:rsidRPr="002F5F97">
        <w:rPr>
          <w:lang w:eastAsia="en-AU"/>
        </w:rPr>
        <w:t>In 2025, we contacted more than 1,000</w:t>
      </w:r>
      <w:r w:rsidR="00512689">
        <w:rPr>
          <w:lang w:eastAsia="en-AU"/>
        </w:rPr>
        <w:t> </w:t>
      </w:r>
      <w:r w:rsidRPr="002F5F97">
        <w:rPr>
          <w:lang w:eastAsia="en-AU"/>
        </w:rPr>
        <w:t>large businesses that may have had outstanding reports, reminding them to submit their payment times reports. We engage</w:t>
      </w:r>
      <w:r w:rsidR="00AB5B0C" w:rsidRPr="002F5F97">
        <w:rPr>
          <w:lang w:eastAsia="en-AU"/>
        </w:rPr>
        <w:t>d</w:t>
      </w:r>
      <w:r w:rsidRPr="002F5F97">
        <w:rPr>
          <w:lang w:eastAsia="en-AU"/>
        </w:rPr>
        <w:t xml:space="preserve"> with entities that submit</w:t>
      </w:r>
      <w:r w:rsidR="00311440">
        <w:rPr>
          <w:lang w:eastAsia="en-AU"/>
        </w:rPr>
        <w:t>ted</w:t>
      </w:r>
      <w:r w:rsidRPr="002F5F97">
        <w:rPr>
          <w:lang w:eastAsia="en-AU"/>
        </w:rPr>
        <w:t xml:space="preserve"> information in payment times reports and entity information forms that contradict</w:t>
      </w:r>
      <w:r w:rsidR="004A0E18">
        <w:rPr>
          <w:lang w:eastAsia="en-AU"/>
        </w:rPr>
        <w:t>ed</w:t>
      </w:r>
      <w:r w:rsidRPr="002F5F97">
        <w:rPr>
          <w:lang w:eastAsia="en-AU"/>
        </w:rPr>
        <w:t xml:space="preserve"> information available to the Regulator.</w:t>
      </w:r>
    </w:p>
    <w:p w14:paraId="45D0484D" w14:textId="17ED1D6D" w:rsidR="00660790" w:rsidRPr="002F5F97" w:rsidRDefault="00660790" w:rsidP="00660790">
      <w:pPr>
        <w:rPr>
          <w:lang w:eastAsia="en-AU"/>
        </w:rPr>
      </w:pPr>
      <w:r w:rsidRPr="002F5F97">
        <w:rPr>
          <w:lang w:eastAsia="en-AU"/>
        </w:rPr>
        <w:t>The Regulator wrote to more than 650</w:t>
      </w:r>
      <w:r w:rsidR="00512689">
        <w:rPr>
          <w:lang w:eastAsia="en-AU"/>
        </w:rPr>
        <w:t> </w:t>
      </w:r>
      <w:r w:rsidRPr="002F5F97">
        <w:rPr>
          <w:lang w:eastAsia="en-AU"/>
        </w:rPr>
        <w:t>reporting entities identified as slow small business payers in Reporting Cycle 9, advising them to improve payment times to avoid a Slow</w:t>
      </w:r>
      <w:r w:rsidR="002320C2">
        <w:rPr>
          <w:lang w:eastAsia="en-AU"/>
        </w:rPr>
        <w:t> </w:t>
      </w:r>
      <w:r w:rsidRPr="002F5F97">
        <w:rPr>
          <w:lang w:eastAsia="en-AU"/>
        </w:rPr>
        <w:t xml:space="preserve">Small Business Payer Direction. </w:t>
      </w:r>
    </w:p>
    <w:p w14:paraId="62727B53" w14:textId="0D2609C1" w:rsidR="00660790" w:rsidRPr="002F5F97" w:rsidRDefault="00660790" w:rsidP="00660790">
      <w:pPr>
        <w:rPr>
          <w:lang w:eastAsia="en-AU"/>
        </w:rPr>
      </w:pPr>
      <w:r w:rsidRPr="002F5F97">
        <w:rPr>
          <w:lang w:eastAsia="en-AU"/>
        </w:rPr>
        <w:lastRenderedPageBreak/>
        <w:t>In response, more than 150</w:t>
      </w:r>
      <w:r w:rsidR="00512689">
        <w:rPr>
          <w:lang w:eastAsia="en-AU"/>
        </w:rPr>
        <w:t> </w:t>
      </w:r>
      <w:r w:rsidRPr="002F5F97">
        <w:rPr>
          <w:lang w:eastAsia="en-AU"/>
        </w:rPr>
        <w:t>entities have engaged with the Regulator, and over 50</w:t>
      </w:r>
      <w:r w:rsidR="002320C2">
        <w:rPr>
          <w:lang w:eastAsia="en-AU"/>
        </w:rPr>
        <w:t> </w:t>
      </w:r>
      <w:r w:rsidRPr="002F5F97">
        <w:rPr>
          <w:lang w:eastAsia="en-AU"/>
        </w:rPr>
        <w:t>entities have confirmed that they have taken steps to improve payment practices, including securing approval from their governing bodies to implement faster payment policies.</w:t>
      </w:r>
    </w:p>
    <w:p w14:paraId="33B76C8C" w14:textId="4116F8F5" w:rsidR="00567415" w:rsidRPr="002F5F97" w:rsidRDefault="00660790" w:rsidP="00512689">
      <w:pPr>
        <w:rPr>
          <w:lang w:eastAsia="en-AU"/>
        </w:rPr>
      </w:pPr>
      <w:r w:rsidRPr="002F5F97">
        <w:rPr>
          <w:lang w:eastAsia="en-AU"/>
        </w:rPr>
        <w:t>We introduced the Regulator</w:t>
      </w:r>
      <w:r w:rsidR="005D0129">
        <w:rPr>
          <w:lang w:eastAsia="en-AU"/>
        </w:rPr>
        <w:t>’</w:t>
      </w:r>
      <w:r w:rsidRPr="002F5F97">
        <w:rPr>
          <w:lang w:eastAsia="en-AU"/>
        </w:rPr>
        <w:t>s Newsletters to keep stakeholders informed and connected. Each newsletter provide</w:t>
      </w:r>
      <w:r w:rsidR="00540DD7" w:rsidRPr="002F5F97">
        <w:rPr>
          <w:lang w:eastAsia="en-AU"/>
        </w:rPr>
        <w:t>s</w:t>
      </w:r>
      <w:r w:rsidRPr="002F5F97">
        <w:rPr>
          <w:lang w:eastAsia="en-AU"/>
        </w:rPr>
        <w:t xml:space="preserve"> timely updates on key dates, upcoming events, system enhancements and guidance changes</w:t>
      </w:r>
      <w:r w:rsidR="005D0129">
        <w:rPr>
          <w:lang w:eastAsia="en-AU"/>
        </w:rPr>
        <w:t xml:space="preserve"> – </w:t>
      </w:r>
      <w:r w:rsidRPr="002F5F97">
        <w:rPr>
          <w:lang w:eastAsia="en-AU"/>
        </w:rPr>
        <w:t>helping our stakeholders to stay</w:t>
      </w:r>
      <w:r w:rsidR="00677505">
        <w:rPr>
          <w:lang w:eastAsia="en-AU"/>
        </w:rPr>
        <w:t> </w:t>
      </w:r>
      <w:r w:rsidRPr="002F5F97">
        <w:rPr>
          <w:lang w:eastAsia="en-AU"/>
        </w:rPr>
        <w:t>informed.</w:t>
      </w:r>
    </w:p>
    <w:p w14:paraId="4EAFD9CA" w14:textId="77777777" w:rsidR="00623DB5" w:rsidRPr="00CF0CDB" w:rsidRDefault="00623DB5" w:rsidP="00CF0CDB"/>
    <w:tbl>
      <w:tblPr>
        <w:tblW w:w="5000" w:type="pct"/>
        <w:shd w:val="clear" w:color="auto" w:fill="CDD5E1" w:themeFill="accent6" w:themeFillTint="33"/>
        <w:tblCellMar>
          <w:top w:w="57" w:type="dxa"/>
          <w:left w:w="284" w:type="dxa"/>
          <w:bottom w:w="170" w:type="dxa"/>
          <w:right w:w="284" w:type="dxa"/>
        </w:tblCellMar>
        <w:tblLook w:val="01E0" w:firstRow="1" w:lastRow="1" w:firstColumn="1" w:lastColumn="1" w:noHBand="0" w:noVBand="0"/>
      </w:tblPr>
      <w:tblGrid>
        <w:gridCol w:w="8504"/>
      </w:tblGrid>
      <w:tr w:rsidR="0046188C" w:rsidRPr="005D0129" w14:paraId="74C3B949" w14:textId="77777777" w:rsidTr="00970388">
        <w:tc>
          <w:tcPr>
            <w:tcW w:w="5000" w:type="pct"/>
            <w:shd w:val="clear" w:color="auto" w:fill="CDD5E1" w:themeFill="accent6" w:themeFillTint="33"/>
          </w:tcPr>
          <w:p w14:paraId="20F2EF41" w14:textId="7916DFE4" w:rsidR="0046188C" w:rsidRPr="005D0129" w:rsidRDefault="007D62D0" w:rsidP="00970388">
            <w:pPr>
              <w:pStyle w:val="BoxHeading"/>
            </w:pPr>
            <w:r w:rsidRPr="005D0129">
              <w:rPr>
                <w:noProof/>
              </w:rPr>
              <w:drawing>
                <wp:anchor distT="0" distB="0" distL="114300" distR="114300" simplePos="0" relativeHeight="251658260" behindDoc="0" locked="0" layoutInCell="1" allowOverlap="1" wp14:anchorId="28D6D5DE" wp14:editId="51D44E0A">
                  <wp:simplePos x="0" y="0"/>
                  <wp:positionH relativeFrom="column">
                    <wp:posOffset>8890</wp:posOffset>
                  </wp:positionH>
                  <wp:positionV relativeFrom="paragraph">
                    <wp:posOffset>372110</wp:posOffset>
                  </wp:positionV>
                  <wp:extent cx="899795" cy="1299845"/>
                  <wp:effectExtent l="0" t="0" r="0" b="0"/>
                  <wp:wrapSquare wrapText="bothSides"/>
                  <wp:docPr id="254040940"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61239" name="Graphic 5">
                            <a:extLst>
                              <a:ext uri="{C183D7F6-B498-43B3-948B-1728B52AA6E4}">
                                <adec:decorative xmlns:adec="http://schemas.microsoft.com/office/drawing/2017/decorative" val="1"/>
                              </a:ext>
                            </a:extLst>
                          </pic:cNvPr>
                          <pic:cNvPicPr/>
                        </pic:nvPicPr>
                        <pic:blipFill rotWithShape="1">
                          <a:blip r:embed="rId33">
                            <a:extLst>
                              <a:ext uri="{96DAC541-7B7A-43D3-8B79-37D633B846F1}">
                                <asvg:svgBlip xmlns:asvg="http://schemas.microsoft.com/office/drawing/2016/SVG/main" r:embed="rId34"/>
                              </a:ext>
                            </a:extLst>
                          </a:blip>
                          <a:srcRect t="-1" b="-44502"/>
                          <a:stretch>
                            <a:fillRect/>
                          </a:stretch>
                        </pic:blipFill>
                        <pic:spPr bwMode="auto">
                          <a:xfrm>
                            <a:off x="0" y="0"/>
                            <a:ext cx="899795" cy="129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88C" w:rsidRPr="005D0129">
              <w:t>Consider collaborating with us</w:t>
            </w:r>
          </w:p>
          <w:p w14:paraId="00E774FB" w14:textId="5667D3F7" w:rsidR="00491F03" w:rsidRPr="005D0129" w:rsidRDefault="00491F03" w:rsidP="00491F03">
            <w:pPr>
              <w:pStyle w:val="BoxText"/>
            </w:pPr>
            <w:r w:rsidRPr="005D0129">
              <w:t>Working with the Regulator can help to raise awareness, build capability and foster a culture of continuous improvement in payment times and practices in your organisation or industry.</w:t>
            </w:r>
          </w:p>
          <w:p w14:paraId="4A7F807F" w14:textId="42590F3F" w:rsidR="00491F03" w:rsidRPr="005D0129" w:rsidRDefault="00491F03" w:rsidP="00491F03">
            <w:pPr>
              <w:pStyle w:val="BoxText"/>
            </w:pPr>
            <w:r w:rsidRPr="005D0129">
              <w:t>Consider how your organisation could benefit from collaboration opportunities with us – such as tailored educational workshops, joint participation in panel discussions or contributing to joint research projects.</w:t>
            </w:r>
          </w:p>
          <w:p w14:paraId="71A8D36C" w14:textId="65F26238" w:rsidR="0046188C" w:rsidRPr="005D0129" w:rsidRDefault="00491F03" w:rsidP="0046188C">
            <w:pPr>
              <w:pStyle w:val="BoxText"/>
            </w:pPr>
            <w:r w:rsidRPr="005D0129">
              <w:t xml:space="preserve">If your organisation is interested in exploring how we can work together, please get in touch via </w:t>
            </w:r>
            <w:hyperlink r:id="rId36" w:history="1">
              <w:r w:rsidR="00E440F5" w:rsidRPr="005D0129">
                <w:rPr>
                  <w:rStyle w:val="Hyperlink"/>
                </w:rPr>
                <w:t>engagement@paymenttimes.gov.au</w:t>
              </w:r>
            </w:hyperlink>
            <w:r w:rsidR="00E440F5" w:rsidRPr="005D0129">
              <w:t xml:space="preserve"> </w:t>
            </w:r>
            <w:r w:rsidRPr="005D0129">
              <w:t>.</w:t>
            </w:r>
          </w:p>
        </w:tc>
      </w:tr>
    </w:tbl>
    <w:p w14:paraId="5BF4C7B0" w14:textId="796F9333" w:rsidR="00AE17E8" w:rsidRPr="002F5F97" w:rsidRDefault="00AE17E8">
      <w:pPr>
        <w:spacing w:before="0" w:after="160" w:line="259" w:lineRule="auto"/>
      </w:pPr>
      <w:r w:rsidRPr="002F5F97">
        <w:br w:type="page"/>
      </w:r>
    </w:p>
    <w:p w14:paraId="71304CBB" w14:textId="7173AAAA" w:rsidR="00AE17E8" w:rsidRPr="002F5F97" w:rsidRDefault="00764065" w:rsidP="00AE17E8">
      <w:pPr>
        <w:pStyle w:val="ChapterHeading1"/>
      </w:pPr>
      <w:bookmarkStart w:id="12" w:name="_Toc220068366"/>
      <w:r w:rsidRPr="002F5F97">
        <w:lastRenderedPageBreak/>
        <w:t>Regulator</w:t>
      </w:r>
      <w:r w:rsidR="005D0129">
        <w:t>’</w:t>
      </w:r>
      <w:r w:rsidRPr="002F5F97">
        <w:t xml:space="preserve">s forward </w:t>
      </w:r>
      <w:r w:rsidR="000331AC" w:rsidRPr="002F5F97">
        <w:t>engagement program</w:t>
      </w:r>
      <w:bookmarkEnd w:id="12"/>
    </w:p>
    <w:p w14:paraId="64FC9B8A" w14:textId="4A663D34" w:rsidR="00AE17E8" w:rsidRPr="002F5F97" w:rsidRDefault="0046188C" w:rsidP="00AE17E8">
      <w:pPr>
        <w:pStyle w:val="Heading2"/>
        <w:rPr>
          <w:rFonts w:cs="Times New Roman"/>
          <w:color w:val="auto"/>
          <w:sz w:val="22"/>
          <w:szCs w:val="20"/>
        </w:rPr>
      </w:pPr>
      <w:r w:rsidRPr="002F5F97">
        <w:t>Register now: online demonstrations of the new</w:t>
      </w:r>
      <w:r w:rsidR="00FA28F6">
        <w:t> </w:t>
      </w:r>
      <w:r w:rsidR="00C84499" w:rsidRPr="00C84499">
        <w:t>Payment Times Reporting Portal</w:t>
      </w:r>
    </w:p>
    <w:p w14:paraId="0C7585DB" w14:textId="42224AF9" w:rsidR="00F8475B" w:rsidRPr="002F5F97" w:rsidRDefault="00F8475B" w:rsidP="00F8475B">
      <w:pPr>
        <w:spacing w:before="0" w:after="160" w:line="259" w:lineRule="auto"/>
      </w:pPr>
      <w:r w:rsidRPr="002F5F97">
        <w:t xml:space="preserve">We invite you to join a short webinar for a demonstration of the new </w:t>
      </w:r>
      <w:r w:rsidR="00C84499">
        <w:t>p</w:t>
      </w:r>
      <w:r w:rsidRPr="002F5F97">
        <w:t>ortal. We will walk you through the new layout and key features, show you how</w:t>
      </w:r>
      <w:r w:rsidR="00F86C90">
        <w:t> </w:t>
      </w:r>
      <w:r w:rsidRPr="002F5F97">
        <w:t>the system works, and highlight the improvements designed to make reporting</w:t>
      </w:r>
      <w:r w:rsidR="00F86C90">
        <w:t> </w:t>
      </w:r>
      <w:r w:rsidRPr="002F5F97">
        <w:t xml:space="preserve">easier. </w:t>
      </w:r>
    </w:p>
    <w:p w14:paraId="1F061915" w14:textId="26570C75" w:rsidR="0046188C" w:rsidRPr="002F5F97" w:rsidRDefault="00F8475B" w:rsidP="00AE17E8">
      <w:pPr>
        <w:spacing w:before="0" w:after="160" w:line="259" w:lineRule="auto"/>
      </w:pPr>
      <w:r w:rsidRPr="002F5F97">
        <w:t xml:space="preserve">We are hosting several webinars at different times ahead of and shortly after the release of the new </w:t>
      </w:r>
      <w:r w:rsidR="00C54076">
        <w:t>p</w:t>
      </w:r>
      <w:r w:rsidRPr="002F5F97">
        <w:t>ortal. All webinars will cover the same content, so you can simply register for the time that works best for you.</w:t>
      </w:r>
    </w:p>
    <w:tbl>
      <w:tblPr>
        <w:tblW w:w="5000" w:type="pct"/>
        <w:shd w:val="clear" w:color="auto" w:fill="CDD5E1" w:themeFill="accent6" w:themeFillTint="33"/>
        <w:tblCellMar>
          <w:top w:w="57" w:type="dxa"/>
          <w:left w:w="284" w:type="dxa"/>
          <w:bottom w:w="170" w:type="dxa"/>
          <w:right w:w="284" w:type="dxa"/>
        </w:tblCellMar>
        <w:tblLook w:val="01E0" w:firstRow="1" w:lastRow="1" w:firstColumn="1" w:lastColumn="1" w:noHBand="0" w:noVBand="0"/>
      </w:tblPr>
      <w:tblGrid>
        <w:gridCol w:w="2128"/>
        <w:gridCol w:w="6376"/>
      </w:tblGrid>
      <w:tr w:rsidR="00457E7C" w:rsidRPr="005D0129" w14:paraId="479C32E7" w14:textId="77777777" w:rsidTr="00E629C3">
        <w:tc>
          <w:tcPr>
            <w:tcW w:w="1251" w:type="pct"/>
            <w:shd w:val="clear" w:color="auto" w:fill="CDD5E1" w:themeFill="accent6" w:themeFillTint="33"/>
          </w:tcPr>
          <w:p w14:paraId="03F52193" w14:textId="388E6B25" w:rsidR="00457E7C" w:rsidRPr="00E629C3" w:rsidRDefault="00457E7C" w:rsidP="00E629C3">
            <w:bookmarkStart w:id="13" w:name="_Hlk218784330"/>
            <w:r w:rsidRPr="00E629C3">
              <w:rPr>
                <w:noProof/>
              </w:rPr>
              <w:drawing>
                <wp:anchor distT="0" distB="0" distL="114300" distR="114300" simplePos="0" relativeHeight="251658253" behindDoc="1" locked="0" layoutInCell="1" allowOverlap="1" wp14:anchorId="29F609A1" wp14:editId="588A4E3D">
                  <wp:simplePos x="0" y="0"/>
                  <wp:positionH relativeFrom="column">
                    <wp:posOffset>15240</wp:posOffset>
                  </wp:positionH>
                  <wp:positionV relativeFrom="paragraph">
                    <wp:posOffset>184150</wp:posOffset>
                  </wp:positionV>
                  <wp:extent cx="973863" cy="866270"/>
                  <wp:effectExtent l="0" t="0" r="0" b="0"/>
                  <wp:wrapTight wrapText="bothSides">
                    <wp:wrapPolygon edited="0">
                      <wp:start x="0" y="0"/>
                      <wp:lineTo x="0" y="15677"/>
                      <wp:lineTo x="4650" y="20903"/>
                      <wp:lineTo x="16485" y="20903"/>
                      <wp:lineTo x="21135" y="16152"/>
                      <wp:lineTo x="21135" y="1425"/>
                      <wp:lineTo x="20712" y="0"/>
                      <wp:lineTo x="0" y="0"/>
                    </wp:wrapPolygon>
                  </wp:wrapTight>
                  <wp:docPr id="245821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1989" name="Picture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rcRect t="545" b="545"/>
                          <a:stretch>
                            <a:fillRect/>
                          </a:stretch>
                        </pic:blipFill>
                        <pic:spPr bwMode="auto">
                          <a:xfrm>
                            <a:off x="0" y="0"/>
                            <a:ext cx="973863" cy="86627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49" w:type="pct"/>
            <w:shd w:val="clear" w:color="auto" w:fill="CDD5E1" w:themeFill="accent6" w:themeFillTint="33"/>
          </w:tcPr>
          <w:p w14:paraId="1E2B542A" w14:textId="30F35ED9" w:rsidR="00457E7C" w:rsidRPr="005D0129" w:rsidRDefault="00457E7C" w:rsidP="00457E7C">
            <w:pPr>
              <w:pStyle w:val="BoxHeading"/>
            </w:pPr>
            <w:r>
              <w:t>E</w:t>
            </w:r>
            <w:r w:rsidRPr="005D0129">
              <w:t xml:space="preserve">vent details </w:t>
            </w:r>
          </w:p>
          <w:p w14:paraId="587D6283" w14:textId="77777777" w:rsidR="00457E7C" w:rsidRDefault="00457E7C" w:rsidP="00457E7C">
            <w:pPr>
              <w:pStyle w:val="BoxText"/>
              <w:rPr>
                <w:rFonts w:cs="Calibri"/>
                <w:b/>
                <w:color w:val="000000"/>
              </w:rPr>
            </w:pPr>
            <w:r w:rsidRPr="005D0129">
              <w:rPr>
                <w:rFonts w:cs="Calibri"/>
                <w:b/>
                <w:bCs/>
                <w:color w:val="000000"/>
              </w:rPr>
              <w:t>Date:</w:t>
            </w:r>
            <w:r w:rsidRPr="005D0129">
              <w:rPr>
                <w:rFonts w:ascii="Arial" w:hAnsi="Arial" w:cs="Arial"/>
                <w:color w:val="000000"/>
              </w:rPr>
              <w:t> </w:t>
            </w:r>
            <w:r w:rsidRPr="005D0129">
              <w:rPr>
                <w:rFonts w:cs="Calibri"/>
                <w:color w:val="000000"/>
              </w:rPr>
              <w:t>5</w:t>
            </w:r>
            <w:r w:rsidRPr="005D0129">
              <w:rPr>
                <w:rFonts w:ascii="Arial" w:hAnsi="Arial" w:cs="Arial"/>
                <w:color w:val="000000"/>
              </w:rPr>
              <w:t> </w:t>
            </w:r>
            <w:r w:rsidRPr="005D0129">
              <w:rPr>
                <w:rFonts w:cs="Calibri"/>
                <w:color w:val="000000"/>
              </w:rPr>
              <w:t>February 2026</w:t>
            </w:r>
            <w:r w:rsidRPr="005D0129">
              <w:rPr>
                <w:rFonts w:ascii="Arial" w:hAnsi="Arial" w:cs="Arial"/>
                <w:color w:val="000000"/>
              </w:rPr>
              <w:t> </w:t>
            </w:r>
            <w:r w:rsidRPr="005D0129">
              <w:rPr>
                <w:rFonts w:cs="Calibri"/>
                <w:color w:val="000000"/>
              </w:rPr>
              <w:t> </w:t>
            </w:r>
            <w:r w:rsidRPr="005D0129">
              <w:rPr>
                <w:rFonts w:cs="Calibri"/>
                <w:color w:val="000000"/>
              </w:rPr>
              <w:br/>
            </w:r>
            <w:r w:rsidRPr="005D0129">
              <w:rPr>
                <w:rFonts w:cs="Calibri"/>
                <w:b/>
                <w:bCs/>
                <w:color w:val="000000"/>
              </w:rPr>
              <w:t>Time:</w:t>
            </w:r>
            <w:r w:rsidRPr="005D0129">
              <w:rPr>
                <w:rFonts w:ascii="Arial" w:hAnsi="Arial" w:cs="Arial"/>
                <w:color w:val="000000"/>
              </w:rPr>
              <w:t> </w:t>
            </w:r>
            <w:r w:rsidRPr="005D0129">
              <w:rPr>
                <w:rFonts w:cs="Calibri"/>
                <w:color w:val="000000"/>
              </w:rPr>
              <w:t>2:00</w:t>
            </w:r>
            <w:r w:rsidRPr="005D0129">
              <w:rPr>
                <w:rFonts w:ascii="Arial" w:hAnsi="Arial" w:cs="Arial"/>
                <w:color w:val="000000"/>
              </w:rPr>
              <w:t> </w:t>
            </w:r>
            <w:r w:rsidRPr="005D0129">
              <w:rPr>
                <w:rFonts w:cs="Calibri"/>
                <w:color w:val="000000"/>
              </w:rPr>
              <w:t xml:space="preserve">pm </w:t>
            </w:r>
            <w:r w:rsidRPr="005D0129">
              <w:rPr>
                <w:rFonts w:cs="Aptos"/>
                <w:color w:val="000000"/>
              </w:rPr>
              <w:t>–</w:t>
            </w:r>
            <w:r w:rsidRPr="005D0129">
              <w:rPr>
                <w:rFonts w:cs="Calibri"/>
                <w:color w:val="000000"/>
              </w:rPr>
              <w:t xml:space="preserve"> 3:15</w:t>
            </w:r>
            <w:r w:rsidRPr="005D0129">
              <w:rPr>
                <w:rFonts w:ascii="Arial" w:hAnsi="Arial" w:cs="Arial"/>
                <w:color w:val="000000"/>
              </w:rPr>
              <w:t> </w:t>
            </w:r>
            <w:r w:rsidRPr="005D0129">
              <w:rPr>
                <w:rFonts w:cs="Calibri"/>
                <w:color w:val="000000"/>
              </w:rPr>
              <w:t>pm AEDT </w:t>
            </w:r>
            <w:r w:rsidRPr="005D0129">
              <w:rPr>
                <w:rFonts w:cs="Calibri"/>
                <w:color w:val="000000"/>
              </w:rPr>
              <w:br/>
            </w:r>
            <w:r w:rsidRPr="005D0129">
              <w:rPr>
                <w:rFonts w:cs="Calibri"/>
                <w:b/>
                <w:bCs/>
                <w:color w:val="000000"/>
              </w:rPr>
              <w:t>Platform:</w:t>
            </w:r>
            <w:r w:rsidRPr="005D0129">
              <w:rPr>
                <w:rFonts w:ascii="Arial" w:hAnsi="Arial" w:cs="Arial"/>
                <w:color w:val="000000"/>
              </w:rPr>
              <w:t> </w:t>
            </w:r>
            <w:hyperlink r:id="rId39" w:tgtFrame="_blank" w:history="1">
              <w:r w:rsidRPr="00E629C3">
                <w:rPr>
                  <w:rStyle w:val="Hyperlink"/>
                </w:rPr>
                <w:t>Microsoft Teams webinar</w:t>
              </w:r>
            </w:hyperlink>
            <w:r w:rsidRPr="005D0129">
              <w:rPr>
                <w:rFonts w:cs="Calibri"/>
                <w:color w:val="000000"/>
              </w:rPr>
              <w:t> </w:t>
            </w:r>
          </w:p>
          <w:p w14:paraId="0802A316" w14:textId="48ED73B9" w:rsidR="00457E7C" w:rsidRPr="005D0129" w:rsidRDefault="00457E7C" w:rsidP="00457E7C">
            <w:pPr>
              <w:pStyle w:val="BoxText"/>
              <w:rPr>
                <w:rFonts w:cs="Calibri"/>
                <w:color w:val="000000"/>
              </w:rPr>
            </w:pPr>
            <w:r w:rsidRPr="005D0129">
              <w:rPr>
                <w:rFonts w:cs="Calibri"/>
                <w:b/>
                <w:bCs/>
                <w:color w:val="000000"/>
              </w:rPr>
              <w:t>Date:</w:t>
            </w:r>
            <w:r w:rsidRPr="005D0129">
              <w:rPr>
                <w:rFonts w:ascii="Arial" w:hAnsi="Arial" w:cs="Arial"/>
                <w:color w:val="000000"/>
              </w:rPr>
              <w:t> </w:t>
            </w:r>
            <w:r w:rsidRPr="005D0129">
              <w:rPr>
                <w:rFonts w:cs="Calibri"/>
                <w:color w:val="000000"/>
              </w:rPr>
              <w:t>12</w:t>
            </w:r>
            <w:r w:rsidRPr="005D0129">
              <w:rPr>
                <w:rFonts w:ascii="Arial" w:hAnsi="Arial" w:cs="Arial"/>
                <w:color w:val="000000"/>
              </w:rPr>
              <w:t> </w:t>
            </w:r>
            <w:r w:rsidRPr="005D0129">
              <w:rPr>
                <w:rFonts w:cs="Calibri"/>
                <w:color w:val="000000"/>
              </w:rPr>
              <w:t>February 2026</w:t>
            </w:r>
            <w:r w:rsidRPr="005D0129">
              <w:rPr>
                <w:rFonts w:ascii="Arial" w:hAnsi="Arial" w:cs="Arial"/>
                <w:color w:val="000000"/>
              </w:rPr>
              <w:t> </w:t>
            </w:r>
            <w:r w:rsidRPr="005D0129">
              <w:rPr>
                <w:rFonts w:cs="Calibri"/>
                <w:color w:val="000000"/>
              </w:rPr>
              <w:t> </w:t>
            </w:r>
            <w:r w:rsidRPr="005D0129">
              <w:rPr>
                <w:rFonts w:cs="Calibri"/>
                <w:color w:val="000000"/>
              </w:rPr>
              <w:br/>
            </w:r>
            <w:r w:rsidRPr="005D0129">
              <w:rPr>
                <w:rFonts w:cs="Calibri"/>
                <w:b/>
                <w:bCs/>
                <w:color w:val="000000"/>
              </w:rPr>
              <w:t>Time:</w:t>
            </w:r>
            <w:r w:rsidRPr="005D0129">
              <w:rPr>
                <w:rFonts w:ascii="Arial" w:hAnsi="Arial" w:cs="Arial"/>
                <w:color w:val="000000"/>
              </w:rPr>
              <w:t> </w:t>
            </w:r>
            <w:r w:rsidRPr="005D0129">
              <w:rPr>
                <w:rFonts w:cs="Calibri"/>
                <w:color w:val="000000"/>
              </w:rPr>
              <w:t>10:00</w:t>
            </w:r>
            <w:r w:rsidRPr="005D0129">
              <w:rPr>
                <w:rFonts w:ascii="Arial" w:hAnsi="Arial" w:cs="Arial"/>
                <w:color w:val="000000"/>
              </w:rPr>
              <w:t> </w:t>
            </w:r>
            <w:r w:rsidRPr="005D0129">
              <w:rPr>
                <w:rFonts w:cs="Calibri"/>
                <w:color w:val="000000"/>
              </w:rPr>
              <w:t xml:space="preserve">am </w:t>
            </w:r>
            <w:r w:rsidRPr="005D0129">
              <w:rPr>
                <w:rFonts w:cs="Aptos"/>
                <w:color w:val="000000"/>
              </w:rPr>
              <w:t>–</w:t>
            </w:r>
            <w:r w:rsidRPr="005D0129">
              <w:rPr>
                <w:rFonts w:cs="Calibri"/>
                <w:color w:val="000000"/>
              </w:rPr>
              <w:t xml:space="preserve"> 11:15</w:t>
            </w:r>
            <w:r w:rsidRPr="005D0129">
              <w:rPr>
                <w:rFonts w:ascii="Arial" w:hAnsi="Arial" w:cs="Arial"/>
                <w:color w:val="000000"/>
              </w:rPr>
              <w:t> </w:t>
            </w:r>
            <w:r w:rsidRPr="005D0129">
              <w:rPr>
                <w:rFonts w:cs="Calibri"/>
                <w:color w:val="000000"/>
              </w:rPr>
              <w:t>am AEDT </w:t>
            </w:r>
            <w:r w:rsidRPr="005D0129">
              <w:rPr>
                <w:rFonts w:cs="Calibri"/>
                <w:color w:val="000000"/>
              </w:rPr>
              <w:br/>
            </w:r>
            <w:r w:rsidRPr="005D0129">
              <w:rPr>
                <w:rFonts w:cs="Calibri"/>
                <w:b/>
                <w:bCs/>
                <w:color w:val="000000"/>
              </w:rPr>
              <w:t>Platform:</w:t>
            </w:r>
            <w:r w:rsidRPr="005D0129">
              <w:rPr>
                <w:rFonts w:ascii="Arial" w:hAnsi="Arial" w:cs="Arial"/>
                <w:color w:val="000000"/>
              </w:rPr>
              <w:t> </w:t>
            </w:r>
            <w:hyperlink r:id="rId40" w:tgtFrame="_blank" w:history="1">
              <w:r w:rsidRPr="00E629C3">
                <w:rPr>
                  <w:rStyle w:val="Hyperlink"/>
                </w:rPr>
                <w:t>Microsoft Teams webinar</w:t>
              </w:r>
            </w:hyperlink>
            <w:r w:rsidRPr="005D0129">
              <w:rPr>
                <w:rFonts w:cs="Calibri"/>
                <w:color w:val="000000"/>
              </w:rPr>
              <w:t> </w:t>
            </w:r>
          </w:p>
          <w:p w14:paraId="08C9FA83" w14:textId="620C7E54" w:rsidR="00457E7C" w:rsidRPr="005D0129" w:rsidRDefault="00457E7C" w:rsidP="0046188C">
            <w:pPr>
              <w:pStyle w:val="BoxText"/>
            </w:pPr>
            <w:r w:rsidRPr="005D0129">
              <w:rPr>
                <w:rFonts w:cs="Calibri"/>
                <w:b/>
                <w:bCs/>
                <w:color w:val="000000"/>
              </w:rPr>
              <w:t>Date:</w:t>
            </w:r>
            <w:r w:rsidRPr="005D0129">
              <w:rPr>
                <w:rFonts w:ascii="Arial" w:hAnsi="Arial" w:cs="Arial"/>
                <w:color w:val="000000"/>
              </w:rPr>
              <w:t> </w:t>
            </w:r>
            <w:r w:rsidRPr="005D0129">
              <w:rPr>
                <w:rFonts w:cs="Calibri"/>
                <w:color w:val="000000"/>
              </w:rPr>
              <w:t>19</w:t>
            </w:r>
            <w:r w:rsidRPr="005D0129">
              <w:rPr>
                <w:rFonts w:ascii="Arial" w:hAnsi="Arial" w:cs="Arial"/>
                <w:color w:val="000000"/>
              </w:rPr>
              <w:t> </w:t>
            </w:r>
            <w:r w:rsidRPr="005D0129">
              <w:rPr>
                <w:rFonts w:cs="Calibri"/>
                <w:color w:val="000000"/>
              </w:rPr>
              <w:t>February 2026</w:t>
            </w:r>
            <w:r w:rsidRPr="005D0129">
              <w:rPr>
                <w:rFonts w:ascii="Arial" w:hAnsi="Arial" w:cs="Arial"/>
                <w:color w:val="000000"/>
              </w:rPr>
              <w:t> </w:t>
            </w:r>
            <w:r w:rsidRPr="005D0129">
              <w:rPr>
                <w:rFonts w:cs="Calibri"/>
                <w:color w:val="000000"/>
              </w:rPr>
              <w:t> </w:t>
            </w:r>
            <w:r w:rsidRPr="005D0129">
              <w:rPr>
                <w:rFonts w:cs="Calibri"/>
                <w:color w:val="000000"/>
              </w:rPr>
              <w:br/>
            </w:r>
            <w:r w:rsidRPr="005D0129">
              <w:rPr>
                <w:rFonts w:cs="Calibri"/>
                <w:b/>
                <w:bCs/>
                <w:color w:val="000000"/>
              </w:rPr>
              <w:t>Time:</w:t>
            </w:r>
            <w:r w:rsidRPr="005D0129">
              <w:rPr>
                <w:rFonts w:ascii="Arial" w:hAnsi="Arial" w:cs="Arial"/>
                <w:color w:val="000000"/>
              </w:rPr>
              <w:t> </w:t>
            </w:r>
            <w:r w:rsidRPr="005D0129">
              <w:rPr>
                <w:rFonts w:cs="Calibri"/>
                <w:color w:val="000000"/>
              </w:rPr>
              <w:t>2:00</w:t>
            </w:r>
            <w:r w:rsidRPr="005D0129">
              <w:rPr>
                <w:rFonts w:ascii="Arial" w:hAnsi="Arial" w:cs="Arial"/>
                <w:color w:val="000000"/>
              </w:rPr>
              <w:t> </w:t>
            </w:r>
            <w:r w:rsidRPr="005D0129">
              <w:rPr>
                <w:rFonts w:cs="Calibri"/>
                <w:color w:val="000000"/>
              </w:rPr>
              <w:t xml:space="preserve">pm </w:t>
            </w:r>
            <w:r w:rsidRPr="005D0129">
              <w:rPr>
                <w:rFonts w:cs="Aptos"/>
                <w:color w:val="000000"/>
              </w:rPr>
              <w:t>–</w:t>
            </w:r>
            <w:r w:rsidRPr="005D0129">
              <w:rPr>
                <w:rFonts w:cs="Calibri"/>
                <w:color w:val="000000"/>
              </w:rPr>
              <w:t xml:space="preserve"> 3:15</w:t>
            </w:r>
            <w:r w:rsidRPr="005D0129">
              <w:rPr>
                <w:rFonts w:ascii="Arial" w:hAnsi="Arial" w:cs="Arial"/>
                <w:color w:val="000000"/>
              </w:rPr>
              <w:t> </w:t>
            </w:r>
            <w:r w:rsidRPr="005D0129">
              <w:rPr>
                <w:rFonts w:cs="Calibri"/>
                <w:color w:val="000000"/>
              </w:rPr>
              <w:t>pm AEDT </w:t>
            </w:r>
            <w:r w:rsidRPr="005D0129">
              <w:rPr>
                <w:rFonts w:cs="Calibri"/>
                <w:color w:val="000000"/>
              </w:rPr>
              <w:br/>
            </w:r>
            <w:r w:rsidRPr="005D0129">
              <w:rPr>
                <w:rFonts w:cs="Calibri"/>
                <w:b/>
                <w:bCs/>
                <w:color w:val="000000"/>
              </w:rPr>
              <w:t>Platform:</w:t>
            </w:r>
            <w:r w:rsidRPr="005D0129">
              <w:rPr>
                <w:rFonts w:ascii="Arial" w:hAnsi="Arial" w:cs="Arial"/>
                <w:color w:val="000000"/>
              </w:rPr>
              <w:t> </w:t>
            </w:r>
            <w:hyperlink r:id="rId41" w:tgtFrame="_blank" w:history="1">
              <w:r w:rsidRPr="00E629C3">
                <w:rPr>
                  <w:rStyle w:val="Hyperlink"/>
                </w:rPr>
                <w:t>Microsoft Teams webinar</w:t>
              </w:r>
            </w:hyperlink>
            <w:r w:rsidRPr="005D0129">
              <w:rPr>
                <w:rFonts w:ascii="Calibri" w:hAnsi="Calibri" w:cs="Calibri"/>
                <w:color w:val="000000"/>
              </w:rPr>
              <w:t> </w:t>
            </w:r>
          </w:p>
        </w:tc>
      </w:tr>
      <w:bookmarkEnd w:id="13"/>
    </w:tbl>
    <w:p w14:paraId="4DEBC2E0" w14:textId="77777777" w:rsidR="00A95C78" w:rsidRPr="002F5F97" w:rsidRDefault="00A95C78" w:rsidP="00394771">
      <w:pPr>
        <w:pStyle w:val="SingleParagraph"/>
      </w:pPr>
    </w:p>
    <w:p w14:paraId="657078C4" w14:textId="7DBCAD44" w:rsidR="0046188C" w:rsidRPr="002F5F97" w:rsidRDefault="00071FA1" w:rsidP="00AE17E8">
      <w:pPr>
        <w:spacing w:before="0" w:after="160" w:line="259" w:lineRule="auto"/>
      </w:pPr>
      <w:r w:rsidRPr="002F5F97">
        <w:t xml:space="preserve">Please note: the webinars are </w:t>
      </w:r>
      <w:r w:rsidRPr="002F5F97">
        <w:rPr>
          <w:i/>
          <w:iCs/>
        </w:rPr>
        <w:t>demonstrations only</w:t>
      </w:r>
      <w:r w:rsidR="005D0129">
        <w:t xml:space="preserve"> – </w:t>
      </w:r>
      <w:r w:rsidRPr="002F5F97">
        <w:t xml:space="preserve">they are </w:t>
      </w:r>
      <w:r w:rsidRPr="002F5F97">
        <w:rPr>
          <w:b/>
          <w:bCs/>
          <w:u w:val="single"/>
        </w:rPr>
        <w:t>not</w:t>
      </w:r>
      <w:r w:rsidRPr="002F5F97">
        <w:t xml:space="preserve"> training sessions. They are intended to give users an overview of what the </w:t>
      </w:r>
      <w:r w:rsidR="00C54076">
        <w:t>p</w:t>
      </w:r>
      <w:r w:rsidRPr="002F5F97">
        <w:t>ortal can do and what to expect when it becomes available in mid</w:t>
      </w:r>
      <w:r w:rsidR="005D0129">
        <w:noBreakHyphen/>
      </w:r>
      <w:r w:rsidRPr="002F5F97">
        <w:t>February 2026.</w:t>
      </w:r>
    </w:p>
    <w:tbl>
      <w:tblPr>
        <w:tblW w:w="5000" w:type="pct"/>
        <w:shd w:val="clear" w:color="auto" w:fill="CDD5E1" w:themeFill="accent6" w:themeFillTint="33"/>
        <w:tblCellMar>
          <w:top w:w="57" w:type="dxa"/>
          <w:left w:w="284" w:type="dxa"/>
          <w:bottom w:w="170" w:type="dxa"/>
          <w:right w:w="284" w:type="dxa"/>
        </w:tblCellMar>
        <w:tblLook w:val="01E0" w:firstRow="1" w:lastRow="1" w:firstColumn="1" w:lastColumn="1" w:noHBand="0" w:noVBand="0"/>
      </w:tblPr>
      <w:tblGrid>
        <w:gridCol w:w="8504"/>
      </w:tblGrid>
      <w:tr w:rsidR="0046188C" w:rsidRPr="005D0129" w14:paraId="0E9A1B01" w14:textId="77777777" w:rsidTr="00A2656E">
        <w:tc>
          <w:tcPr>
            <w:tcW w:w="5000" w:type="pct"/>
            <w:shd w:val="clear" w:color="auto" w:fill="CDD5E1" w:themeFill="accent6" w:themeFillTint="33"/>
          </w:tcPr>
          <w:p w14:paraId="61161053" w14:textId="7F39EB5A" w:rsidR="0046188C" w:rsidRPr="005D0129" w:rsidRDefault="00DC6FB3" w:rsidP="00A2656E">
            <w:pPr>
              <w:pStyle w:val="BoxHeading"/>
            </w:pPr>
            <w:r w:rsidRPr="005D0129">
              <w:rPr>
                <w:noProof/>
              </w:rPr>
              <w:drawing>
                <wp:anchor distT="0" distB="0" distL="114300" distR="114300" simplePos="0" relativeHeight="251658244" behindDoc="1" locked="0" layoutInCell="1" allowOverlap="1" wp14:anchorId="2E4142F1" wp14:editId="795F35A8">
                  <wp:simplePos x="0" y="0"/>
                  <wp:positionH relativeFrom="column">
                    <wp:posOffset>17780</wp:posOffset>
                  </wp:positionH>
                  <wp:positionV relativeFrom="paragraph">
                    <wp:posOffset>150495</wp:posOffset>
                  </wp:positionV>
                  <wp:extent cx="972000" cy="972000"/>
                  <wp:effectExtent l="0" t="0" r="0" b="0"/>
                  <wp:wrapSquare wrapText="bothSides"/>
                  <wp:docPr id="13887663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66371" name="Picture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r w:rsidR="0046188C" w:rsidRPr="005D0129">
              <w:t>The Regulator’s online</w:t>
            </w:r>
            <w:r w:rsidR="00E32B8B" w:rsidRPr="005D0129">
              <w:t xml:space="preserve"> </w:t>
            </w:r>
            <w:r w:rsidR="0046188C" w:rsidRPr="005D0129">
              <w:t>Stakeholder</w:t>
            </w:r>
            <w:r w:rsidR="00975F9D" w:rsidRPr="005D0129">
              <w:t> </w:t>
            </w:r>
            <w:r w:rsidR="0046188C" w:rsidRPr="005D0129">
              <w:t xml:space="preserve">Liaison </w:t>
            </w:r>
            <w:r w:rsidR="00E32B8B" w:rsidRPr="005D0129">
              <w:t>F</w:t>
            </w:r>
            <w:r w:rsidR="0046188C" w:rsidRPr="005D0129">
              <w:t xml:space="preserve">orum is on 12 March 2026 </w:t>
            </w:r>
          </w:p>
          <w:p w14:paraId="7CD7DA85" w14:textId="6CB8C53C" w:rsidR="00093DB7" w:rsidRPr="005D0129" w:rsidRDefault="00093DB7" w:rsidP="00093DB7">
            <w:pPr>
              <w:pStyle w:val="BoxText"/>
            </w:pPr>
            <w:r w:rsidRPr="005D0129">
              <w:t xml:space="preserve">The Regulator is committed to regular and open collaboration with stakeholders to build trust and strengthen relationships across the business sector. </w:t>
            </w:r>
          </w:p>
          <w:p w14:paraId="7FE72456" w14:textId="33F59814" w:rsidR="00093DB7" w:rsidRPr="005D0129" w:rsidRDefault="00093DB7" w:rsidP="00093DB7">
            <w:pPr>
              <w:pStyle w:val="BoxText"/>
            </w:pPr>
            <w:r w:rsidRPr="005D0129">
              <w:t>Our Stakeholder Liaison Forum is an opportunity to engage directly with the Regulator and leadership team. Stay informed, take the opportunity to have your</w:t>
            </w:r>
            <w:r w:rsidR="007758AD" w:rsidRPr="005D0129">
              <w:t> </w:t>
            </w:r>
            <w:r w:rsidRPr="005D0129">
              <w:t>questions answered, and hear about key initiatives and developments in the</w:t>
            </w:r>
            <w:r w:rsidR="007758AD" w:rsidRPr="005D0129">
              <w:t> </w:t>
            </w:r>
            <w:r w:rsidRPr="005D0129">
              <w:t>Scheme.</w:t>
            </w:r>
          </w:p>
          <w:p w14:paraId="4A17D02D" w14:textId="45CA3A59" w:rsidR="0046188C" w:rsidRPr="005D0129" w:rsidRDefault="002D7FE4" w:rsidP="00A95C78">
            <w:pPr>
              <w:pStyle w:val="BoxText"/>
            </w:pPr>
            <w:hyperlink r:id="rId44" w:history="1">
              <w:r w:rsidRPr="002D7FE4">
                <w:rPr>
                  <w:rFonts w:eastAsia="Aptos" w:cs="Times New Roman"/>
                  <w:color w:val="461F65"/>
                  <w:u w:val="single"/>
                </w:rPr>
                <w:t>Register online</w:t>
              </w:r>
            </w:hyperlink>
            <w:r>
              <w:rPr>
                <w:rFonts w:eastAsia="Aptos" w:cs="Arial"/>
                <w:kern w:val="2"/>
                <w:sz w:val="24"/>
                <w:szCs w:val="24"/>
                <w14:ligatures w14:val="standardContextual"/>
              </w:rPr>
              <w:t xml:space="preserve"> </w:t>
            </w:r>
            <w:r w:rsidR="00093DB7" w:rsidRPr="005D0129">
              <w:t>now to attend this event.</w:t>
            </w:r>
          </w:p>
        </w:tc>
      </w:tr>
    </w:tbl>
    <w:p w14:paraId="1FC64011" w14:textId="77777777" w:rsidR="00E872FE" w:rsidRPr="002F5F97" w:rsidRDefault="00E872FE">
      <w:pPr>
        <w:spacing w:before="0" w:after="160" w:line="259" w:lineRule="auto"/>
      </w:pPr>
    </w:p>
    <w:p w14:paraId="7612E2BC" w14:textId="77777777" w:rsidR="00E872FE" w:rsidRPr="002F5F97" w:rsidRDefault="00E872FE">
      <w:pPr>
        <w:spacing w:before="0" w:after="160" w:line="259" w:lineRule="auto"/>
        <w:sectPr w:rsidR="00E872FE" w:rsidRPr="002F5F97" w:rsidSect="001211AE">
          <w:headerReference w:type="even" r:id="rId45"/>
          <w:headerReference w:type="default" r:id="rId46"/>
          <w:footerReference w:type="even" r:id="rId47"/>
          <w:footerReference w:type="default" r:id="rId48"/>
          <w:footerReference w:type="first" r:id="rId49"/>
          <w:pgSz w:w="11906" w:h="16838" w:code="9"/>
          <w:pgMar w:top="1418" w:right="1701" w:bottom="1418" w:left="1701" w:header="709" w:footer="709" w:gutter="0"/>
          <w:cols w:space="708"/>
          <w:titlePg/>
          <w:docGrid w:linePitch="360"/>
        </w:sectPr>
      </w:pPr>
    </w:p>
    <w:p w14:paraId="747620E7" w14:textId="0BC1981A" w:rsidR="000C3AA1" w:rsidRPr="002F5F97" w:rsidRDefault="00A97B4A" w:rsidP="000C3AA1">
      <w:pPr>
        <w:pStyle w:val="ChapterTitle"/>
      </w:pPr>
      <w:bookmarkStart w:id="14" w:name="_Toc220068367"/>
      <w:r w:rsidRPr="002F5F97">
        <w:lastRenderedPageBreak/>
        <w:t>Research and intelligence</w:t>
      </w:r>
      <w:bookmarkEnd w:id="14"/>
    </w:p>
    <w:p w14:paraId="4264A789" w14:textId="7BD89DBE" w:rsidR="00603DCE" w:rsidRPr="002F5F97" w:rsidRDefault="00603DCE" w:rsidP="004114C2">
      <w:pPr>
        <w:pStyle w:val="ChapterSubtitle"/>
        <w:ind w:right="2834"/>
      </w:pPr>
      <w:r w:rsidRPr="002F5F97">
        <w:t>Key payment times reporting measures</w:t>
      </w:r>
    </w:p>
    <w:p w14:paraId="1757D20A" w14:textId="3880731B" w:rsidR="007B6E4B" w:rsidRPr="002F5F97" w:rsidRDefault="007B6E4B" w:rsidP="000C3AA1">
      <w:pPr>
        <w:pStyle w:val="ChapterSubtitle"/>
      </w:pPr>
      <w:r w:rsidRPr="002F5F97">
        <w:t xml:space="preserve">Data </w:t>
      </w:r>
      <w:r w:rsidR="00024019">
        <w:t>s</w:t>
      </w:r>
      <w:r w:rsidRPr="002F5F97">
        <w:t>napshot</w:t>
      </w:r>
    </w:p>
    <w:p w14:paraId="306EB944" w14:textId="4158F223" w:rsidR="00E06B12" w:rsidRPr="002F5F97" w:rsidRDefault="00E06B12" w:rsidP="000C3AA1">
      <w:pPr>
        <w:pStyle w:val="ChapterSubtitle"/>
      </w:pPr>
      <w:r w:rsidRPr="002F5F97">
        <w:t>Data insights</w:t>
      </w:r>
    </w:p>
    <w:p w14:paraId="4382F19A" w14:textId="00EE641C" w:rsidR="00794948" w:rsidRPr="002F5F97" w:rsidRDefault="00E06B12" w:rsidP="000C3AA1">
      <w:pPr>
        <w:pStyle w:val="ChapterSubtitle"/>
      </w:pPr>
      <w:r w:rsidRPr="002F5F97">
        <w:t>Industry insights</w:t>
      </w:r>
    </w:p>
    <w:p w14:paraId="6ACC67BC" w14:textId="7AE4F1CD" w:rsidR="00AE37DD" w:rsidRPr="002F5F97" w:rsidRDefault="00AE37DD" w:rsidP="00557A12">
      <w:pPr>
        <w:spacing w:before="0" w:after="160" w:line="259" w:lineRule="auto"/>
      </w:pPr>
      <w:r w:rsidRPr="002F5F97">
        <w:br w:type="page"/>
      </w:r>
    </w:p>
    <w:p w14:paraId="5BB2C4BE" w14:textId="66E49580" w:rsidR="0018503D" w:rsidRPr="002F5F97" w:rsidRDefault="00B90AE2" w:rsidP="009D3169">
      <w:pPr>
        <w:pStyle w:val="ChapterHeading1"/>
      </w:pPr>
      <w:bookmarkStart w:id="15" w:name="_Toc220068368"/>
      <w:r w:rsidRPr="002F5F97">
        <w:lastRenderedPageBreak/>
        <w:t>Key payment times reporting measures</w:t>
      </w:r>
      <w:bookmarkEnd w:id="15"/>
    </w:p>
    <w:p w14:paraId="1B98837C" w14:textId="4031DE23" w:rsidR="0048323B" w:rsidRPr="002F5F97" w:rsidRDefault="00B43C5A" w:rsidP="00C33494">
      <w:pPr>
        <w:rPr>
          <w:lang w:eastAsia="en-AU"/>
        </w:rPr>
      </w:pPr>
      <w:r w:rsidRPr="002F5F97">
        <w:rPr>
          <w:lang w:eastAsia="en-AU"/>
        </w:rPr>
        <w:t>Measures introduced from 1</w:t>
      </w:r>
      <w:r w:rsidR="000426FD">
        <w:rPr>
          <w:lang w:eastAsia="en-AU"/>
        </w:rPr>
        <w:t> </w:t>
      </w:r>
      <w:r w:rsidRPr="002F5F97">
        <w:rPr>
          <w:lang w:eastAsia="en-AU"/>
        </w:rPr>
        <w:t>July</w:t>
      </w:r>
      <w:r w:rsidR="000426FD">
        <w:rPr>
          <w:lang w:eastAsia="en-AU"/>
        </w:rPr>
        <w:t> </w:t>
      </w:r>
      <w:r w:rsidRPr="002F5F97">
        <w:rPr>
          <w:lang w:eastAsia="en-AU"/>
        </w:rPr>
        <w:t xml:space="preserve">2024 improve the clarity and granularity of reported data to give </w:t>
      </w:r>
      <w:r w:rsidR="00237CF7" w:rsidRPr="002F5F97">
        <w:rPr>
          <w:lang w:eastAsia="en-AU"/>
        </w:rPr>
        <w:t xml:space="preserve">both </w:t>
      </w:r>
      <w:r w:rsidRPr="002F5F97">
        <w:rPr>
          <w:lang w:eastAsia="en-AU"/>
        </w:rPr>
        <w:t>the Regulator and th</w:t>
      </w:r>
      <w:r w:rsidR="001625F1" w:rsidRPr="002F5F97">
        <w:rPr>
          <w:lang w:eastAsia="en-AU"/>
        </w:rPr>
        <w:t>e</w:t>
      </w:r>
      <w:r w:rsidRPr="002F5F97">
        <w:rPr>
          <w:lang w:eastAsia="en-AU"/>
        </w:rPr>
        <w:t xml:space="preserve"> community a more detailed and accurate view of large businesses</w:t>
      </w:r>
      <w:r w:rsidR="005D0129">
        <w:rPr>
          <w:lang w:eastAsia="en-AU"/>
        </w:rPr>
        <w:t>’</w:t>
      </w:r>
      <w:r w:rsidRPr="002F5F97">
        <w:rPr>
          <w:lang w:eastAsia="en-AU"/>
        </w:rPr>
        <w:t xml:space="preserve"> payment practices. They provide greater transparency and context to users of</w:t>
      </w:r>
      <w:r w:rsidR="00087B57">
        <w:rPr>
          <w:lang w:eastAsia="en-AU"/>
        </w:rPr>
        <w:t> </w:t>
      </w:r>
      <w:r w:rsidRPr="002F5F97">
        <w:rPr>
          <w:lang w:eastAsia="en-AU"/>
        </w:rPr>
        <w:t>the reports in the Payment Times Reports Register. These measures support the assessments for the payment incentives and provide insights on payment discipline and</w:t>
      </w:r>
      <w:r w:rsidR="00087B57">
        <w:rPr>
          <w:lang w:eastAsia="en-AU"/>
        </w:rPr>
        <w:t> </w:t>
      </w:r>
      <w:r w:rsidRPr="002F5F97">
        <w:rPr>
          <w:lang w:eastAsia="en-AU"/>
        </w:rPr>
        <w:t>reliability</w:t>
      </w:r>
      <w:r w:rsidR="00002024">
        <w:rPr>
          <w:lang w:eastAsia="en-AU"/>
        </w:rPr>
        <w:t>,</w:t>
      </w:r>
      <w:r w:rsidRPr="002F5F97">
        <w:rPr>
          <w:lang w:eastAsia="en-AU"/>
        </w:rPr>
        <w:t xml:space="preserve"> by showing how consistently a business meets its own commitments to</w:t>
      </w:r>
      <w:r w:rsidR="00087B57">
        <w:rPr>
          <w:lang w:eastAsia="en-AU"/>
        </w:rPr>
        <w:t> </w:t>
      </w:r>
      <w:r w:rsidRPr="002F5F97">
        <w:rPr>
          <w:lang w:eastAsia="en-AU"/>
        </w:rPr>
        <w:t>pay</w:t>
      </w:r>
      <w:r w:rsidR="00087B57">
        <w:rPr>
          <w:lang w:eastAsia="en-AU"/>
        </w:rPr>
        <w:t> </w:t>
      </w:r>
      <w:r w:rsidRPr="002F5F97">
        <w:rPr>
          <w:lang w:eastAsia="en-AU"/>
        </w:rPr>
        <w:t>on</w:t>
      </w:r>
      <w:r w:rsidR="00087B57">
        <w:rPr>
          <w:lang w:eastAsia="en-AU"/>
        </w:rPr>
        <w:t> </w:t>
      </w:r>
      <w:r w:rsidRPr="002F5F97">
        <w:rPr>
          <w:lang w:eastAsia="en-AU"/>
        </w:rPr>
        <w:t>time.</w:t>
      </w:r>
    </w:p>
    <w:p w14:paraId="13E73D88" w14:textId="77777777" w:rsidR="008C4051" w:rsidRPr="002F5F97" w:rsidRDefault="008C4051" w:rsidP="008C4051">
      <w:pPr>
        <w:pStyle w:val="Heading2"/>
      </w:pPr>
      <w:r w:rsidRPr="002F5F97">
        <w:t>80</w:t>
      </w:r>
      <w:r w:rsidRPr="00B42479">
        <w:t>th</w:t>
      </w:r>
      <w:r w:rsidRPr="002F5F97">
        <w:t xml:space="preserve"> percentile payment time (in days) </w:t>
      </w:r>
    </w:p>
    <w:p w14:paraId="5E887EC0" w14:textId="0411BDBA" w:rsidR="008C4051" w:rsidRPr="002F5F97" w:rsidRDefault="0069566D" w:rsidP="0048323B">
      <w:pPr>
        <w:rPr>
          <w:lang w:eastAsia="en-AU"/>
        </w:rPr>
      </w:pPr>
      <w:r w:rsidRPr="002F5F97">
        <w:rPr>
          <w:lang w:eastAsia="en-AU"/>
        </w:rPr>
        <w:t>The 80</w:t>
      </w:r>
      <w:r w:rsidRPr="00B42479">
        <w:rPr>
          <w:lang w:eastAsia="en-AU"/>
        </w:rPr>
        <w:t>th</w:t>
      </w:r>
      <w:r w:rsidRPr="002F5F97">
        <w:rPr>
          <w:lang w:eastAsia="en-AU"/>
        </w:rPr>
        <w:t xml:space="preserve"> percentile </w:t>
      </w:r>
      <w:r w:rsidR="009E0509">
        <w:rPr>
          <w:lang w:eastAsia="en-AU"/>
        </w:rPr>
        <w:t>indicates</w:t>
      </w:r>
      <w:r w:rsidRPr="002F5F97">
        <w:rPr>
          <w:lang w:eastAsia="en-AU"/>
        </w:rPr>
        <w:t xml:space="preserve"> the number of days it took for a reporting entity to make 80</w:t>
      </w:r>
      <w:r w:rsidR="00FA28F6">
        <w:rPr>
          <w:lang w:eastAsia="en-AU"/>
        </w:rPr>
        <w:t> </w:t>
      </w:r>
      <w:r w:rsidRPr="002F5F97">
        <w:rPr>
          <w:lang w:eastAsia="en-AU"/>
        </w:rPr>
        <w:t>per</w:t>
      </w:r>
      <w:r w:rsidR="00FA28F6">
        <w:rPr>
          <w:lang w:eastAsia="en-AU"/>
        </w:rPr>
        <w:t> </w:t>
      </w:r>
      <w:r w:rsidRPr="002F5F97">
        <w:rPr>
          <w:lang w:eastAsia="en-AU"/>
        </w:rPr>
        <w:t xml:space="preserve">cent of all small business trade credit payments in </w:t>
      </w:r>
      <w:r w:rsidR="00A75E54">
        <w:rPr>
          <w:lang w:eastAsia="en-AU"/>
        </w:rPr>
        <w:t>the</w:t>
      </w:r>
      <w:r w:rsidRPr="002F5F97">
        <w:rPr>
          <w:lang w:eastAsia="en-AU"/>
        </w:rPr>
        <w:t xml:space="preserve"> reporting period. It offers a practical midpoint between average and extreme values by providing insight into whether slower payments by the entity are outliers, or representative of a more systemic practice of the entity. It is particularly useful for assessing general payment culture and tracking improvements over time.</w:t>
      </w:r>
    </w:p>
    <w:p w14:paraId="1378D66F" w14:textId="6E7283A9" w:rsidR="00AE37DD" w:rsidRPr="002F5F97" w:rsidRDefault="008D2069" w:rsidP="00AE37DD">
      <w:pPr>
        <w:pStyle w:val="Heading2"/>
        <w:rPr>
          <w:rFonts w:cs="Times New Roman"/>
          <w:color w:val="auto"/>
          <w:sz w:val="22"/>
          <w:szCs w:val="20"/>
        </w:rPr>
      </w:pPr>
      <w:r w:rsidRPr="002F5F97">
        <w:t>95</w:t>
      </w:r>
      <w:r w:rsidRPr="00B42479">
        <w:t>th</w:t>
      </w:r>
      <w:r w:rsidRPr="002F5F97">
        <w:t xml:space="preserve"> percentile payment time (in days)</w:t>
      </w:r>
    </w:p>
    <w:p w14:paraId="1F9636F4" w14:textId="2579AE3D" w:rsidR="003C66E9" w:rsidRPr="002F5F97" w:rsidRDefault="003C66E9" w:rsidP="003C66E9">
      <w:bookmarkStart w:id="16" w:name="_Hlk218856123"/>
      <w:r w:rsidRPr="002F5F97">
        <w:t>This measure indicates the number of days it took to make 95 per cent of all small business trade credit payments in the reporting period. This measure is key for assessing the payment incentives. It identif</w:t>
      </w:r>
      <w:r w:rsidR="00FB6CDD">
        <w:t>ies</w:t>
      </w:r>
      <w:r w:rsidRPr="002F5F97">
        <w:t xml:space="preserve"> the time it takes for an entity to pay the majority of invoices, excluding outliers and one</w:t>
      </w:r>
      <w:r w:rsidR="005D0129">
        <w:noBreakHyphen/>
      </w:r>
      <w:r w:rsidRPr="002F5F97">
        <w:t>offs. This figure removes the slowest payment times of an entity, but more accurately reflects when a small business will be paid due to the removal of extreme outliers.</w:t>
      </w:r>
    </w:p>
    <w:p w14:paraId="40245703" w14:textId="6C72B31E" w:rsidR="00AE37DD" w:rsidRPr="002F5F97" w:rsidRDefault="003C66E9" w:rsidP="00AE37DD">
      <w:r w:rsidRPr="002F5F97">
        <w:t>The 80</w:t>
      </w:r>
      <w:r w:rsidRPr="00B42479">
        <w:t>th</w:t>
      </w:r>
      <w:r w:rsidR="000426FD">
        <w:t> </w:t>
      </w:r>
      <w:r w:rsidRPr="002F5F97">
        <w:t>and 95</w:t>
      </w:r>
      <w:r w:rsidRPr="00B42479">
        <w:t>th</w:t>
      </w:r>
      <w:r w:rsidR="000426FD">
        <w:t> </w:t>
      </w:r>
      <w:r w:rsidRPr="002F5F97">
        <w:t>percentile metrics indicate the number of days at which 80</w:t>
      </w:r>
      <w:r w:rsidR="000426FD">
        <w:t> </w:t>
      </w:r>
      <w:r w:rsidRPr="002F5F97">
        <w:t>per</w:t>
      </w:r>
      <w:r w:rsidR="000426FD">
        <w:t> </w:t>
      </w:r>
      <w:r w:rsidRPr="002F5F97">
        <w:t>cent and 95</w:t>
      </w:r>
      <w:r w:rsidR="000426FD">
        <w:t> </w:t>
      </w:r>
      <w:r w:rsidRPr="002F5F97">
        <w:t>per</w:t>
      </w:r>
      <w:r w:rsidR="000426FD">
        <w:t> </w:t>
      </w:r>
      <w:r w:rsidRPr="002F5F97">
        <w:t>cent of small business invoices are paid. Both measures are important for understanding the midpoint and extremes of payment behaviour.</w:t>
      </w:r>
    </w:p>
    <w:tbl>
      <w:tblPr>
        <w:tblW w:w="5000" w:type="pct"/>
        <w:shd w:val="clear" w:color="auto" w:fill="D9D9D9" w:themeFill="background1" w:themeFillShade="D9"/>
        <w:tblCellMar>
          <w:top w:w="57" w:type="dxa"/>
          <w:left w:w="284" w:type="dxa"/>
          <w:bottom w:w="170" w:type="dxa"/>
          <w:right w:w="284" w:type="dxa"/>
        </w:tblCellMar>
        <w:tblLook w:val="01E0" w:firstRow="1" w:lastRow="1" w:firstColumn="1" w:lastColumn="1" w:noHBand="0" w:noVBand="0"/>
      </w:tblPr>
      <w:tblGrid>
        <w:gridCol w:w="8504"/>
      </w:tblGrid>
      <w:tr w:rsidR="00C75055" w:rsidRPr="005D0129" w14:paraId="01677E35" w14:textId="77777777" w:rsidTr="00DF74B8">
        <w:tc>
          <w:tcPr>
            <w:tcW w:w="5000" w:type="pct"/>
            <w:shd w:val="clear" w:color="auto" w:fill="F0EFED"/>
          </w:tcPr>
          <w:bookmarkEnd w:id="16"/>
          <w:p w14:paraId="2C9E3B0B" w14:textId="4DC5BE42" w:rsidR="00C75055" w:rsidRPr="005D0129" w:rsidRDefault="00C75055" w:rsidP="00424A06">
            <w:pPr>
              <w:pStyle w:val="BoxHeading"/>
            </w:pPr>
            <w:r w:rsidRPr="005D0129">
              <w:t>Example</w:t>
            </w:r>
          </w:p>
          <w:p w14:paraId="66590D7E" w14:textId="74DE175D" w:rsidR="00C75055" w:rsidRPr="005D0129" w:rsidRDefault="00C75055" w:rsidP="00C75055">
            <w:pPr>
              <w:pStyle w:val="BoxText"/>
            </w:pPr>
            <w:r w:rsidRPr="005D0129">
              <w:t>If the 80th</w:t>
            </w:r>
            <w:r w:rsidR="000426FD" w:rsidRPr="005D0129">
              <w:t> </w:t>
            </w:r>
            <w:r w:rsidRPr="005D0129">
              <w:t>percentile payment time is 45</w:t>
            </w:r>
            <w:r w:rsidR="000426FD" w:rsidRPr="005D0129">
              <w:t> </w:t>
            </w:r>
            <w:r w:rsidRPr="005D0129">
              <w:t>days and the 95</w:t>
            </w:r>
            <w:r w:rsidR="00D745CE">
              <w:t>th</w:t>
            </w:r>
            <w:r w:rsidR="000426FD" w:rsidRPr="005D0129">
              <w:t> </w:t>
            </w:r>
            <w:r w:rsidRPr="005D0129">
              <w:t>percentile payment time is 60</w:t>
            </w:r>
            <w:r w:rsidR="000426FD" w:rsidRPr="005D0129">
              <w:t> </w:t>
            </w:r>
            <w:r w:rsidRPr="005D0129">
              <w:t>days</w:t>
            </w:r>
            <w:r w:rsidR="00746A80">
              <w:t xml:space="preserve"> for an entity</w:t>
            </w:r>
            <w:r w:rsidRPr="005D0129">
              <w:t>, small businesses can anticipate the majority of payments being made within 45</w:t>
            </w:r>
            <w:r w:rsidR="000426FD" w:rsidRPr="005D0129">
              <w:t> </w:t>
            </w:r>
            <w:r w:rsidRPr="005D0129">
              <w:t>days</w:t>
            </w:r>
            <w:r w:rsidR="00646C59">
              <w:t>,</w:t>
            </w:r>
            <w:r w:rsidRPr="005D0129">
              <w:t xml:space="preserve"> with some taking up to 60 days and a small portion taking longer than 60</w:t>
            </w:r>
            <w:r w:rsidR="000426FD" w:rsidRPr="005D0129">
              <w:t> </w:t>
            </w:r>
            <w:r w:rsidRPr="005D0129">
              <w:t>days. This information helps small businesses prepare for potential delays and manage their cash flow more effectively.</w:t>
            </w:r>
          </w:p>
        </w:tc>
      </w:tr>
    </w:tbl>
    <w:p w14:paraId="4BA6C702" w14:textId="09FA770B" w:rsidR="00610131" w:rsidRPr="002F5F97" w:rsidRDefault="000D73E1" w:rsidP="000D73E1">
      <w:pPr>
        <w:pStyle w:val="Heading2"/>
      </w:pPr>
      <w:r w:rsidRPr="002F5F97">
        <w:t>Average payment time (in days)</w:t>
      </w:r>
    </w:p>
    <w:p w14:paraId="25811321" w14:textId="77777777" w:rsidR="00217E5B" w:rsidRPr="002F5F97" w:rsidRDefault="00217E5B" w:rsidP="00CA530F">
      <w:pPr>
        <w:spacing w:before="0" w:after="160" w:line="259" w:lineRule="auto"/>
      </w:pPr>
      <w:r w:rsidRPr="002F5F97">
        <w:rPr>
          <w:noProof/>
        </w:rPr>
        <w:drawing>
          <wp:anchor distT="0" distB="0" distL="114300" distR="114300" simplePos="0" relativeHeight="251658242" behindDoc="1" locked="0" layoutInCell="1" allowOverlap="1" wp14:anchorId="4CE07138" wp14:editId="53C27EE0">
            <wp:simplePos x="0" y="0"/>
            <wp:positionH relativeFrom="column">
              <wp:posOffset>71755</wp:posOffset>
            </wp:positionH>
            <wp:positionV relativeFrom="paragraph">
              <wp:posOffset>67310</wp:posOffset>
            </wp:positionV>
            <wp:extent cx="755650" cy="755650"/>
            <wp:effectExtent l="0" t="0" r="6350" b="6350"/>
            <wp:wrapSquare wrapText="bothSides"/>
            <wp:docPr id="5467192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19280" name="Picture 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CA530F" w:rsidRPr="002F5F97">
        <w:t xml:space="preserve">Both average and median payment times measures are included in the data collected, as payment times to small businesses do not necessarily follow a symmetrical distribution. The average payment time represents the statistical mean of the payment times calculated for all payments in the small business trade credit payments dataset. </w:t>
      </w:r>
    </w:p>
    <w:p w14:paraId="225B55C4" w14:textId="77777777" w:rsidR="00822986" w:rsidRDefault="00822986">
      <w:pPr>
        <w:spacing w:before="0" w:after="160" w:line="259" w:lineRule="auto"/>
      </w:pPr>
      <w:r>
        <w:br w:type="page"/>
      </w:r>
    </w:p>
    <w:p w14:paraId="008396DE" w14:textId="5460E6BB" w:rsidR="00EA14DC" w:rsidRPr="002F5F97" w:rsidRDefault="00CA530F" w:rsidP="00CA530F">
      <w:pPr>
        <w:spacing w:before="0" w:after="160" w:line="259" w:lineRule="auto"/>
      </w:pPr>
      <w:r w:rsidRPr="002F5F97">
        <w:lastRenderedPageBreak/>
        <w:t>The average payment time metric provides a clear, comparable indicator of payment performance across reporting entities</w:t>
      </w:r>
      <w:r w:rsidR="00944B30" w:rsidRPr="002F5F97">
        <w:t xml:space="preserve"> and </w:t>
      </w:r>
      <w:r w:rsidRPr="002F5F97">
        <w:t xml:space="preserve">gives small businesses </w:t>
      </w:r>
      <w:r w:rsidR="00944B30" w:rsidRPr="002F5F97">
        <w:t xml:space="preserve">an </w:t>
      </w:r>
      <w:r w:rsidRPr="002F5F97">
        <w:t xml:space="preserve">awareness of when invoices </w:t>
      </w:r>
      <w:r w:rsidR="007157F1">
        <w:t>are likely to</w:t>
      </w:r>
      <w:r w:rsidRPr="002F5F97">
        <w:t xml:space="preserve"> be paid. It</w:t>
      </w:r>
      <w:r w:rsidR="005D0129">
        <w:t>’</w:t>
      </w:r>
      <w:r w:rsidRPr="002F5F97">
        <w:t>s a useful tool for forecasting cashflow and planning working capital.</w:t>
      </w:r>
    </w:p>
    <w:tbl>
      <w:tblPr>
        <w:tblW w:w="5000" w:type="pct"/>
        <w:shd w:val="clear" w:color="auto" w:fill="D9D9D9" w:themeFill="background1" w:themeFillShade="D9"/>
        <w:tblCellMar>
          <w:top w:w="57" w:type="dxa"/>
          <w:left w:w="284" w:type="dxa"/>
          <w:bottom w:w="170" w:type="dxa"/>
          <w:right w:w="284" w:type="dxa"/>
        </w:tblCellMar>
        <w:tblLook w:val="01E0" w:firstRow="1" w:lastRow="1" w:firstColumn="1" w:lastColumn="1" w:noHBand="0" w:noVBand="0"/>
      </w:tblPr>
      <w:tblGrid>
        <w:gridCol w:w="8504"/>
      </w:tblGrid>
      <w:tr w:rsidR="00217E5B" w:rsidRPr="005D0129" w14:paraId="7652D21F" w14:textId="77777777" w:rsidTr="00E4639E">
        <w:tc>
          <w:tcPr>
            <w:tcW w:w="5000" w:type="pct"/>
            <w:shd w:val="clear" w:color="auto" w:fill="F0EFED"/>
          </w:tcPr>
          <w:p w14:paraId="38136F13" w14:textId="77777777" w:rsidR="00217E5B" w:rsidRPr="005D0129" w:rsidRDefault="00217E5B" w:rsidP="00424A06">
            <w:pPr>
              <w:pStyle w:val="BoxHeading"/>
            </w:pPr>
            <w:r w:rsidRPr="005D0129">
              <w:t>Example</w:t>
            </w:r>
          </w:p>
          <w:p w14:paraId="5C990B49" w14:textId="21A659A4" w:rsidR="00217E5B" w:rsidRPr="005D0129" w:rsidRDefault="00944B30" w:rsidP="00805861">
            <w:pPr>
              <w:pStyle w:val="BoxText"/>
            </w:pPr>
            <w:r w:rsidRPr="005D0129">
              <w:t xml:space="preserve">If </w:t>
            </w:r>
            <w:r w:rsidR="00B14F06">
              <w:t>the</w:t>
            </w:r>
            <w:r w:rsidRPr="005D0129">
              <w:t xml:space="preserve"> </w:t>
            </w:r>
            <w:r w:rsidR="00B14F06" w:rsidRPr="005D0129">
              <w:t xml:space="preserve">average payment time </w:t>
            </w:r>
            <w:r w:rsidR="00B14F06">
              <w:t xml:space="preserve">for a </w:t>
            </w:r>
            <w:r w:rsidRPr="005D0129">
              <w:t>large business</w:t>
            </w:r>
            <w:r w:rsidR="00B14F06">
              <w:t xml:space="preserve"> </w:t>
            </w:r>
            <w:r w:rsidRPr="005D0129">
              <w:t>is 32</w:t>
            </w:r>
            <w:r w:rsidR="00617191" w:rsidRPr="005D0129">
              <w:t> </w:t>
            </w:r>
            <w:r w:rsidRPr="005D0129">
              <w:t>days, but the 9</w:t>
            </w:r>
            <w:r w:rsidR="0022742A">
              <w:t xml:space="preserve">5th </w:t>
            </w:r>
            <w:r w:rsidRPr="005D0129">
              <w:t>percentile is 60 days, it suggests most invoices are paid in 32</w:t>
            </w:r>
            <w:r w:rsidR="00617191" w:rsidRPr="005D0129">
              <w:t> </w:t>
            </w:r>
            <w:r w:rsidRPr="005D0129">
              <w:t>days, but a few are significantly delayed.</w:t>
            </w:r>
          </w:p>
        </w:tc>
      </w:tr>
    </w:tbl>
    <w:p w14:paraId="0C6E4E78" w14:textId="3B5DF4BC" w:rsidR="00CF3C56" w:rsidRPr="00FA28F6" w:rsidRDefault="003E7D6C" w:rsidP="00FA28F6">
      <w:pPr>
        <w:pStyle w:val="Heading2"/>
      </w:pPr>
      <w:r w:rsidRPr="00FA28F6">
        <w:rPr>
          <w:rFonts w:eastAsiaTheme="minorHAnsi"/>
        </w:rPr>
        <w:t>Commo</w:t>
      </w:r>
      <w:r w:rsidR="00FA28F6">
        <w:rPr>
          <w:rFonts w:eastAsiaTheme="minorHAnsi"/>
        </w:rPr>
        <w:t>n</w:t>
      </w:r>
      <w:r w:rsidRPr="00FA28F6">
        <w:rPr>
          <w:rStyle w:val="Heading2Char"/>
          <w:rFonts w:eastAsiaTheme="minorHAnsi"/>
          <w:b/>
          <w:iCs/>
        </w:rPr>
        <w:t xml:space="preserve"> payment terms (in days</w:t>
      </w:r>
      <w:r w:rsidR="002300B2" w:rsidRPr="00FA28F6">
        <w:rPr>
          <w:rStyle w:val="Heading2Char"/>
          <w:rFonts w:eastAsiaTheme="minorHAnsi"/>
          <w:b/>
          <w:iCs/>
        </w:rPr>
        <w:t>)</w:t>
      </w:r>
    </w:p>
    <w:p w14:paraId="774D7F72" w14:textId="5988B7A0" w:rsidR="00E358E5" w:rsidRPr="002F5F97" w:rsidRDefault="00617191" w:rsidP="00E358E5">
      <w:pPr>
        <w:spacing w:before="0" w:after="160" w:line="259" w:lineRule="auto"/>
      </w:pPr>
      <w:r w:rsidRPr="002F5F97">
        <w:rPr>
          <w:noProof/>
        </w:rPr>
        <w:drawing>
          <wp:anchor distT="0" distB="0" distL="114300" distR="114300" simplePos="0" relativeHeight="251658243" behindDoc="1" locked="0" layoutInCell="1" allowOverlap="1" wp14:anchorId="6D76F7A6" wp14:editId="7A8F21D8">
            <wp:simplePos x="0" y="0"/>
            <wp:positionH relativeFrom="column">
              <wp:posOffset>13970</wp:posOffset>
            </wp:positionH>
            <wp:positionV relativeFrom="paragraph">
              <wp:posOffset>18415</wp:posOffset>
            </wp:positionV>
            <wp:extent cx="720000" cy="720000"/>
            <wp:effectExtent l="0" t="0" r="0" b="0"/>
            <wp:wrapSquare wrapText="bothSides"/>
            <wp:docPr id="13850506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50610" name="Picture 1">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E358E5" w:rsidRPr="002F5F97">
        <w:t>Reporting the most frequently used payment terms helps to distinguish whether prolonged payments are due to non</w:t>
      </w:r>
      <w:r w:rsidR="005D0129">
        <w:noBreakHyphen/>
      </w:r>
      <w:r w:rsidR="00E358E5" w:rsidRPr="002F5F97">
        <w:t xml:space="preserve">compliance or permissive contractual arrangements. It also supports benchmarking across entities and industries regarding payment expectations. This measure replaces the average standard payment terms reported since the </w:t>
      </w:r>
      <w:r w:rsidR="00900F15" w:rsidRPr="002F5F97">
        <w:t>S</w:t>
      </w:r>
      <w:r w:rsidR="00E358E5" w:rsidRPr="002F5F97">
        <w:t>cheme began in 2021.</w:t>
      </w:r>
    </w:p>
    <w:p w14:paraId="5279A222" w14:textId="04FD54EE" w:rsidR="00E358E5" w:rsidRPr="002F5F97" w:rsidRDefault="00E358E5" w:rsidP="00E358E5">
      <w:pPr>
        <w:spacing w:before="0" w:after="160" w:line="259" w:lineRule="auto"/>
      </w:pPr>
      <w:r w:rsidRPr="002F5F97">
        <w:t xml:space="preserve">Common payment terms </w:t>
      </w:r>
      <w:r w:rsidR="00775D00" w:rsidRPr="002F5F97">
        <w:t>allow</w:t>
      </w:r>
      <w:r w:rsidRPr="002F5F97">
        <w:t xml:space="preserve"> </w:t>
      </w:r>
      <w:r w:rsidR="003A46C0" w:rsidRPr="002F5F97">
        <w:t xml:space="preserve">terms </w:t>
      </w:r>
      <w:r w:rsidR="003A46C0">
        <w:t xml:space="preserve">to be </w:t>
      </w:r>
      <w:r w:rsidRPr="002F5F97">
        <w:t>compar</w:t>
      </w:r>
      <w:r w:rsidR="003A46C0">
        <w:t>ed</w:t>
      </w:r>
      <w:r w:rsidRPr="002F5F97">
        <w:t xml:space="preserve"> with payment times to judge reliability.</w:t>
      </w:r>
    </w:p>
    <w:tbl>
      <w:tblPr>
        <w:tblW w:w="5000" w:type="pct"/>
        <w:shd w:val="clear" w:color="auto" w:fill="D9D9D9" w:themeFill="background1" w:themeFillShade="D9"/>
        <w:tblCellMar>
          <w:top w:w="57" w:type="dxa"/>
          <w:left w:w="284" w:type="dxa"/>
          <w:bottom w:w="170" w:type="dxa"/>
          <w:right w:w="284" w:type="dxa"/>
        </w:tblCellMar>
        <w:tblLook w:val="01E0" w:firstRow="1" w:lastRow="1" w:firstColumn="1" w:lastColumn="1" w:noHBand="0" w:noVBand="0"/>
      </w:tblPr>
      <w:tblGrid>
        <w:gridCol w:w="8504"/>
      </w:tblGrid>
      <w:tr w:rsidR="00741B24" w:rsidRPr="005D0129" w14:paraId="13A53093" w14:textId="77777777" w:rsidTr="00E4639E">
        <w:tc>
          <w:tcPr>
            <w:tcW w:w="5000" w:type="pct"/>
            <w:shd w:val="clear" w:color="auto" w:fill="F0EFED"/>
          </w:tcPr>
          <w:p w14:paraId="5F267230" w14:textId="77777777" w:rsidR="00741B24" w:rsidRPr="005D0129" w:rsidRDefault="00741B24" w:rsidP="00424A06">
            <w:pPr>
              <w:pStyle w:val="BoxHeading"/>
            </w:pPr>
            <w:r w:rsidRPr="005D0129">
              <w:t>Example</w:t>
            </w:r>
          </w:p>
          <w:p w14:paraId="60F78B3B" w14:textId="40A1D111" w:rsidR="00741B24" w:rsidRPr="005D0129" w:rsidRDefault="00741B24" w:rsidP="00805861">
            <w:pPr>
              <w:pStyle w:val="BoxText"/>
            </w:pPr>
            <w:r w:rsidRPr="005D0129">
              <w:t xml:space="preserve">If a business has </w:t>
            </w:r>
            <w:r w:rsidR="000A3974" w:rsidRPr="005D0129">
              <w:t>60</w:t>
            </w:r>
            <w:r w:rsidR="000A3974">
              <w:t xml:space="preserve"> </w:t>
            </w:r>
            <w:r w:rsidR="000A3974" w:rsidRPr="005D0129">
              <w:t>day</w:t>
            </w:r>
            <w:r w:rsidRPr="005D0129">
              <w:t xml:space="preserve"> payment terms but consistently pays in 45 days, that’s better than a business with 30</w:t>
            </w:r>
            <w:r w:rsidR="00995A5D" w:rsidRPr="005D0129">
              <w:t> </w:t>
            </w:r>
            <w:r w:rsidRPr="005D0129">
              <w:t xml:space="preserve">day payment terms but </w:t>
            </w:r>
            <w:r w:rsidR="004C04EE">
              <w:t xml:space="preserve">an </w:t>
            </w:r>
            <w:r w:rsidR="004C04EE" w:rsidRPr="005D0129">
              <w:t xml:space="preserve">average payment time </w:t>
            </w:r>
            <w:r w:rsidR="004C04EE">
              <w:t xml:space="preserve">of </w:t>
            </w:r>
            <w:r w:rsidRPr="005D0129">
              <w:t>60</w:t>
            </w:r>
            <w:r w:rsidR="004C04EE">
              <w:t> </w:t>
            </w:r>
            <w:r w:rsidRPr="005D0129">
              <w:t>day</w:t>
            </w:r>
            <w:r w:rsidR="004C04EE">
              <w:t>s</w:t>
            </w:r>
            <w:r w:rsidRPr="005D0129">
              <w:t>.</w:t>
            </w:r>
          </w:p>
        </w:tc>
      </w:tr>
    </w:tbl>
    <w:p w14:paraId="64610CA4" w14:textId="38495238" w:rsidR="006C3B03" w:rsidRPr="002F5F97" w:rsidRDefault="00700A20" w:rsidP="006A5455">
      <w:pPr>
        <w:pStyle w:val="Heading2"/>
      </w:pPr>
      <w:r w:rsidRPr="002F5F97">
        <w:t>Percentage of invoices paid on time (within</w:t>
      </w:r>
      <w:r w:rsidR="00995A5D">
        <w:t> </w:t>
      </w:r>
      <w:r w:rsidRPr="002F5F97">
        <w:t>payment</w:t>
      </w:r>
      <w:r w:rsidR="00995A5D">
        <w:t> </w:t>
      </w:r>
      <w:r w:rsidRPr="002F5F97">
        <w:t>terms)</w:t>
      </w:r>
    </w:p>
    <w:p w14:paraId="58163068" w14:textId="153F4173" w:rsidR="00700A20" w:rsidRPr="002F5F97" w:rsidRDefault="00995A5D" w:rsidP="00995A5D">
      <w:pPr>
        <w:spacing w:before="0" w:after="160" w:line="259" w:lineRule="auto"/>
        <w:ind w:left="737"/>
      </w:pPr>
      <w:r>
        <w:rPr>
          <w:noProof/>
        </w:rPr>
        <w:drawing>
          <wp:anchor distT="0" distB="0" distL="114300" distR="114300" simplePos="0" relativeHeight="251658254" behindDoc="0" locked="0" layoutInCell="1" allowOverlap="1" wp14:anchorId="282FB661" wp14:editId="41433627">
            <wp:simplePos x="0" y="0"/>
            <wp:positionH relativeFrom="column">
              <wp:posOffset>-1143</wp:posOffset>
            </wp:positionH>
            <wp:positionV relativeFrom="paragraph">
              <wp:posOffset>-2159</wp:posOffset>
            </wp:positionV>
            <wp:extent cx="720000" cy="720000"/>
            <wp:effectExtent l="0" t="0" r="0" b="4445"/>
            <wp:wrapSquare wrapText="bothSides"/>
            <wp:docPr id="95478621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86211" name="Graphic 2">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720000" cy="720000"/>
                    </a:xfrm>
                    <a:prstGeom prst="rect">
                      <a:avLst/>
                    </a:prstGeom>
                  </pic:spPr>
                </pic:pic>
              </a:graphicData>
            </a:graphic>
          </wp:anchor>
        </w:drawing>
      </w:r>
      <w:r w:rsidR="002A34B3" w:rsidRPr="002F5F97">
        <w:t>This field provides a compliance</w:t>
      </w:r>
      <w:r w:rsidR="005D0129">
        <w:noBreakHyphen/>
      </w:r>
      <w:r w:rsidR="002A34B3" w:rsidRPr="002F5F97">
        <w:t>based view, measuring how often large businesses meet their agreed payment term</w:t>
      </w:r>
      <w:r w:rsidR="00644AEE">
        <w:t>s</w:t>
      </w:r>
      <w:r w:rsidR="002A34B3" w:rsidRPr="002F5F97">
        <w:t xml:space="preserve"> </w:t>
      </w:r>
      <w:r w:rsidR="00644AEE">
        <w:t>for</w:t>
      </w:r>
      <w:r w:rsidR="002A34B3" w:rsidRPr="002F5F97">
        <w:t xml:space="preserve"> small business suppliers. It</w:t>
      </w:r>
      <w:r>
        <w:t> </w:t>
      </w:r>
      <w:r w:rsidR="002A34B3" w:rsidRPr="002F5F97">
        <w:t>is a critical indicator of responsible procurement practices and enables targeted monitoring and public accountability.</w:t>
      </w:r>
    </w:p>
    <w:p w14:paraId="04C56DEC" w14:textId="16BB9335" w:rsidR="00CF06B1" w:rsidRPr="002F5F97" w:rsidRDefault="00CF06B1" w:rsidP="00CF06B1">
      <w:r w:rsidRPr="002F5F97">
        <w:t>This metric provides a measure of reliability by showing how often a business meets its own payment commitments. It is a strong indicator of payment discipline. A higher percentage means the business is more likely to pay on time.</w:t>
      </w:r>
    </w:p>
    <w:p w14:paraId="44D404A8" w14:textId="5E4A2BEE" w:rsidR="00DE1F64" w:rsidRPr="002F5F97" w:rsidRDefault="00DE1F64">
      <w:pPr>
        <w:spacing w:before="0" w:after="160" w:line="259" w:lineRule="auto"/>
      </w:pPr>
      <w:r w:rsidRPr="002F5F97">
        <w:br w:type="page"/>
      </w:r>
    </w:p>
    <w:p w14:paraId="12B3AC8F" w14:textId="77777777" w:rsidR="00557A12" w:rsidRPr="002F5F97" w:rsidRDefault="00557A12" w:rsidP="00557A12">
      <w:pPr>
        <w:pStyle w:val="ChapterHeading1"/>
      </w:pPr>
      <w:bookmarkStart w:id="17" w:name="_Toc220068369"/>
      <w:r w:rsidRPr="002F5F97">
        <w:lastRenderedPageBreak/>
        <w:t>Data snapshot</w:t>
      </w:r>
      <w:bookmarkEnd w:id="17"/>
    </w:p>
    <w:p w14:paraId="58AA440E" w14:textId="2AD6C81C" w:rsidR="00900FDA" w:rsidRPr="002F5F97" w:rsidRDefault="00900FDA" w:rsidP="00900FDA">
      <w:r w:rsidRPr="002F5F97">
        <w:t xml:space="preserve">The data used in </w:t>
      </w:r>
      <w:r w:rsidR="00433DF2" w:rsidRPr="002F5F97">
        <w:t xml:space="preserve">this </w:t>
      </w:r>
      <w:r w:rsidRPr="002F5F97">
        <w:t>Update reflects reported data for the reporting period 1 January to 30</w:t>
      </w:r>
      <w:r w:rsidR="0088664F" w:rsidRPr="002F5F97">
        <w:t> </w:t>
      </w:r>
      <w:r w:rsidRPr="002F5F97">
        <w:t>June 2025 (Reporting Cycle 9). Data and analysis reflect payment times reports and revised reports for Reporting Cycle</w:t>
      </w:r>
      <w:r w:rsidR="005372EC">
        <w:t> </w:t>
      </w:r>
      <w:r w:rsidRPr="002F5F97">
        <w:t>9 received on or before 31</w:t>
      </w:r>
      <w:r w:rsidR="005372EC">
        <w:t> </w:t>
      </w:r>
      <w:r w:rsidRPr="002F5F97">
        <w:t>December</w:t>
      </w:r>
      <w:r w:rsidR="005372EC">
        <w:t> </w:t>
      </w:r>
      <w:r w:rsidRPr="002F5F97">
        <w:t xml:space="preserve">2025. </w:t>
      </w:r>
    </w:p>
    <w:p w14:paraId="3ABF810B" w14:textId="2397BF79" w:rsidR="00900FDA" w:rsidRDefault="00D92216" w:rsidP="00864805">
      <w:pPr>
        <w:pStyle w:val="ChartMainHeading"/>
        <w:jc w:val="left"/>
      </w:pPr>
      <w:r w:rsidRPr="002F5F97">
        <w:t xml:space="preserve">Figure 1: Key measures </w:t>
      </w:r>
      <w:r w:rsidR="00E47B8D" w:rsidRPr="002F5F97">
        <w:t>data snaps</w:t>
      </w:r>
      <w:r w:rsidR="00C73D75" w:rsidRPr="002F5F97">
        <w:t>hot</w:t>
      </w:r>
    </w:p>
    <w:p w14:paraId="2DF82EFA" w14:textId="3D495EB7" w:rsidR="000158FB" w:rsidRPr="000158FB" w:rsidRDefault="00864805" w:rsidP="00705795">
      <w:pPr>
        <w:pStyle w:val="ChartGraphic"/>
        <w:spacing w:before="120"/>
        <w:rPr>
          <w:lang w:eastAsia="en-AU"/>
        </w:rPr>
      </w:pPr>
      <w:r w:rsidRPr="00705795">
        <w:rPr>
          <w:noProof/>
        </w:rPr>
        <w:drawing>
          <wp:inline distT="0" distB="0" distL="0" distR="0" wp14:anchorId="651193D9" wp14:editId="23D31DE0">
            <wp:extent cx="4943475" cy="1535386"/>
            <wp:effectExtent l="0" t="0" r="0" b="8255"/>
            <wp:docPr id="383023228" name="Picture 3" descr="This infographic summarises reporting data for Reporting Cycle 9. It shows:&#10;• Common payment term: 29 days&#10;• Average payment times: 27.4 days&#10;• 95% payments made within: 64 days&#10;• Payments made on tim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3228" name="Picture 3" descr="This infographic summarises reporting data for Reporting Cycle 9. It shows:&#10;• Common payment term: 29 days&#10;• Average payment times: 27.4 days&#10;• 95% payments made within: 64 days&#10;• Payments made on time: 66.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58388" cy="1540018"/>
                    </a:xfrm>
                    <a:prstGeom prst="rect">
                      <a:avLst/>
                    </a:prstGeom>
                  </pic:spPr>
                </pic:pic>
              </a:graphicData>
            </a:graphic>
          </wp:inline>
        </w:drawing>
      </w:r>
    </w:p>
    <w:p w14:paraId="2DDC3AC0" w14:textId="4BDD69B0" w:rsidR="007C02AB" w:rsidRDefault="007C02AB" w:rsidP="00705795">
      <w:pPr>
        <w:pStyle w:val="ChartMainHeading"/>
        <w:spacing w:before="240"/>
        <w:jc w:val="left"/>
      </w:pPr>
      <w:r w:rsidRPr="002F5F97">
        <w:t>Figure 2: Industry data snapshot</w:t>
      </w:r>
    </w:p>
    <w:p w14:paraId="59372CC6" w14:textId="570091C6" w:rsidR="006076E8" w:rsidRDefault="006076E8" w:rsidP="006076E8">
      <w:pPr>
        <w:pStyle w:val="ChartGraphic"/>
        <w:spacing w:before="120"/>
        <w:rPr>
          <w:lang w:eastAsia="en-AU"/>
        </w:rPr>
      </w:pPr>
      <w:r w:rsidRPr="006076E8">
        <w:rPr>
          <w:noProof/>
        </w:rPr>
        <w:drawing>
          <wp:inline distT="0" distB="0" distL="0" distR="0" wp14:anchorId="4BE52A87" wp14:editId="18269228">
            <wp:extent cx="4866640" cy="5107994"/>
            <wp:effectExtent l="0" t="0" r="0" b="0"/>
            <wp:docPr id="675853329" name="Picture 1" descr="This infographic has data visualisation elements summarising small business procurement and payment performance. It shows: &#10;• Average invoices paid on time in all industries: 66.5%.&#10;• Lowest industry average of invoices paid on time (healthcare and social assistance): 60.3%.&#10;• Highest industry average of invoices paid on time (agriculture, forestry and fishing): 73.4%.&#10;• Average days taken to pay 95% of invoices in all industries: 64 days.&#10;• Least days to pay 95% of invoices (administration and support services): 45 days.&#10;• Most days to pay 95% of invoices (professional, scientific and technical services): 94 days.&#10;• Average days taken to pay 80% of invoices in all industries: 39 days.&#10;• Least days to pay 80% of invoices (financial and insurance services): 27 days.&#10;• Most days to pay 80% of invoices (construction): 47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3329" name="Picture 1" descr="This infographic has data visualisation elements summarising small business procurement and payment performance. It shows: &#10;• Average invoices paid on time in all industries: 66.5%.&#10;• Lowest industry average of invoices paid on time (healthcare and social assistance): 60.3%.&#10;• Highest industry average of invoices paid on time (agriculture, forestry and fishing): 73.4%.&#10;• Average days taken to pay 95% of invoices in all industries: 64 days.&#10;• Least days to pay 95% of invoices (administration and support services): 45 days.&#10;• Most days to pay 95% of invoices (professional, scientific and technical services): 94 days.&#10;• Average days taken to pay 80% of invoices in all industries: 39 days.&#10;• Least days to pay 80% of invoices (financial and insurance services): 27 days.&#10;• Most days to pay 80% of invoices (construction): 47 day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82644" cy="5124791"/>
                    </a:xfrm>
                    <a:prstGeom prst="rect">
                      <a:avLst/>
                    </a:prstGeom>
                  </pic:spPr>
                </pic:pic>
              </a:graphicData>
            </a:graphic>
          </wp:inline>
        </w:drawing>
      </w:r>
    </w:p>
    <w:p w14:paraId="3CB82205" w14:textId="68B98424" w:rsidR="00705795" w:rsidRPr="006076E8" w:rsidRDefault="00705795" w:rsidP="00705795">
      <w:pPr>
        <w:pStyle w:val="ChartorTableNote"/>
        <w:spacing w:before="120"/>
      </w:pPr>
      <w:r w:rsidRPr="002F5F97">
        <w:rPr>
          <w:b/>
          <w:bCs/>
        </w:rPr>
        <w:t>Note:</w:t>
      </w:r>
      <w:r w:rsidRPr="002F5F97">
        <w:t xml:space="preserve"> Use caution when interpreting the data and insights in this Update. Some reporting</w:t>
      </w:r>
      <w:r>
        <w:t> </w:t>
      </w:r>
      <w:r w:rsidRPr="002F5F97">
        <w:t>measures introduced from 1</w:t>
      </w:r>
      <w:r>
        <w:t> </w:t>
      </w:r>
      <w:r w:rsidRPr="002F5F97">
        <w:t>July</w:t>
      </w:r>
      <w:r>
        <w:t> </w:t>
      </w:r>
      <w:r w:rsidRPr="002F5F97">
        <w:t>2024 are not directly comparable with data</w:t>
      </w:r>
      <w:r>
        <w:t> </w:t>
      </w:r>
      <w:r w:rsidRPr="002F5F97">
        <w:t>from Reporting Cycle</w:t>
      </w:r>
      <w:r>
        <w:t> </w:t>
      </w:r>
      <w:r w:rsidRPr="002F5F97">
        <w:t>7 or earlier.</w:t>
      </w:r>
      <w:r>
        <w:t xml:space="preserve"> </w:t>
      </w:r>
      <w:r w:rsidRPr="002F5F97">
        <w:t xml:space="preserve">For further information about the data in this Update, refer to </w:t>
      </w:r>
      <w:r w:rsidRPr="002F5F97">
        <w:rPr>
          <w:b/>
        </w:rPr>
        <w:t>Appendix A</w:t>
      </w:r>
      <w:r w:rsidRPr="002F5F97">
        <w:t>.</w:t>
      </w:r>
    </w:p>
    <w:p w14:paraId="201C2756" w14:textId="68FAC22A" w:rsidR="004962D7" w:rsidRPr="002F5F97" w:rsidRDefault="00B5141A" w:rsidP="004962D7">
      <w:pPr>
        <w:pStyle w:val="ChapterHeading1"/>
      </w:pPr>
      <w:bookmarkStart w:id="18" w:name="_Toc220068370"/>
      <w:r w:rsidRPr="002F5F97">
        <w:lastRenderedPageBreak/>
        <w:t>Data</w:t>
      </w:r>
      <w:r w:rsidR="004962D7" w:rsidRPr="002F5F97">
        <w:t xml:space="preserve"> insights</w:t>
      </w:r>
      <w:bookmarkEnd w:id="18"/>
    </w:p>
    <w:p w14:paraId="118A3E30" w14:textId="784FBFC5" w:rsidR="007604AE" w:rsidRPr="002F5F97" w:rsidRDefault="007604AE" w:rsidP="000923CC">
      <w:pPr>
        <w:rPr>
          <w:lang w:eastAsia="en-AU"/>
        </w:rPr>
      </w:pPr>
      <w:r w:rsidRPr="002F5F97">
        <w:rPr>
          <w:lang w:eastAsia="en-AU"/>
        </w:rPr>
        <w:t xml:space="preserve">In Reporting Cycle 9, most reported payment performance measures remained relatively stable, with the exception of time taken to </w:t>
      </w:r>
      <w:r w:rsidRPr="000923CC">
        <w:t>pay</w:t>
      </w:r>
      <w:r w:rsidRPr="002F5F97">
        <w:rPr>
          <w:lang w:eastAsia="en-AU"/>
        </w:rPr>
        <w:t xml:space="preserve"> 95</w:t>
      </w:r>
      <w:r w:rsidR="000923CC">
        <w:rPr>
          <w:lang w:eastAsia="en-AU"/>
        </w:rPr>
        <w:t> </w:t>
      </w:r>
      <w:r w:rsidRPr="002F5F97">
        <w:rPr>
          <w:lang w:eastAsia="en-AU"/>
        </w:rPr>
        <w:t>per</w:t>
      </w:r>
      <w:r w:rsidR="000923CC">
        <w:rPr>
          <w:lang w:eastAsia="en-AU"/>
        </w:rPr>
        <w:t> </w:t>
      </w:r>
      <w:r w:rsidRPr="002F5F97">
        <w:rPr>
          <w:lang w:eastAsia="en-AU"/>
        </w:rPr>
        <w:t>cent of small business invoices. This measure worsened</w:t>
      </w:r>
      <w:r w:rsidR="00352BB0">
        <w:rPr>
          <w:lang w:eastAsia="en-AU"/>
        </w:rPr>
        <w:t>,</w:t>
      </w:r>
      <w:r w:rsidRPr="002F5F97">
        <w:rPr>
          <w:lang w:eastAsia="en-AU"/>
        </w:rPr>
        <w:t xml:space="preserve"> with the average number of days increasing from 58</w:t>
      </w:r>
      <w:r w:rsidR="000923CC">
        <w:rPr>
          <w:lang w:eastAsia="en-AU"/>
        </w:rPr>
        <w:t> </w:t>
      </w:r>
      <w:r w:rsidRPr="002F5F97">
        <w:rPr>
          <w:lang w:eastAsia="en-AU"/>
        </w:rPr>
        <w:t>days to 64</w:t>
      </w:r>
      <w:r w:rsidR="000923CC">
        <w:rPr>
          <w:lang w:eastAsia="en-AU"/>
        </w:rPr>
        <w:t> </w:t>
      </w:r>
      <w:r w:rsidRPr="002F5F97">
        <w:rPr>
          <w:lang w:eastAsia="en-AU"/>
        </w:rPr>
        <w:t>days.</w:t>
      </w:r>
    </w:p>
    <w:p w14:paraId="7F806D88" w14:textId="75DF2292" w:rsidR="007604AE" w:rsidRPr="002F5F97" w:rsidRDefault="007604AE" w:rsidP="007604AE">
      <w:pPr>
        <w:rPr>
          <w:lang w:eastAsia="en-AU"/>
        </w:rPr>
      </w:pPr>
      <w:r w:rsidRPr="002F5F97">
        <w:rPr>
          <w:lang w:eastAsia="en-AU"/>
        </w:rPr>
        <w:t>While average common payment terms shortened by one day, this small improvement was not matched by faster payments. Instead, average payment times increased slightly, marking a modest reversal of the improving trend seen in earlier cycles. The time taken to pay a majority of invoices increased</w:t>
      </w:r>
      <w:r w:rsidR="00490241">
        <w:rPr>
          <w:lang w:eastAsia="en-AU"/>
        </w:rPr>
        <w:t>,</w:t>
      </w:r>
      <w:r w:rsidRPr="002F5F97">
        <w:rPr>
          <w:lang w:eastAsia="en-AU"/>
        </w:rPr>
        <w:t xml:space="preserve"> with the average 9</w:t>
      </w:r>
      <w:r w:rsidR="00282D99">
        <w:rPr>
          <w:lang w:eastAsia="en-AU"/>
        </w:rPr>
        <w:t>5th</w:t>
      </w:r>
      <w:r w:rsidRPr="002F5F97">
        <w:rPr>
          <w:lang w:eastAsia="en-AU"/>
        </w:rPr>
        <w:t xml:space="preserve"> percentile payment time lengthening by almost a week. This indicates that the invoices with the longest payment times in this reporting cycle were paid significantly later than in the previous reporting cycle.</w:t>
      </w:r>
    </w:p>
    <w:p w14:paraId="7CF70026" w14:textId="7A22B352" w:rsidR="007604AE" w:rsidRPr="002F5F97" w:rsidRDefault="007604AE" w:rsidP="007604AE">
      <w:pPr>
        <w:rPr>
          <w:lang w:eastAsia="en-AU"/>
        </w:rPr>
      </w:pPr>
      <w:r w:rsidRPr="002F5F97">
        <w:rPr>
          <w:lang w:eastAsia="en-AU"/>
        </w:rPr>
        <w:t>Payment outcomes showed a similar softening. Although the percentage of invoices paid on time improved slightly, the share paid within 30 days remained steady at 68.2</w:t>
      </w:r>
      <w:r w:rsidR="000923CC">
        <w:rPr>
          <w:lang w:eastAsia="en-AU"/>
        </w:rPr>
        <w:t> </w:t>
      </w:r>
      <w:r w:rsidRPr="002F5F97">
        <w:rPr>
          <w:lang w:eastAsia="en-AU"/>
        </w:rPr>
        <w:t>per</w:t>
      </w:r>
      <w:r w:rsidR="000923CC">
        <w:rPr>
          <w:lang w:eastAsia="en-AU"/>
        </w:rPr>
        <w:t> </w:t>
      </w:r>
      <w:r w:rsidRPr="002F5F97">
        <w:rPr>
          <w:lang w:eastAsia="en-AU"/>
        </w:rPr>
        <w:t xml:space="preserve">cent. Taken together, these results point to a general easing in payment discipline. Despite the slight shortening in reported terms, overall performance deteriorated. This indicates reporting entities have room to improve the timeliness and consistency of their payments. </w:t>
      </w:r>
    </w:p>
    <w:p w14:paraId="69E66E6B" w14:textId="2FC1A28C" w:rsidR="00DF334A" w:rsidRPr="002F5F97" w:rsidRDefault="007604AE" w:rsidP="00DF334A">
      <w:pPr>
        <w:rPr>
          <w:lang w:eastAsia="en-AU"/>
        </w:rPr>
      </w:pPr>
      <w:r w:rsidRPr="002F5F97">
        <w:rPr>
          <w:lang w:eastAsia="en-AU"/>
        </w:rPr>
        <w:t>Reported data will continue to be monitored to identify emerging trends</w:t>
      </w:r>
      <w:r w:rsidR="00707115">
        <w:rPr>
          <w:lang w:eastAsia="en-AU"/>
        </w:rPr>
        <w:t>.</w:t>
      </w:r>
    </w:p>
    <w:p w14:paraId="1A547727" w14:textId="7810C3B3" w:rsidR="007604AE" w:rsidRPr="002F5F97" w:rsidRDefault="00EA48F2" w:rsidP="00227518">
      <w:pPr>
        <w:pStyle w:val="TableMainHeading"/>
      </w:pPr>
      <w:r w:rsidRPr="002F5F97">
        <w:t>Table 1: Comparison of key measures across Reporting Cycles 8 and 9</w:t>
      </w:r>
    </w:p>
    <w:tbl>
      <w:tblPr>
        <w:tblStyle w:val="TableGrid"/>
        <w:tblW w:w="5000" w:type="pct"/>
        <w:tblLook w:val="04A0" w:firstRow="1" w:lastRow="0" w:firstColumn="1" w:lastColumn="0" w:noHBand="0" w:noVBand="1"/>
      </w:tblPr>
      <w:tblGrid>
        <w:gridCol w:w="3175"/>
        <w:gridCol w:w="2550"/>
        <w:gridCol w:w="2779"/>
      </w:tblGrid>
      <w:tr w:rsidR="00227518" w:rsidRPr="005D0129" w14:paraId="317A4249" w14:textId="77777777" w:rsidTr="00BC0B4E">
        <w:trPr>
          <w:cnfStyle w:val="100000000000" w:firstRow="1" w:lastRow="0" w:firstColumn="0" w:lastColumn="0" w:oddVBand="0" w:evenVBand="0" w:oddHBand="0" w:evenHBand="0" w:firstRowFirstColumn="0" w:firstRowLastColumn="0" w:lastRowFirstColumn="0" w:lastRowLastColumn="0"/>
          <w:trHeight w:val="235"/>
        </w:trPr>
        <w:tc>
          <w:tcPr>
            <w:tcW w:w="3175" w:type="dxa"/>
            <w:shd w:val="clear" w:color="auto" w:fill="A6A6A6" w:themeFill="background1" w:themeFillShade="A6"/>
            <w:tcMar>
              <w:top w:w="108" w:type="dxa"/>
              <w:bottom w:w="108" w:type="dxa"/>
            </w:tcMar>
            <w:vAlign w:val="bottom"/>
          </w:tcPr>
          <w:p w14:paraId="189E6298" w14:textId="188A2731" w:rsidR="00227518" w:rsidRPr="005D0129" w:rsidRDefault="00227518" w:rsidP="00BC0B4E">
            <w:pPr>
              <w:pStyle w:val="TableColumnHeadingLeft"/>
              <w:jc w:val="right"/>
            </w:pPr>
          </w:p>
        </w:tc>
        <w:tc>
          <w:tcPr>
            <w:tcW w:w="2551" w:type="dxa"/>
            <w:shd w:val="clear" w:color="auto" w:fill="A6A6A6" w:themeFill="background1" w:themeFillShade="A6"/>
            <w:tcMar>
              <w:top w:w="108" w:type="dxa"/>
              <w:bottom w:w="108" w:type="dxa"/>
            </w:tcMar>
            <w:vAlign w:val="bottom"/>
          </w:tcPr>
          <w:p w14:paraId="0F390F74" w14:textId="3136A950" w:rsidR="00227518" w:rsidRPr="005D0129" w:rsidRDefault="00227518" w:rsidP="00BC0B4E">
            <w:pPr>
              <w:pStyle w:val="TableColumnHeadingRight"/>
              <w:rPr>
                <w:rFonts w:eastAsiaTheme="minorHAnsi"/>
                <w:color w:val="auto"/>
                <w:lang w:eastAsia="en-US"/>
              </w:rPr>
            </w:pPr>
            <w:r w:rsidRPr="005D0129">
              <w:rPr>
                <w:rFonts w:eastAsiaTheme="minorHAnsi"/>
                <w:color w:val="auto"/>
                <w:lang w:eastAsia="en-US"/>
              </w:rPr>
              <w:t>Reporting Cycle 8</w:t>
            </w:r>
          </w:p>
        </w:tc>
        <w:tc>
          <w:tcPr>
            <w:tcW w:w="2780" w:type="dxa"/>
            <w:shd w:val="clear" w:color="auto" w:fill="A6A6A6" w:themeFill="background1" w:themeFillShade="A6"/>
            <w:tcMar>
              <w:top w:w="108" w:type="dxa"/>
              <w:bottom w:w="108" w:type="dxa"/>
            </w:tcMar>
            <w:vAlign w:val="bottom"/>
          </w:tcPr>
          <w:p w14:paraId="1B128B64" w14:textId="190A2307" w:rsidR="00227518" w:rsidRPr="005D0129" w:rsidRDefault="00227518" w:rsidP="00BC0B4E">
            <w:pPr>
              <w:pStyle w:val="TableColumnHeadingRight"/>
              <w:rPr>
                <w:color w:val="auto"/>
              </w:rPr>
            </w:pPr>
            <w:r w:rsidRPr="005D0129">
              <w:rPr>
                <w:color w:val="auto"/>
              </w:rPr>
              <w:t>Reporting Cycle 9</w:t>
            </w:r>
          </w:p>
        </w:tc>
      </w:tr>
      <w:tr w:rsidR="00227518" w:rsidRPr="005D0129" w14:paraId="7A0422D0" w14:textId="77777777" w:rsidTr="00123FC2">
        <w:trPr>
          <w:cnfStyle w:val="000000100000" w:firstRow="0" w:lastRow="0" w:firstColumn="0" w:lastColumn="0" w:oddVBand="0" w:evenVBand="0" w:oddHBand="1" w:evenHBand="0" w:firstRowFirstColumn="0" w:firstRowLastColumn="0" w:lastRowFirstColumn="0" w:lastRowLastColumn="0"/>
          <w:trHeight w:val="439"/>
        </w:trPr>
        <w:tc>
          <w:tcPr>
            <w:tcW w:w="3175" w:type="dxa"/>
            <w:shd w:val="clear" w:color="auto" w:fill="F2F2F2" w:themeFill="background1" w:themeFillShade="F2"/>
            <w:vAlign w:val="center"/>
          </w:tcPr>
          <w:p w14:paraId="3A4DC4E2" w14:textId="18E246D7" w:rsidR="00227518" w:rsidRPr="005D0129" w:rsidRDefault="00227518" w:rsidP="00227518">
            <w:pPr>
              <w:pStyle w:val="TableTextLeft"/>
            </w:pPr>
            <w:r w:rsidRPr="005D0129">
              <w:t>Average common payment term</w:t>
            </w:r>
          </w:p>
        </w:tc>
        <w:tc>
          <w:tcPr>
            <w:tcW w:w="2551" w:type="dxa"/>
            <w:shd w:val="clear" w:color="auto" w:fill="F2F2F2" w:themeFill="background1" w:themeFillShade="F2"/>
            <w:vAlign w:val="center"/>
          </w:tcPr>
          <w:p w14:paraId="5486EE30" w14:textId="57F5E3CD" w:rsidR="00227518" w:rsidRPr="005D0129" w:rsidRDefault="00227518" w:rsidP="00BC0B4E">
            <w:pPr>
              <w:pStyle w:val="TableTextRight"/>
            </w:pPr>
            <w:r w:rsidRPr="005D0129">
              <w:t>30 days</w:t>
            </w:r>
          </w:p>
        </w:tc>
        <w:tc>
          <w:tcPr>
            <w:tcW w:w="2780" w:type="dxa"/>
            <w:shd w:val="clear" w:color="auto" w:fill="F2F2F2" w:themeFill="background1" w:themeFillShade="F2"/>
            <w:vAlign w:val="center"/>
          </w:tcPr>
          <w:p w14:paraId="576C8A57" w14:textId="0F3110CF" w:rsidR="00227518" w:rsidRPr="005D0129" w:rsidRDefault="00227518" w:rsidP="00BC0B4E">
            <w:pPr>
              <w:pStyle w:val="TableTextRight"/>
            </w:pPr>
            <w:r w:rsidRPr="005D0129">
              <w:t>29 days</w:t>
            </w:r>
          </w:p>
        </w:tc>
      </w:tr>
      <w:tr w:rsidR="00227518" w:rsidRPr="005D0129" w14:paraId="75E43B31" w14:textId="77777777" w:rsidTr="00BC0B4E">
        <w:trPr>
          <w:trHeight w:val="439"/>
        </w:trPr>
        <w:tc>
          <w:tcPr>
            <w:tcW w:w="3175" w:type="dxa"/>
            <w:tcBorders>
              <w:bottom w:val="nil"/>
            </w:tcBorders>
            <w:vAlign w:val="center"/>
          </w:tcPr>
          <w:p w14:paraId="0BB88565" w14:textId="3BC46AF7" w:rsidR="00227518" w:rsidRPr="005D0129" w:rsidRDefault="00227518" w:rsidP="00227518">
            <w:pPr>
              <w:pStyle w:val="TableTextLeft"/>
            </w:pPr>
            <w:r w:rsidRPr="005D0129">
              <w:t>Average payment time</w:t>
            </w:r>
          </w:p>
        </w:tc>
        <w:tc>
          <w:tcPr>
            <w:tcW w:w="2551" w:type="dxa"/>
            <w:tcBorders>
              <w:bottom w:val="nil"/>
            </w:tcBorders>
            <w:vAlign w:val="center"/>
          </w:tcPr>
          <w:p w14:paraId="40E222AC" w14:textId="685E86CD" w:rsidR="00227518" w:rsidRPr="005D0129" w:rsidRDefault="00227518" w:rsidP="00BC0B4E">
            <w:pPr>
              <w:pStyle w:val="TableTextRight"/>
            </w:pPr>
            <w:r w:rsidRPr="005D0129">
              <w:t>27.1 days</w:t>
            </w:r>
          </w:p>
        </w:tc>
        <w:tc>
          <w:tcPr>
            <w:tcW w:w="2780" w:type="dxa"/>
            <w:tcBorders>
              <w:bottom w:val="nil"/>
            </w:tcBorders>
            <w:vAlign w:val="center"/>
          </w:tcPr>
          <w:p w14:paraId="3E58F60E" w14:textId="0D6649C2" w:rsidR="00227518" w:rsidRPr="005D0129" w:rsidRDefault="00227518" w:rsidP="00BC0B4E">
            <w:pPr>
              <w:pStyle w:val="TableTextRight"/>
            </w:pPr>
            <w:r w:rsidRPr="005D0129">
              <w:t>27.4 days</w:t>
            </w:r>
          </w:p>
        </w:tc>
      </w:tr>
      <w:tr w:rsidR="00227518" w:rsidRPr="005D0129" w14:paraId="0635C22E" w14:textId="77777777" w:rsidTr="00123FC2">
        <w:trPr>
          <w:cnfStyle w:val="000000100000" w:firstRow="0" w:lastRow="0" w:firstColumn="0" w:lastColumn="0" w:oddVBand="0" w:evenVBand="0" w:oddHBand="1" w:evenHBand="0" w:firstRowFirstColumn="0" w:firstRowLastColumn="0" w:lastRowFirstColumn="0" w:lastRowLastColumn="0"/>
          <w:trHeight w:val="439"/>
        </w:trPr>
        <w:tc>
          <w:tcPr>
            <w:tcW w:w="3175" w:type="dxa"/>
            <w:tcBorders>
              <w:bottom w:val="nil"/>
            </w:tcBorders>
            <w:shd w:val="clear" w:color="auto" w:fill="F2F2F2" w:themeFill="background1" w:themeFillShade="F2"/>
            <w:vAlign w:val="center"/>
          </w:tcPr>
          <w:p w14:paraId="4FBFCB46" w14:textId="79485CCB" w:rsidR="00227518" w:rsidRPr="005D0129" w:rsidRDefault="00227518" w:rsidP="00227518">
            <w:pPr>
              <w:pStyle w:val="TableTextLeft"/>
            </w:pPr>
            <w:r w:rsidRPr="005D0129">
              <w:t>Average 95th percentile payment time</w:t>
            </w:r>
          </w:p>
        </w:tc>
        <w:tc>
          <w:tcPr>
            <w:tcW w:w="2551" w:type="dxa"/>
            <w:tcBorders>
              <w:bottom w:val="nil"/>
            </w:tcBorders>
            <w:shd w:val="clear" w:color="auto" w:fill="F2F2F2" w:themeFill="background1" w:themeFillShade="F2"/>
            <w:vAlign w:val="center"/>
          </w:tcPr>
          <w:p w14:paraId="0BE61BAB" w14:textId="28283E71" w:rsidR="00227518" w:rsidRPr="005D0129" w:rsidRDefault="00227518" w:rsidP="00BC0B4E">
            <w:pPr>
              <w:pStyle w:val="TableTextRight"/>
            </w:pPr>
            <w:r w:rsidRPr="005D0129">
              <w:t>58 days</w:t>
            </w:r>
          </w:p>
        </w:tc>
        <w:tc>
          <w:tcPr>
            <w:tcW w:w="2780" w:type="dxa"/>
            <w:tcBorders>
              <w:bottom w:val="nil"/>
            </w:tcBorders>
            <w:shd w:val="clear" w:color="auto" w:fill="F2F2F2" w:themeFill="background1" w:themeFillShade="F2"/>
            <w:vAlign w:val="center"/>
          </w:tcPr>
          <w:p w14:paraId="15C01D6E" w14:textId="2AF039E9" w:rsidR="00227518" w:rsidRPr="005D0129" w:rsidRDefault="00227518" w:rsidP="00BC0B4E">
            <w:pPr>
              <w:pStyle w:val="TableTextRight"/>
            </w:pPr>
            <w:r w:rsidRPr="005D0129">
              <w:t>64 days</w:t>
            </w:r>
          </w:p>
        </w:tc>
      </w:tr>
      <w:tr w:rsidR="00227518" w:rsidRPr="005D0129" w14:paraId="180428A4" w14:textId="77777777" w:rsidTr="00BC0B4E">
        <w:trPr>
          <w:trHeight w:val="440"/>
        </w:trPr>
        <w:tc>
          <w:tcPr>
            <w:tcW w:w="3175" w:type="dxa"/>
            <w:tcBorders>
              <w:bottom w:val="single" w:sz="4" w:space="0" w:color="808080" w:themeColor="background1" w:themeShade="80"/>
            </w:tcBorders>
            <w:shd w:val="clear" w:color="auto" w:fill="auto"/>
            <w:vAlign w:val="center"/>
          </w:tcPr>
          <w:p w14:paraId="3998C670" w14:textId="681CDA7E" w:rsidR="00227518" w:rsidRPr="005D0129" w:rsidRDefault="00227518" w:rsidP="00227518">
            <w:pPr>
              <w:pStyle w:val="TableTextLeft"/>
            </w:pPr>
            <w:r w:rsidRPr="005D0129">
              <w:t>Percentage of invoices paid on time</w:t>
            </w:r>
          </w:p>
        </w:tc>
        <w:tc>
          <w:tcPr>
            <w:tcW w:w="2551" w:type="dxa"/>
            <w:tcBorders>
              <w:bottom w:val="single" w:sz="4" w:space="0" w:color="808080" w:themeColor="background1" w:themeShade="80"/>
            </w:tcBorders>
            <w:shd w:val="clear" w:color="auto" w:fill="auto"/>
            <w:vAlign w:val="center"/>
          </w:tcPr>
          <w:p w14:paraId="350178B3" w14:textId="5CEA76B6" w:rsidR="00227518" w:rsidRPr="005D0129" w:rsidRDefault="00227518" w:rsidP="00BC0B4E">
            <w:pPr>
              <w:pStyle w:val="TableTextRight"/>
            </w:pPr>
            <w:r w:rsidRPr="005D0129">
              <w:t>66.4%</w:t>
            </w:r>
          </w:p>
        </w:tc>
        <w:tc>
          <w:tcPr>
            <w:tcW w:w="2780" w:type="dxa"/>
            <w:tcBorders>
              <w:bottom w:val="single" w:sz="4" w:space="0" w:color="808080" w:themeColor="background1" w:themeShade="80"/>
            </w:tcBorders>
            <w:shd w:val="clear" w:color="auto" w:fill="auto"/>
            <w:vAlign w:val="center"/>
          </w:tcPr>
          <w:p w14:paraId="148045D8" w14:textId="29D90081" w:rsidR="00227518" w:rsidRPr="005D0129" w:rsidRDefault="00227518" w:rsidP="00BC0B4E">
            <w:pPr>
              <w:pStyle w:val="TableTextRight"/>
            </w:pPr>
            <w:r w:rsidRPr="005D0129">
              <w:t>66.5%</w:t>
            </w:r>
          </w:p>
        </w:tc>
      </w:tr>
    </w:tbl>
    <w:p w14:paraId="68616DBC" w14:textId="77777777" w:rsidR="002532EE" w:rsidRPr="002F5F97" w:rsidRDefault="002532EE" w:rsidP="002532EE">
      <w:pPr>
        <w:pStyle w:val="Heading2"/>
      </w:pPr>
      <w:r w:rsidRPr="002F5F97">
        <w:t>Payments made in more than double the agreed payment term</w:t>
      </w:r>
    </w:p>
    <w:p w14:paraId="6EBC90DD" w14:textId="3811BCEF" w:rsidR="008004BE" w:rsidRPr="002F5F97" w:rsidRDefault="008004BE" w:rsidP="008004BE">
      <w:pPr>
        <w:rPr>
          <w:lang w:eastAsia="en-AU"/>
        </w:rPr>
      </w:pPr>
      <w:r w:rsidRPr="002F5F97">
        <w:rPr>
          <w:lang w:eastAsia="en-AU"/>
        </w:rPr>
        <w:t>Although the average common payment term across all industries is 29</w:t>
      </w:r>
      <w:r w:rsidR="00877883">
        <w:rPr>
          <w:lang w:eastAsia="en-AU"/>
        </w:rPr>
        <w:t> </w:t>
      </w:r>
      <w:r w:rsidRPr="002F5F97">
        <w:rPr>
          <w:lang w:eastAsia="en-AU"/>
        </w:rPr>
        <w:t>days, entities are often taking significantly longer to pay their small business suppliers.</w:t>
      </w:r>
    </w:p>
    <w:p w14:paraId="7CBBBBD4" w14:textId="034D821D" w:rsidR="002532EE" w:rsidRPr="002F5F97" w:rsidRDefault="008004BE" w:rsidP="002532EE">
      <w:pPr>
        <w:rPr>
          <w:lang w:eastAsia="en-AU"/>
        </w:rPr>
      </w:pPr>
      <w:r w:rsidRPr="002F5F97">
        <w:rPr>
          <w:lang w:eastAsia="en-AU"/>
        </w:rPr>
        <w:t>As shown in Figure 3 (and detailed in Table 7, Appendix B), on average 80</w:t>
      </w:r>
      <w:r w:rsidR="0057168C">
        <w:rPr>
          <w:lang w:eastAsia="en-AU"/>
        </w:rPr>
        <w:t> </w:t>
      </w:r>
      <w:r w:rsidRPr="002F5F97">
        <w:rPr>
          <w:lang w:eastAsia="en-AU"/>
        </w:rPr>
        <w:t>per</w:t>
      </w:r>
      <w:r w:rsidR="0057168C">
        <w:rPr>
          <w:lang w:eastAsia="en-AU"/>
        </w:rPr>
        <w:t> </w:t>
      </w:r>
      <w:r w:rsidRPr="002F5F97">
        <w:rPr>
          <w:lang w:eastAsia="en-AU"/>
        </w:rPr>
        <w:t>cent of small</w:t>
      </w:r>
      <w:r w:rsidR="004A02CC">
        <w:rPr>
          <w:lang w:eastAsia="en-AU"/>
        </w:rPr>
        <w:t> </w:t>
      </w:r>
      <w:r w:rsidRPr="002F5F97">
        <w:rPr>
          <w:lang w:eastAsia="en-AU"/>
        </w:rPr>
        <w:t>business invoices are paid within 39 days. But, to reach 95</w:t>
      </w:r>
      <w:r w:rsidR="004A02CC">
        <w:rPr>
          <w:lang w:eastAsia="en-AU"/>
        </w:rPr>
        <w:t> </w:t>
      </w:r>
      <w:r w:rsidRPr="002F5F97">
        <w:rPr>
          <w:lang w:eastAsia="en-AU"/>
        </w:rPr>
        <w:t>per</w:t>
      </w:r>
      <w:r w:rsidR="004A02CC">
        <w:rPr>
          <w:lang w:eastAsia="en-AU"/>
        </w:rPr>
        <w:t> </w:t>
      </w:r>
      <w:r w:rsidRPr="002F5F97">
        <w:rPr>
          <w:lang w:eastAsia="en-AU"/>
        </w:rPr>
        <w:t>cent of small</w:t>
      </w:r>
      <w:r w:rsidR="004A02CC">
        <w:rPr>
          <w:lang w:eastAsia="en-AU"/>
        </w:rPr>
        <w:t> </w:t>
      </w:r>
      <w:r w:rsidRPr="002F5F97">
        <w:rPr>
          <w:lang w:eastAsia="en-AU"/>
        </w:rPr>
        <w:t>business invoices paid</w:t>
      </w:r>
      <w:r w:rsidR="00B45637">
        <w:rPr>
          <w:lang w:eastAsia="en-AU"/>
        </w:rPr>
        <w:t>,</w:t>
      </w:r>
      <w:r w:rsidRPr="002F5F97">
        <w:rPr>
          <w:lang w:eastAsia="en-AU"/>
        </w:rPr>
        <w:t xml:space="preserve"> it takes 64 days.</w:t>
      </w:r>
    </w:p>
    <w:tbl>
      <w:tblPr>
        <w:tblW w:w="5000" w:type="pct"/>
        <w:shd w:val="clear" w:color="auto" w:fill="D9D9D9" w:themeFill="background1" w:themeFillShade="D9"/>
        <w:tblCellMar>
          <w:top w:w="57" w:type="dxa"/>
          <w:left w:w="284" w:type="dxa"/>
          <w:bottom w:w="170" w:type="dxa"/>
          <w:right w:w="284" w:type="dxa"/>
        </w:tblCellMar>
        <w:tblLook w:val="01E0" w:firstRow="1" w:lastRow="1" w:firstColumn="1" w:lastColumn="1" w:noHBand="0" w:noVBand="0"/>
      </w:tblPr>
      <w:tblGrid>
        <w:gridCol w:w="8504"/>
      </w:tblGrid>
      <w:tr w:rsidR="00CE24C2" w:rsidRPr="005D0129" w14:paraId="5483B17A" w14:textId="77777777" w:rsidTr="000665FB">
        <w:tc>
          <w:tcPr>
            <w:tcW w:w="5000" w:type="pct"/>
            <w:shd w:val="clear" w:color="auto" w:fill="F0EFED"/>
          </w:tcPr>
          <w:p w14:paraId="3F199C08" w14:textId="5AEA85F4" w:rsidR="00B352B6" w:rsidRPr="005D0129" w:rsidRDefault="00C602C2" w:rsidP="006076E8">
            <w:pPr>
              <w:pStyle w:val="BoxText"/>
            </w:pPr>
            <w:r w:rsidRPr="005D0129">
              <w:rPr>
                <w:noProof/>
              </w:rPr>
              <w:drawing>
                <wp:anchor distT="0" distB="0" distL="114300" distR="114300" simplePos="0" relativeHeight="251658255" behindDoc="0" locked="0" layoutInCell="1" allowOverlap="1" wp14:anchorId="7221CFC8" wp14:editId="0D5B25AC">
                  <wp:simplePos x="0" y="0"/>
                  <wp:positionH relativeFrom="column">
                    <wp:posOffset>-41275</wp:posOffset>
                  </wp:positionH>
                  <wp:positionV relativeFrom="paragraph">
                    <wp:posOffset>84455</wp:posOffset>
                  </wp:positionV>
                  <wp:extent cx="819403" cy="720000"/>
                  <wp:effectExtent l="0" t="0" r="0" b="4445"/>
                  <wp:wrapSquare wrapText="bothSides"/>
                  <wp:docPr id="451104009"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04009" name="Graphic 6">
                            <a:extLst>
                              <a:ext uri="{C183D7F6-B498-43B3-948B-1728B52AA6E4}">
                                <adec:decorative xmlns:adec="http://schemas.microsoft.com/office/drawing/2017/decorative" val="1"/>
                              </a:ext>
                            </a:extLst>
                          </pic:cNvPr>
                          <pic:cNvPicPr/>
                        </pic:nvPicPr>
                        <pic:blipFill rotWithShape="1">
                          <a:blip r:embed="rId58">
                            <a:extLst>
                              <a:ext uri="{96DAC541-7B7A-43D3-8B79-37D633B846F1}">
                                <asvg:svgBlip xmlns:asvg="http://schemas.microsoft.com/office/drawing/2016/SVG/main" r:embed="rId59"/>
                              </a:ext>
                            </a:extLst>
                          </a:blip>
                          <a:srcRect l="-6903" r="-6903"/>
                          <a:stretch>
                            <a:fillRect/>
                          </a:stretch>
                        </pic:blipFill>
                        <pic:spPr bwMode="auto">
                          <a:xfrm>
                            <a:off x="0" y="0"/>
                            <a:ext cx="819403" cy="7200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2B6" w:rsidRPr="005D0129">
              <w:t>It’s taking longer than double the average agreed payment term for the vast majority of small business invoices to be paid. These figures highlight the gap between stated payment terms and actual payment behaviour.</w:t>
            </w:r>
          </w:p>
        </w:tc>
      </w:tr>
    </w:tbl>
    <w:p w14:paraId="64B77DAE" w14:textId="77777777" w:rsidR="00D27CD6" w:rsidRPr="002F5F97" w:rsidRDefault="00D27CD6">
      <w:pPr>
        <w:spacing w:before="0" w:after="160" w:line="259" w:lineRule="auto"/>
        <w:rPr>
          <w:lang w:eastAsia="en-AU"/>
        </w:rPr>
      </w:pPr>
      <w:r w:rsidRPr="002F5F97">
        <w:rPr>
          <w:lang w:eastAsia="en-AU"/>
        </w:rPr>
        <w:br w:type="page"/>
      </w:r>
    </w:p>
    <w:p w14:paraId="77B07FD8" w14:textId="6C6921B4" w:rsidR="00453011" w:rsidRPr="002F5F97" w:rsidRDefault="00731CA3" w:rsidP="00701A0F">
      <w:pPr>
        <w:pStyle w:val="ChartMainHeading"/>
        <w:jc w:val="left"/>
      </w:pPr>
      <w:r w:rsidRPr="002F5F97">
        <w:lastRenderedPageBreak/>
        <w:t>Figure 3: Payment terms and times, Reporting Cycle 9 (see Table 7, Appendix B</w:t>
      </w:r>
      <w:r w:rsidR="000C5964">
        <w:t>)</w:t>
      </w:r>
    </w:p>
    <w:p w14:paraId="6A4A5A8D" w14:textId="5F3E74D7" w:rsidR="00FF7DAF" w:rsidRDefault="00AE0592" w:rsidP="0026531E">
      <w:pPr>
        <w:pStyle w:val="ChartGraphic"/>
        <w:spacing w:before="120"/>
        <w:rPr>
          <w:lang w:eastAsia="en-AU"/>
        </w:rPr>
      </w:pPr>
      <w:r w:rsidRPr="0026531E">
        <w:rPr>
          <w:noProof/>
        </w:rPr>
        <w:drawing>
          <wp:inline distT="0" distB="0" distL="0" distR="0" wp14:anchorId="7A153F62" wp14:editId="375E4367">
            <wp:extent cx="5227200" cy="2041200"/>
            <wp:effectExtent l="0" t="0" r="0" b="0"/>
            <wp:docPr id="1107816535" name="Graphic 1" descr="This scatter plot shows key payment time statistics on a horizontal axis labelled “Calendar Days”:&#10;• Shortest payment term: 15 days.&#10;• Median payment time: 23 days.&#10;• Average payment time: 27.4 days.&#10;• Common payment term: 29 days.&#10;• 80th percentile payment time: 39 days.&#10;• Longest payment term: 46 days.&#10;• 95th Percentile payment time: 64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16535" name="Graphic 1" descr="This scatter plot shows key payment time statistics on a horizontal axis labelled “Calendar Days”:&#10;• Shortest payment term: 15 days.&#10;• Median payment time: 23 days.&#10;• Average payment time: 27.4 days.&#10;• Common payment term: 29 days.&#10;• 80th percentile payment time: 39 days.&#10;• Longest payment term: 46 days.&#10;• 95th Percentile payment time: 64 days."/>
                    <pic:cNvPicPr/>
                  </pic:nvPicPr>
                  <pic:blipFill>
                    <a:blip r:embed="rId60">
                      <a:extLst>
                        <a:ext uri="{96DAC541-7B7A-43D3-8B79-37D633B846F1}">
                          <asvg:svgBlip xmlns:asvg="http://schemas.microsoft.com/office/drawing/2016/SVG/main" r:embed="rId61"/>
                        </a:ext>
                      </a:extLst>
                    </a:blip>
                    <a:stretch>
                      <a:fillRect/>
                    </a:stretch>
                  </pic:blipFill>
                  <pic:spPr>
                    <a:xfrm>
                      <a:off x="0" y="0"/>
                      <a:ext cx="5227200" cy="2041200"/>
                    </a:xfrm>
                    <a:prstGeom prst="rect">
                      <a:avLst/>
                    </a:prstGeom>
                  </pic:spPr>
                </pic:pic>
              </a:graphicData>
            </a:graphic>
          </wp:inline>
        </w:drawing>
      </w:r>
    </w:p>
    <w:p w14:paraId="1AC276F3" w14:textId="027BC60A" w:rsidR="00291709" w:rsidRPr="002F5F97" w:rsidRDefault="00291709" w:rsidP="00291709">
      <w:pPr>
        <w:pStyle w:val="Heading2"/>
      </w:pPr>
      <w:r w:rsidRPr="002F5F97">
        <w:t>Small bu</w:t>
      </w:r>
      <w:r w:rsidR="002532EE" w:rsidRPr="002F5F97">
        <w:t>sinesses are big players</w:t>
      </w:r>
      <w:r w:rsidR="00E03863">
        <w:t xml:space="preserve"> </w:t>
      </w:r>
      <w:r w:rsidR="002532EE" w:rsidRPr="002F5F97">
        <w:t>in the</w:t>
      </w:r>
      <w:r w:rsidR="00E03863">
        <w:br/>
      </w:r>
      <w:r w:rsidR="002532EE" w:rsidRPr="002F5F97">
        <w:t>supply chain</w:t>
      </w:r>
    </w:p>
    <w:p w14:paraId="227858DB" w14:textId="100F4C8B" w:rsidR="00686B2D" w:rsidRPr="002F5F97" w:rsidRDefault="00686B2D" w:rsidP="00686B2D">
      <w:pPr>
        <w:rPr>
          <w:lang w:eastAsia="en-AU"/>
        </w:rPr>
      </w:pPr>
      <w:r w:rsidRPr="002F5F97">
        <w:rPr>
          <w:lang w:eastAsia="en-AU"/>
        </w:rPr>
        <w:t xml:space="preserve">In Reporting Cycle 9, </w:t>
      </w:r>
      <w:r w:rsidRPr="002F5F97">
        <w:rPr>
          <w:b/>
          <w:lang w:eastAsia="en-AU"/>
        </w:rPr>
        <w:t>3,098</w:t>
      </w:r>
      <w:r w:rsidR="000F06FB">
        <w:rPr>
          <w:b/>
          <w:lang w:eastAsia="en-AU"/>
        </w:rPr>
        <w:t> </w:t>
      </w:r>
      <w:r w:rsidRPr="002F5F97">
        <w:rPr>
          <w:b/>
          <w:lang w:eastAsia="en-AU"/>
        </w:rPr>
        <w:t>entities</w:t>
      </w:r>
      <w:r w:rsidRPr="002F5F97">
        <w:rPr>
          <w:lang w:eastAsia="en-AU"/>
        </w:rPr>
        <w:t xml:space="preserve"> reported buying goods and services from small business suppliers. On average, they sourced around </w:t>
      </w:r>
      <w:r w:rsidRPr="002F5F97">
        <w:rPr>
          <w:b/>
          <w:bCs/>
          <w:lang w:eastAsia="en-AU"/>
        </w:rPr>
        <w:t>28.7</w:t>
      </w:r>
      <w:r w:rsidR="000F06FB">
        <w:rPr>
          <w:b/>
          <w:bCs/>
          <w:lang w:eastAsia="en-AU"/>
        </w:rPr>
        <w:t> </w:t>
      </w:r>
      <w:r w:rsidRPr="002F5F97">
        <w:rPr>
          <w:b/>
          <w:bCs/>
          <w:lang w:eastAsia="en-AU"/>
        </w:rPr>
        <w:t>per</w:t>
      </w:r>
      <w:r w:rsidR="000F06FB">
        <w:rPr>
          <w:b/>
          <w:bCs/>
          <w:lang w:eastAsia="en-AU"/>
        </w:rPr>
        <w:t> </w:t>
      </w:r>
      <w:r w:rsidRPr="002F5F97">
        <w:rPr>
          <w:b/>
          <w:bCs/>
          <w:lang w:eastAsia="en-AU"/>
        </w:rPr>
        <w:t>cent</w:t>
      </w:r>
      <w:r w:rsidRPr="002F5F97">
        <w:rPr>
          <w:lang w:eastAsia="en-AU"/>
        </w:rPr>
        <w:t xml:space="preserve"> of their total procurement value from</w:t>
      </w:r>
      <w:r w:rsidR="000F06FB">
        <w:rPr>
          <w:lang w:eastAsia="en-AU"/>
        </w:rPr>
        <w:t> </w:t>
      </w:r>
      <w:r w:rsidRPr="002F5F97">
        <w:rPr>
          <w:lang w:eastAsia="en-AU"/>
        </w:rPr>
        <w:t>small businesses</w:t>
      </w:r>
      <w:r w:rsidR="003432EF">
        <w:rPr>
          <w:lang w:eastAsia="en-AU"/>
        </w:rPr>
        <w:t xml:space="preserve">. </w:t>
      </w:r>
    </w:p>
    <w:p w14:paraId="7DF59336" w14:textId="4C49DD50" w:rsidR="00686B2D" w:rsidRPr="002F5F97" w:rsidRDefault="00686B2D" w:rsidP="000F06FB">
      <w:pPr>
        <w:rPr>
          <w:lang w:eastAsia="en-AU"/>
        </w:rPr>
      </w:pPr>
      <w:r w:rsidRPr="002F5F97">
        <w:rPr>
          <w:lang w:eastAsia="en-AU"/>
        </w:rPr>
        <w:t xml:space="preserve">Trade with small business was significant across all sectors. The </w:t>
      </w:r>
      <w:r w:rsidRPr="002F5F97">
        <w:rPr>
          <w:b/>
          <w:lang w:eastAsia="en-AU"/>
        </w:rPr>
        <w:t>lowest</w:t>
      </w:r>
      <w:r w:rsidRPr="002F5F97">
        <w:rPr>
          <w:lang w:eastAsia="en-AU"/>
        </w:rPr>
        <w:t xml:space="preserve"> proportion was reported in the </w:t>
      </w:r>
      <w:r w:rsidRPr="002F5F97">
        <w:rPr>
          <w:b/>
          <w:lang w:eastAsia="en-AU"/>
        </w:rPr>
        <w:t xml:space="preserve">mining </w:t>
      </w:r>
      <w:r w:rsidRPr="002F5F97">
        <w:rPr>
          <w:bCs/>
          <w:lang w:eastAsia="en-AU"/>
        </w:rPr>
        <w:t>industry</w:t>
      </w:r>
      <w:r w:rsidRPr="002F5F97">
        <w:rPr>
          <w:lang w:eastAsia="en-AU"/>
        </w:rPr>
        <w:t xml:space="preserve"> at 2</w:t>
      </w:r>
      <w:r w:rsidR="000F06FB">
        <w:rPr>
          <w:lang w:eastAsia="en-AU"/>
        </w:rPr>
        <w:t>1.</w:t>
      </w:r>
      <w:r w:rsidRPr="002F5F97">
        <w:rPr>
          <w:lang w:eastAsia="en-AU"/>
        </w:rPr>
        <w:t>1</w:t>
      </w:r>
      <w:r w:rsidR="000F06FB">
        <w:rPr>
          <w:lang w:eastAsia="en-AU"/>
        </w:rPr>
        <w:t> </w:t>
      </w:r>
      <w:r w:rsidRPr="002F5F97">
        <w:rPr>
          <w:lang w:eastAsia="en-AU"/>
        </w:rPr>
        <w:t>per</w:t>
      </w:r>
      <w:r w:rsidR="000F06FB">
        <w:rPr>
          <w:lang w:eastAsia="en-AU"/>
        </w:rPr>
        <w:t> </w:t>
      </w:r>
      <w:r w:rsidRPr="002F5F97">
        <w:rPr>
          <w:lang w:eastAsia="en-AU"/>
        </w:rPr>
        <w:t xml:space="preserve">cent, while the </w:t>
      </w:r>
      <w:r w:rsidRPr="002F5F97">
        <w:rPr>
          <w:b/>
          <w:lang w:eastAsia="en-AU"/>
        </w:rPr>
        <w:t>highest</w:t>
      </w:r>
      <w:r w:rsidRPr="002F5F97">
        <w:rPr>
          <w:lang w:eastAsia="en-AU"/>
        </w:rPr>
        <w:t xml:space="preserve"> was in the </w:t>
      </w:r>
      <w:r w:rsidRPr="002F5F97">
        <w:rPr>
          <w:b/>
          <w:lang w:eastAsia="en-AU"/>
        </w:rPr>
        <w:t xml:space="preserve">construction </w:t>
      </w:r>
      <w:r w:rsidRPr="002F5F97">
        <w:rPr>
          <w:bCs/>
          <w:lang w:eastAsia="en-AU"/>
        </w:rPr>
        <w:t>industry</w:t>
      </w:r>
      <w:r w:rsidRPr="002F5F97">
        <w:rPr>
          <w:lang w:eastAsia="en-AU"/>
        </w:rPr>
        <w:t xml:space="preserve"> at 43.3</w:t>
      </w:r>
      <w:r w:rsidR="000F06FB">
        <w:rPr>
          <w:lang w:eastAsia="en-AU"/>
        </w:rPr>
        <w:t> </w:t>
      </w:r>
      <w:r w:rsidRPr="002F5F97">
        <w:rPr>
          <w:lang w:eastAsia="en-AU"/>
        </w:rPr>
        <w:t>per</w:t>
      </w:r>
      <w:r w:rsidR="000F06FB">
        <w:rPr>
          <w:lang w:eastAsia="en-AU"/>
        </w:rPr>
        <w:t> </w:t>
      </w:r>
      <w:r w:rsidRPr="002F5F97">
        <w:rPr>
          <w:lang w:eastAsia="en-AU"/>
        </w:rPr>
        <w:t>cent.</w:t>
      </w:r>
    </w:p>
    <w:p w14:paraId="511D6DA9" w14:textId="791DBE4A" w:rsidR="00686B2D" w:rsidRPr="002F5F97" w:rsidRDefault="00686B2D" w:rsidP="00686B2D">
      <w:pPr>
        <w:rPr>
          <w:lang w:eastAsia="en-AU"/>
        </w:rPr>
      </w:pPr>
      <w:r w:rsidRPr="002F5F97">
        <w:rPr>
          <w:lang w:eastAsia="en-AU"/>
        </w:rPr>
        <w:t xml:space="preserve">Since the Scheme began in 2021, the share of procurement from small businesses has remained relatively stable, </w:t>
      </w:r>
      <w:r w:rsidR="002235D7">
        <w:rPr>
          <w:lang w:eastAsia="en-AU"/>
        </w:rPr>
        <w:t>ranging from</w:t>
      </w:r>
      <w:r w:rsidRPr="002F5F97">
        <w:rPr>
          <w:lang w:eastAsia="en-AU"/>
        </w:rPr>
        <w:t xml:space="preserve"> 28.7</w:t>
      </w:r>
      <w:r w:rsidR="000F06FB">
        <w:rPr>
          <w:lang w:eastAsia="en-AU"/>
        </w:rPr>
        <w:t> </w:t>
      </w:r>
      <w:r w:rsidRPr="002F5F97">
        <w:rPr>
          <w:lang w:eastAsia="en-AU"/>
        </w:rPr>
        <w:t>per</w:t>
      </w:r>
      <w:r w:rsidR="000F06FB">
        <w:rPr>
          <w:lang w:eastAsia="en-AU"/>
        </w:rPr>
        <w:t> </w:t>
      </w:r>
      <w:r w:rsidRPr="002F5F97">
        <w:rPr>
          <w:lang w:eastAsia="en-AU"/>
        </w:rPr>
        <w:t>cent in Reporting Cy</w:t>
      </w:r>
      <w:r w:rsidR="009977E2" w:rsidRPr="002F5F97">
        <w:rPr>
          <w:lang w:eastAsia="en-AU"/>
        </w:rPr>
        <w:t>c</w:t>
      </w:r>
      <w:r w:rsidRPr="002F5F97">
        <w:rPr>
          <w:lang w:eastAsia="en-AU"/>
        </w:rPr>
        <w:t>le</w:t>
      </w:r>
      <w:r w:rsidR="000F06FB">
        <w:rPr>
          <w:lang w:eastAsia="en-AU"/>
        </w:rPr>
        <w:t> </w:t>
      </w:r>
      <w:r w:rsidR="00E270EA" w:rsidRPr="002F5F97">
        <w:rPr>
          <w:lang w:eastAsia="en-AU"/>
        </w:rPr>
        <w:t>9</w:t>
      </w:r>
      <w:r w:rsidRPr="002F5F97">
        <w:rPr>
          <w:lang w:eastAsia="en-AU"/>
        </w:rPr>
        <w:t xml:space="preserve"> </w:t>
      </w:r>
      <w:r w:rsidR="007E1847" w:rsidRPr="002F5F97">
        <w:rPr>
          <w:lang w:eastAsia="en-AU"/>
        </w:rPr>
        <w:t>from</w:t>
      </w:r>
      <w:r w:rsidRPr="002F5F97">
        <w:rPr>
          <w:lang w:eastAsia="en-AU"/>
        </w:rPr>
        <w:t xml:space="preserve"> </w:t>
      </w:r>
      <w:r w:rsidR="002235D7">
        <w:rPr>
          <w:lang w:eastAsia="en-AU"/>
        </w:rPr>
        <w:t>the</w:t>
      </w:r>
      <w:r w:rsidRPr="002F5F97">
        <w:rPr>
          <w:lang w:eastAsia="en-AU"/>
        </w:rPr>
        <w:t xml:space="preserve"> peak of 30.3</w:t>
      </w:r>
      <w:r w:rsidR="000F06FB">
        <w:rPr>
          <w:lang w:eastAsia="en-AU"/>
        </w:rPr>
        <w:t> </w:t>
      </w:r>
      <w:r w:rsidRPr="002F5F97">
        <w:rPr>
          <w:lang w:eastAsia="en-AU"/>
        </w:rPr>
        <w:t>per</w:t>
      </w:r>
      <w:r w:rsidR="000F06FB">
        <w:rPr>
          <w:lang w:eastAsia="en-AU"/>
        </w:rPr>
        <w:t> </w:t>
      </w:r>
      <w:r w:rsidRPr="002F5F97">
        <w:rPr>
          <w:lang w:eastAsia="en-AU"/>
        </w:rPr>
        <w:t>cent in Reporting Cycle</w:t>
      </w:r>
      <w:r w:rsidR="000F06FB">
        <w:rPr>
          <w:lang w:eastAsia="en-AU"/>
        </w:rPr>
        <w:t> </w:t>
      </w:r>
      <w:r w:rsidRPr="002F5F97">
        <w:rPr>
          <w:lang w:eastAsia="en-AU"/>
        </w:rPr>
        <w:t>8 (see Table 1, Appendix B).</w:t>
      </w:r>
    </w:p>
    <w:p w14:paraId="59AF05F0" w14:textId="7E3BDB95" w:rsidR="006556C0" w:rsidRDefault="00686B2D" w:rsidP="00960FAE">
      <w:pPr>
        <w:rPr>
          <w:lang w:eastAsia="en-AU"/>
        </w:rPr>
      </w:pPr>
      <w:r w:rsidRPr="002F5F97">
        <w:rPr>
          <w:lang w:eastAsia="en-AU"/>
        </w:rPr>
        <w:t>These figures highlight the vital role small businesses play in the supply</w:t>
      </w:r>
      <w:r w:rsidR="000F06FB">
        <w:rPr>
          <w:lang w:eastAsia="en-AU"/>
        </w:rPr>
        <w:t> </w:t>
      </w:r>
      <w:r w:rsidRPr="002F5F97">
        <w:rPr>
          <w:lang w:eastAsia="en-AU"/>
        </w:rPr>
        <w:t>chains</w:t>
      </w:r>
      <w:r w:rsidR="000F06FB">
        <w:rPr>
          <w:lang w:eastAsia="en-AU"/>
        </w:rPr>
        <w:t> </w:t>
      </w:r>
      <w:r w:rsidRPr="002F5F97">
        <w:rPr>
          <w:lang w:eastAsia="en-AU"/>
        </w:rPr>
        <w:t>of</w:t>
      </w:r>
      <w:r w:rsidR="000F06FB">
        <w:rPr>
          <w:lang w:eastAsia="en-AU"/>
        </w:rPr>
        <w:t> </w:t>
      </w:r>
      <w:r w:rsidRPr="002F5F97">
        <w:rPr>
          <w:lang w:eastAsia="en-AU"/>
        </w:rPr>
        <w:t>Australia</w:t>
      </w:r>
      <w:r w:rsidR="005D0129">
        <w:rPr>
          <w:lang w:eastAsia="en-AU"/>
        </w:rPr>
        <w:t>’</w:t>
      </w:r>
      <w:r w:rsidRPr="002F5F97">
        <w:rPr>
          <w:lang w:eastAsia="en-AU"/>
        </w:rPr>
        <w:t>s largest companies, across all industries.</w:t>
      </w:r>
    </w:p>
    <w:p w14:paraId="4D0A770F" w14:textId="0499FDB5" w:rsidR="00960FAE" w:rsidRPr="00960FAE" w:rsidRDefault="00A9569C" w:rsidP="00960FAE">
      <w:pPr>
        <w:pStyle w:val="ChartGraphic"/>
        <w:rPr>
          <w:lang w:eastAsia="en-AU"/>
        </w:rPr>
      </w:pPr>
      <w:r>
        <w:rPr>
          <w:lang w:eastAsia="en-AU"/>
        </w:rPr>
        <w:t xml:space="preserve"> </w:t>
      </w:r>
      <w:r>
        <w:rPr>
          <w:noProof/>
        </w:rPr>
        <w:drawing>
          <wp:inline distT="0" distB="0" distL="0" distR="0" wp14:anchorId="3CA9C163" wp14:editId="3690BE79">
            <wp:extent cx="2588400" cy="2496552"/>
            <wp:effectExtent l="0" t="0" r="2540" b="0"/>
            <wp:docPr id="1423905136" name="Graphic 1" descr="This doughnut chart shows that 28.7% of procurement value came from small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05136" name="Graphic 1" descr="This doughnut chart shows that 28.7% of procurement value came from small businesses. "/>
                    <pic:cNvPicPr/>
                  </pic:nvPicPr>
                  <pic:blipFill rotWithShape="1">
                    <a:blip r:embed="rId62">
                      <a:extLst>
                        <a:ext uri="{96DAC541-7B7A-43D3-8B79-37D633B846F1}">
                          <asvg:svgBlip xmlns:asvg="http://schemas.microsoft.com/office/drawing/2016/SVG/main" r:embed="rId63"/>
                        </a:ext>
                      </a:extLst>
                    </a:blip>
                    <a:srcRect l="10264" t="8556" r="8751" b="7712"/>
                    <a:stretch>
                      <a:fillRect/>
                    </a:stretch>
                  </pic:blipFill>
                  <pic:spPr bwMode="auto">
                    <a:xfrm>
                      <a:off x="0" y="0"/>
                      <a:ext cx="2588400" cy="2496552"/>
                    </a:xfrm>
                    <a:prstGeom prst="rect">
                      <a:avLst/>
                    </a:prstGeom>
                    <a:ln>
                      <a:noFill/>
                    </a:ln>
                    <a:extLst>
                      <a:ext uri="{53640926-AAD7-44D8-BBD7-CCE9431645EC}">
                        <a14:shadowObscured xmlns:a14="http://schemas.microsoft.com/office/drawing/2010/main"/>
                      </a:ext>
                    </a:extLst>
                  </pic:spPr>
                </pic:pic>
              </a:graphicData>
            </a:graphic>
          </wp:inline>
        </w:drawing>
      </w:r>
    </w:p>
    <w:p w14:paraId="7593536A" w14:textId="77777777" w:rsidR="00BD169E" w:rsidRPr="002F5F97" w:rsidRDefault="00BD169E">
      <w:pPr>
        <w:spacing w:before="0" w:after="160" w:line="259" w:lineRule="auto"/>
        <w:rPr>
          <w:lang w:eastAsia="en-AU"/>
        </w:rPr>
      </w:pPr>
      <w:r w:rsidRPr="002F5F97">
        <w:rPr>
          <w:lang w:eastAsia="en-AU"/>
        </w:rPr>
        <w:br w:type="page"/>
      </w:r>
    </w:p>
    <w:p w14:paraId="1977575C" w14:textId="0D6E08D7" w:rsidR="008C4051" w:rsidRPr="002F5F97" w:rsidRDefault="00265451" w:rsidP="008C4051">
      <w:pPr>
        <w:pStyle w:val="Heading2"/>
      </w:pPr>
      <w:r w:rsidRPr="002F5F97">
        <w:lastRenderedPageBreak/>
        <w:t>Entities paying in 20</w:t>
      </w:r>
      <w:r w:rsidR="00E841B8">
        <w:t> </w:t>
      </w:r>
      <w:r w:rsidRPr="002F5F97">
        <w:t>days or less</w:t>
      </w:r>
    </w:p>
    <w:p w14:paraId="066414AB" w14:textId="0D1A7B06" w:rsidR="007F4E9F" w:rsidRPr="002F5F97" w:rsidRDefault="007F4E9F" w:rsidP="007F4E9F">
      <w:pPr>
        <w:rPr>
          <w:lang w:eastAsia="en-AU"/>
        </w:rPr>
      </w:pPr>
      <w:r w:rsidRPr="002F5F97">
        <w:rPr>
          <w:lang w:eastAsia="en-AU"/>
        </w:rPr>
        <w:t>In Reporting Cycle 9, 134</w:t>
      </w:r>
      <w:r w:rsidR="004A33C8">
        <w:rPr>
          <w:lang w:eastAsia="en-AU"/>
        </w:rPr>
        <w:t> </w:t>
      </w:r>
      <w:r w:rsidRPr="002F5F97">
        <w:rPr>
          <w:lang w:eastAsia="en-AU"/>
        </w:rPr>
        <w:t>entities reported making 95</w:t>
      </w:r>
      <w:r w:rsidR="00E841B8">
        <w:rPr>
          <w:lang w:eastAsia="en-AU"/>
        </w:rPr>
        <w:t> </w:t>
      </w:r>
      <w:r w:rsidRPr="002F5F97">
        <w:rPr>
          <w:lang w:eastAsia="en-AU"/>
        </w:rPr>
        <w:t>per</w:t>
      </w:r>
      <w:r w:rsidR="00E841B8">
        <w:rPr>
          <w:lang w:eastAsia="en-AU"/>
        </w:rPr>
        <w:t> </w:t>
      </w:r>
      <w:r w:rsidRPr="002F5F97">
        <w:rPr>
          <w:lang w:eastAsia="en-AU"/>
        </w:rPr>
        <w:t>cent or more of their payment</w:t>
      </w:r>
      <w:r w:rsidR="00550B52">
        <w:rPr>
          <w:lang w:eastAsia="en-AU"/>
        </w:rPr>
        <w:t>s</w:t>
      </w:r>
      <w:r w:rsidRPr="002F5F97">
        <w:rPr>
          <w:lang w:eastAsia="en-AU"/>
        </w:rPr>
        <w:t xml:space="preserve"> to small business suppliers in 20</w:t>
      </w:r>
      <w:r w:rsidR="00E841B8">
        <w:rPr>
          <w:lang w:eastAsia="en-AU"/>
        </w:rPr>
        <w:t> </w:t>
      </w:r>
      <w:r w:rsidRPr="002F5F97">
        <w:rPr>
          <w:lang w:eastAsia="en-AU"/>
        </w:rPr>
        <w:t xml:space="preserve">days or less. These entities may qualify as </w:t>
      </w:r>
      <w:r w:rsidRPr="004F4DA7">
        <w:rPr>
          <w:lang w:eastAsia="en-AU"/>
        </w:rPr>
        <w:t xml:space="preserve">a </w:t>
      </w:r>
      <w:r w:rsidR="00EB704A" w:rsidRPr="00EB704A">
        <w:rPr>
          <w:b/>
          <w:bCs/>
          <w:lang w:eastAsia="en-AU"/>
        </w:rPr>
        <w:t>Fast S</w:t>
      </w:r>
      <w:r w:rsidRPr="00EB704A">
        <w:rPr>
          <w:b/>
          <w:bCs/>
          <w:lang w:eastAsia="en-AU"/>
        </w:rPr>
        <w:t xml:space="preserve">mall </w:t>
      </w:r>
      <w:r w:rsidR="00EB704A" w:rsidRPr="00EB704A">
        <w:rPr>
          <w:b/>
          <w:bCs/>
          <w:lang w:eastAsia="en-AU"/>
        </w:rPr>
        <w:t>B</w:t>
      </w:r>
      <w:r w:rsidRPr="00EB704A">
        <w:rPr>
          <w:b/>
          <w:bCs/>
          <w:lang w:eastAsia="en-AU"/>
        </w:rPr>
        <w:t xml:space="preserve">usiness </w:t>
      </w:r>
      <w:r w:rsidR="00EB704A" w:rsidRPr="00EB704A">
        <w:rPr>
          <w:b/>
          <w:bCs/>
          <w:lang w:eastAsia="en-AU"/>
        </w:rPr>
        <w:t>P</w:t>
      </w:r>
      <w:r w:rsidRPr="00EB704A">
        <w:rPr>
          <w:b/>
          <w:bCs/>
          <w:lang w:eastAsia="en-AU"/>
        </w:rPr>
        <w:t xml:space="preserve">ayer </w:t>
      </w:r>
      <w:r w:rsidRPr="002F5F97">
        <w:rPr>
          <w:lang w:eastAsia="en-AU"/>
        </w:rPr>
        <w:t xml:space="preserve">if they continue this practice for </w:t>
      </w:r>
      <w:r w:rsidR="005B71AF" w:rsidRPr="002F5F97">
        <w:rPr>
          <w:lang w:eastAsia="en-AU"/>
        </w:rPr>
        <w:t>2</w:t>
      </w:r>
      <w:r w:rsidRPr="002F5F97">
        <w:rPr>
          <w:lang w:eastAsia="en-AU"/>
        </w:rPr>
        <w:t xml:space="preserve"> consecutive reporting periods. This achievable benchmark is to encourage faster payment practices.</w:t>
      </w:r>
    </w:p>
    <w:p w14:paraId="125F19B3" w14:textId="7C5DECC1" w:rsidR="008C4051" w:rsidRPr="002F5F97" w:rsidRDefault="007F4E9F" w:rsidP="008C4051">
      <w:pPr>
        <w:rPr>
          <w:lang w:eastAsia="en-AU"/>
        </w:rPr>
      </w:pPr>
      <w:r w:rsidRPr="002F5F97">
        <w:rPr>
          <w:lang w:eastAsia="en-AU"/>
        </w:rPr>
        <w:t xml:space="preserve">Fast </w:t>
      </w:r>
      <w:r w:rsidR="009E70D1">
        <w:rPr>
          <w:lang w:eastAsia="en-AU"/>
        </w:rPr>
        <w:t>s</w:t>
      </w:r>
      <w:r w:rsidRPr="002F5F97">
        <w:rPr>
          <w:lang w:eastAsia="en-AU"/>
        </w:rPr>
        <w:t xml:space="preserve">mall </w:t>
      </w:r>
      <w:r w:rsidR="009E70D1">
        <w:rPr>
          <w:lang w:eastAsia="en-AU"/>
        </w:rPr>
        <w:t>b</w:t>
      </w:r>
      <w:r w:rsidRPr="002F5F97">
        <w:rPr>
          <w:lang w:eastAsia="en-AU"/>
        </w:rPr>
        <w:t xml:space="preserve">usiness </w:t>
      </w:r>
      <w:r w:rsidR="009E70D1">
        <w:rPr>
          <w:lang w:eastAsia="en-AU"/>
        </w:rPr>
        <w:t>p</w:t>
      </w:r>
      <w:r w:rsidRPr="002F5F97">
        <w:rPr>
          <w:lang w:eastAsia="en-AU"/>
        </w:rPr>
        <w:t>ayers are publicly recognised</w:t>
      </w:r>
      <w:r w:rsidR="002D2DEF">
        <w:rPr>
          <w:lang w:eastAsia="en-AU"/>
        </w:rPr>
        <w:t xml:space="preserve"> on the Payment Times Reports Register</w:t>
      </w:r>
      <w:r w:rsidRPr="002F5F97">
        <w:rPr>
          <w:lang w:eastAsia="en-AU"/>
        </w:rPr>
        <w:t>, offering those entities a reputational incentive for their achievement and providing stakeholders a clear, verifiable indicator of strong payment performance.</w:t>
      </w:r>
    </w:p>
    <w:p w14:paraId="5D76500F" w14:textId="4CCA024D" w:rsidR="005A11F9" w:rsidRPr="002F5F97" w:rsidRDefault="00C3076F" w:rsidP="00E841B8">
      <w:pPr>
        <w:pStyle w:val="ChartMainHeading"/>
        <w:jc w:val="left"/>
      </w:pPr>
      <w:r w:rsidRPr="002F5F97">
        <w:t xml:space="preserve">Figure 4: </w:t>
      </w:r>
      <w:bookmarkStart w:id="19" w:name="_Hlk219301284"/>
      <w:r w:rsidRPr="002F5F97">
        <w:t>Number of entities paying 95</w:t>
      </w:r>
      <w:r w:rsidR="00026EFF">
        <w:t> </w:t>
      </w:r>
      <w:r w:rsidRPr="002F5F97">
        <w:t>per</w:t>
      </w:r>
      <w:r w:rsidR="00026EFF">
        <w:t> </w:t>
      </w:r>
      <w:r w:rsidRPr="002F5F97">
        <w:t xml:space="preserve">cent of invoices </w:t>
      </w:r>
      <w:bookmarkEnd w:id="19"/>
      <w:r w:rsidRPr="002F5F97">
        <w:t>in 20</w:t>
      </w:r>
      <w:r w:rsidR="00E841B8">
        <w:t> </w:t>
      </w:r>
      <w:r w:rsidRPr="002F5F97">
        <w:t>days or less, 21</w:t>
      </w:r>
      <w:r w:rsidR="005B5F56">
        <w:t>–</w:t>
      </w:r>
      <w:r w:rsidRPr="002F5F97">
        <w:t>30</w:t>
      </w:r>
      <w:r w:rsidR="00026EFF">
        <w:t> </w:t>
      </w:r>
      <w:r w:rsidRPr="002F5F97">
        <w:t>days and more than 30</w:t>
      </w:r>
      <w:r w:rsidR="00026EFF">
        <w:t> </w:t>
      </w:r>
      <w:r w:rsidRPr="002F5F97">
        <w:t>days</w:t>
      </w:r>
    </w:p>
    <w:p w14:paraId="5EB2A625" w14:textId="48485D52" w:rsidR="009B27C2" w:rsidRPr="002F5F97" w:rsidRDefault="00A24029" w:rsidP="00E841B8">
      <w:pPr>
        <w:pStyle w:val="ChartGraphic"/>
        <w:rPr>
          <w:lang w:eastAsia="en-AU"/>
        </w:rPr>
      </w:pPr>
      <w:r>
        <w:rPr>
          <w:noProof/>
        </w:rPr>
        <w:drawing>
          <wp:inline distT="0" distB="0" distL="0" distR="0" wp14:anchorId="06F0ADD8" wp14:editId="3FEB4D15">
            <wp:extent cx="4638675" cy="2781300"/>
            <wp:effectExtent l="0" t="0" r="9525" b="0"/>
            <wp:docPr id="1469176771" name="Graphic 1" descr="This doughnut chart shows the number of entities paying 95% of invoices within different timeframes:&#10;• 134 entities paid in 20 days or less.&#10;• 334 entities paid in 21 to 30 days.&#10;• 2,630 entities paid in more tha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76771" name="Graphic 1" descr="This doughnut chart shows the number of entities paying 95% of invoices within different timeframes:&#10;• 134 entities paid in 20 days or less.&#10;• 334 entities paid in 21 to 30 days.&#10;• 2,630 entities paid in more than 30 days."/>
                    <pic:cNvPicPr/>
                  </pic:nvPicPr>
                  <pic:blipFill>
                    <a:blip r:embed="rId64">
                      <a:extLst>
                        <a:ext uri="{96DAC541-7B7A-43D3-8B79-37D633B846F1}">
                          <asvg:svgBlip xmlns:asvg="http://schemas.microsoft.com/office/drawing/2016/SVG/main" r:embed="rId65"/>
                        </a:ext>
                      </a:extLst>
                    </a:blip>
                    <a:stretch>
                      <a:fillRect/>
                    </a:stretch>
                  </pic:blipFill>
                  <pic:spPr>
                    <a:xfrm>
                      <a:off x="0" y="0"/>
                      <a:ext cx="4638675" cy="2781300"/>
                    </a:xfrm>
                    <a:prstGeom prst="rect">
                      <a:avLst/>
                    </a:prstGeom>
                  </pic:spPr>
                </pic:pic>
              </a:graphicData>
            </a:graphic>
          </wp:inline>
        </w:drawing>
      </w:r>
    </w:p>
    <w:p w14:paraId="575B647D" w14:textId="6195A7B2" w:rsidR="004962D7" w:rsidRPr="002F5F97" w:rsidRDefault="00911A50" w:rsidP="00D32924">
      <w:pPr>
        <w:pStyle w:val="Heading2"/>
      </w:pPr>
      <w:r w:rsidRPr="002F5F97">
        <w:t>Invoices paid within 30</w:t>
      </w:r>
      <w:r w:rsidR="00481567">
        <w:t> </w:t>
      </w:r>
      <w:r w:rsidRPr="002F5F97">
        <w:t>days</w:t>
      </w:r>
    </w:p>
    <w:p w14:paraId="51EDB850" w14:textId="63F3D10B" w:rsidR="00D32924" w:rsidRPr="002F5F97" w:rsidRDefault="00D32924" w:rsidP="00D32924">
      <w:r w:rsidRPr="002F5F97">
        <w:t xml:space="preserve">To encourage faster payments, a slow small business payer direction may be issued to an entity in the slowest 20 per cent of small business payers, both overall and within specific industries. Directions from the Regulator or </w:t>
      </w:r>
      <w:r w:rsidR="00694CDB" w:rsidRPr="002F5F97">
        <w:t xml:space="preserve">the </w:t>
      </w:r>
      <w:r w:rsidRPr="002F5F97">
        <w:t>Minister for Small Business can require reporting entities to make public statements identifying themselves as a</w:t>
      </w:r>
      <w:r w:rsidR="00481567">
        <w:t> </w:t>
      </w:r>
      <w:r w:rsidR="00F54A29" w:rsidRPr="00F46D6E">
        <w:rPr>
          <w:b/>
          <w:bCs/>
        </w:rPr>
        <w:t>S</w:t>
      </w:r>
      <w:r w:rsidRPr="00FD0D32">
        <w:rPr>
          <w:b/>
          <w:bCs/>
        </w:rPr>
        <w:t>low</w:t>
      </w:r>
      <w:r w:rsidR="00481567">
        <w:rPr>
          <w:b/>
          <w:bCs/>
        </w:rPr>
        <w:t> </w:t>
      </w:r>
      <w:r w:rsidR="00F46D6E">
        <w:rPr>
          <w:b/>
          <w:bCs/>
        </w:rPr>
        <w:t>S</w:t>
      </w:r>
      <w:r w:rsidRPr="00FD0D32">
        <w:rPr>
          <w:b/>
          <w:bCs/>
        </w:rPr>
        <w:t xml:space="preserve">mall </w:t>
      </w:r>
      <w:r w:rsidR="00F46D6E">
        <w:rPr>
          <w:b/>
          <w:bCs/>
        </w:rPr>
        <w:t>B</w:t>
      </w:r>
      <w:r w:rsidRPr="00FD0D32">
        <w:rPr>
          <w:b/>
          <w:bCs/>
        </w:rPr>
        <w:t xml:space="preserve">usiness </w:t>
      </w:r>
      <w:r w:rsidR="00F46D6E">
        <w:rPr>
          <w:b/>
          <w:bCs/>
        </w:rPr>
        <w:t>P</w:t>
      </w:r>
      <w:r w:rsidRPr="00FD0D32">
        <w:rPr>
          <w:b/>
          <w:bCs/>
        </w:rPr>
        <w:t>ayer</w:t>
      </w:r>
      <w:r w:rsidRPr="002F5F97">
        <w:t>; again, creating a reputational incentive to improve performance.</w:t>
      </w:r>
    </w:p>
    <w:p w14:paraId="1830628F" w14:textId="59B411B3" w:rsidR="003C2B51" w:rsidRPr="002F5F97" w:rsidRDefault="00D32924" w:rsidP="004962D7">
      <w:r w:rsidRPr="002F5F97">
        <w:t>On average, the proportion of payments made to small business suppliers within 30 days has steadily increased from 63.2</w:t>
      </w:r>
      <w:r w:rsidR="00481567">
        <w:t> </w:t>
      </w:r>
      <w:r w:rsidRPr="002F5F97">
        <w:t>per</w:t>
      </w:r>
      <w:r w:rsidR="00481567">
        <w:t> </w:t>
      </w:r>
      <w:r w:rsidRPr="002F5F97">
        <w:t>cent in June 2021</w:t>
      </w:r>
      <w:r w:rsidR="00481567">
        <w:t xml:space="preserve"> </w:t>
      </w:r>
      <w:r w:rsidRPr="002F5F97">
        <w:t>to</w:t>
      </w:r>
      <w:r w:rsidR="00481567">
        <w:t xml:space="preserve"> </w:t>
      </w:r>
      <w:r w:rsidRPr="002F5F97">
        <w:t>68.2</w:t>
      </w:r>
      <w:r w:rsidR="00481567">
        <w:t> </w:t>
      </w:r>
      <w:r w:rsidRPr="002F5F97">
        <w:t>per</w:t>
      </w:r>
      <w:r w:rsidR="00481567">
        <w:t> </w:t>
      </w:r>
      <w:r w:rsidRPr="002F5F97">
        <w:t>cent in June</w:t>
      </w:r>
      <w:r w:rsidR="0002554A">
        <w:t> </w:t>
      </w:r>
      <w:r w:rsidRPr="002F5F97">
        <w:t>2025</w:t>
      </w:r>
      <w:r w:rsidR="003E47CB">
        <w:t xml:space="preserve">, </w:t>
      </w:r>
      <w:r w:rsidRPr="002F5F97">
        <w:t>a</w:t>
      </w:r>
      <w:r w:rsidR="00AD2B42">
        <w:t> </w:t>
      </w:r>
      <w:r w:rsidRPr="002F5F97">
        <w:t>5.0</w:t>
      </w:r>
      <w:r w:rsidR="00694CDB" w:rsidRPr="002F5F97">
        <w:t> </w:t>
      </w:r>
      <w:r w:rsidRPr="002F5F97">
        <w:t>percentage point increase from Reporting Cycle 1.</w:t>
      </w:r>
    </w:p>
    <w:p w14:paraId="448180F4" w14:textId="426CFB32" w:rsidR="0079798E" w:rsidRPr="002F5F97" w:rsidRDefault="00647626" w:rsidP="00FC4C01">
      <w:pPr>
        <w:pStyle w:val="ChartMainHeading"/>
        <w:jc w:val="left"/>
      </w:pPr>
      <w:r w:rsidRPr="002F5F97">
        <w:lastRenderedPageBreak/>
        <w:t xml:space="preserve">Figure 5: </w:t>
      </w:r>
      <w:bookmarkStart w:id="20" w:name="_Hlk219301574"/>
      <w:r w:rsidRPr="002F5F97">
        <w:t>Average invoices paid in 30 days,</w:t>
      </w:r>
      <w:bookmarkEnd w:id="20"/>
      <w:r w:rsidRPr="002F5F97">
        <w:t xml:space="preserve"> Reporting Cycles 1 to 9 (see</w:t>
      </w:r>
      <w:r w:rsidR="00FC4C01">
        <w:t> </w:t>
      </w:r>
      <w:r w:rsidRPr="002F5F97">
        <w:t>Table</w:t>
      </w:r>
      <w:r w:rsidR="00FC4C01">
        <w:t> </w:t>
      </w:r>
      <w:r w:rsidRPr="002F5F97">
        <w:t>6, Appendix B)</w:t>
      </w:r>
    </w:p>
    <w:p w14:paraId="5B47EBC4" w14:textId="0CA6CA9B" w:rsidR="0047394E" w:rsidRPr="002F5F97" w:rsidRDefault="0047394E" w:rsidP="00FC4C01">
      <w:pPr>
        <w:pStyle w:val="ChartGraphic"/>
        <w:spacing w:before="120"/>
      </w:pPr>
      <w:r>
        <w:rPr>
          <w:noProof/>
        </w:rPr>
        <w:drawing>
          <wp:inline distT="0" distB="0" distL="0" distR="0" wp14:anchorId="75B7607E" wp14:editId="293936D9">
            <wp:extent cx="5400040" cy="2047875"/>
            <wp:effectExtent l="0" t="0" r="0" b="9525"/>
            <wp:docPr id="450059874" name="Graphic 1" descr="This line graph shows the average percentage of invoices paid to small business suppliers within 30 days, from Reporting Cycle 1 to 9. The proportion of reporting entities has increased from 63.2% to 68.2% over this period.  &#10;• June 2021: 63.2%&#10;• December 2021: 65.6%&#10;• June 2022: 66.2%&#10;• December 2022: 67.5%&#10;• June 2023: 67.2%&#10;• December 2023: 68.7%&#10;• June 2024: 68.7%&#10;• December 2024: 68.2%&#10;•June 2025: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9874" name="Graphic 1" descr="This line graph shows the average percentage of invoices paid to small business suppliers within 30 days, from Reporting Cycle 1 to 9. The proportion of reporting entities has increased from 63.2% to 68.2% over this period.  &#10;• June 2021: 63.2%&#10;• December 2021: 65.6%&#10;• June 2022: 66.2%&#10;• December 2022: 67.5%&#10;• June 2023: 67.2%&#10;• December 2023: 68.7%&#10;• June 2024: 68.7%&#10;• December 2024: 68.2%&#10;•June 2025: 68.2%"/>
                    <pic:cNvPicPr/>
                  </pic:nvPicPr>
                  <pic:blipFill>
                    <a:blip r:embed="rId66">
                      <a:extLst>
                        <a:ext uri="{96DAC541-7B7A-43D3-8B79-37D633B846F1}">
                          <asvg:svgBlip xmlns:asvg="http://schemas.microsoft.com/office/drawing/2016/SVG/main" r:embed="rId67"/>
                        </a:ext>
                      </a:extLst>
                    </a:blip>
                    <a:stretch>
                      <a:fillRect/>
                    </a:stretch>
                  </pic:blipFill>
                  <pic:spPr>
                    <a:xfrm>
                      <a:off x="0" y="0"/>
                      <a:ext cx="5400040" cy="2047875"/>
                    </a:xfrm>
                    <a:prstGeom prst="rect">
                      <a:avLst/>
                    </a:prstGeom>
                  </pic:spPr>
                </pic:pic>
              </a:graphicData>
            </a:graphic>
          </wp:inline>
        </w:drawing>
      </w:r>
    </w:p>
    <w:p w14:paraId="7A133A3B" w14:textId="5E27FC9E" w:rsidR="0079798E" w:rsidRDefault="00D91C0C" w:rsidP="004962D7">
      <w:r w:rsidRPr="002F5F97">
        <w:t>Over the same period, the proportion of entities with average payment times in the</w:t>
      </w:r>
      <w:r w:rsidR="000063A2">
        <w:t xml:space="preserve"> </w:t>
      </w:r>
      <w:r w:rsidRPr="002F5F97">
        <w:t>3</w:t>
      </w:r>
      <w:r w:rsidR="000063A2">
        <w:t>1</w:t>
      </w:r>
      <w:r w:rsidR="005D0129">
        <w:noBreakHyphen/>
      </w:r>
      <w:r w:rsidRPr="002F5F97">
        <w:t>60</w:t>
      </w:r>
      <w:r w:rsidR="00694CDB" w:rsidRPr="002F5F97">
        <w:t> </w:t>
      </w:r>
      <w:r w:rsidRPr="002F5F97">
        <w:t>days range decreased from 28.2</w:t>
      </w:r>
      <w:r w:rsidR="004278BE">
        <w:t> </w:t>
      </w:r>
      <w:r w:rsidRPr="002F5F97">
        <w:t>per</w:t>
      </w:r>
      <w:r w:rsidR="004278BE">
        <w:t> </w:t>
      </w:r>
      <w:r w:rsidRPr="002F5F97">
        <w:t>cent to 25.0</w:t>
      </w:r>
      <w:r w:rsidR="004278BE">
        <w:t> </w:t>
      </w:r>
      <w:r w:rsidRPr="002F5F97">
        <w:t>per</w:t>
      </w:r>
      <w:r w:rsidR="004278BE">
        <w:t> </w:t>
      </w:r>
      <w:r w:rsidRPr="002F5F97">
        <w:t>cent, while those taking more than 60</w:t>
      </w:r>
      <w:r w:rsidR="000063A2">
        <w:t> </w:t>
      </w:r>
      <w:r w:rsidRPr="002F5F97">
        <w:t>days decreased from 8.6</w:t>
      </w:r>
      <w:r w:rsidR="004278BE">
        <w:t> </w:t>
      </w:r>
      <w:r w:rsidRPr="002F5F97">
        <w:t>per</w:t>
      </w:r>
      <w:r w:rsidR="004278BE">
        <w:t> </w:t>
      </w:r>
      <w:r w:rsidRPr="002F5F97">
        <w:t>cent to 6.8</w:t>
      </w:r>
      <w:r w:rsidR="004278BE">
        <w:t> </w:t>
      </w:r>
      <w:r w:rsidRPr="002F5F97">
        <w:t>per</w:t>
      </w:r>
      <w:r w:rsidR="004278BE">
        <w:t> </w:t>
      </w:r>
      <w:r w:rsidRPr="002F5F97">
        <w:t>cent. This indicates a modest but positive shift towards faster payment practices among reporting entities.</w:t>
      </w:r>
    </w:p>
    <w:p w14:paraId="5309DA0F" w14:textId="77777777" w:rsidR="00026EFF" w:rsidRDefault="00026EFF" w:rsidP="00026EFF">
      <w:pPr>
        <w:pStyle w:val="SingleParagraph"/>
      </w:pPr>
    </w:p>
    <w:p w14:paraId="12E2D6B9" w14:textId="5D2B116D" w:rsidR="0079798E" w:rsidRPr="002F5F97" w:rsidRDefault="0052583E" w:rsidP="00026EFF">
      <w:pPr>
        <w:pStyle w:val="ChartMainHeading"/>
        <w:jc w:val="left"/>
      </w:pPr>
      <w:r w:rsidRPr="002F5F97">
        <w:t xml:space="preserve">Figure 6: </w:t>
      </w:r>
      <w:bookmarkStart w:id="21" w:name="_Hlk219301806"/>
      <w:r w:rsidRPr="002F5F97">
        <w:t xml:space="preserve">Proportion of entities with average payment times </w:t>
      </w:r>
      <w:bookmarkEnd w:id="21"/>
      <w:r w:rsidRPr="002F5F97">
        <w:t>in day ranges, Reporting Cycles 1 and 9</w:t>
      </w:r>
    </w:p>
    <w:p w14:paraId="17006FB8" w14:textId="6A309E11" w:rsidR="00694CDB" w:rsidRPr="002F5F97" w:rsidRDefault="009D3B10" w:rsidP="00026EFF">
      <w:pPr>
        <w:pStyle w:val="ChartGraphic"/>
        <w:spacing w:before="120"/>
      </w:pPr>
      <w:r>
        <w:rPr>
          <w:noProof/>
        </w:rPr>
        <w:drawing>
          <wp:inline distT="0" distB="0" distL="0" distR="0" wp14:anchorId="662CEDCE" wp14:editId="22A81399">
            <wp:extent cx="5400040" cy="2038350"/>
            <wp:effectExtent l="0" t="0" r="0" b="0"/>
            <wp:docPr id="1382374499" name="Graphic 1" descr="This graph shows the proportion of entities with average payments times within these day ranges: 30 days or less, 31-60 days and 60+ days from Reporting Cycle 9 to Reporting Cycle 1&#10;• Reporting Cycle 9: 30 days or less: 68.2%, 31-60 day: 25.0% and 60+ days:  6.8%.&#10;• Reporting Cycle 1: 30 days or less: 63.2%, 31-60 days: 28.2% and 60+ days: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74499" name="Graphic 1" descr="This graph shows the proportion of entities with average payments times within these day ranges: 30 days or less, 31-60 days and 60+ days from Reporting Cycle 9 to Reporting Cycle 1&#10;• Reporting Cycle 9: 30 days or less: 68.2%, 31-60 day: 25.0% and 60+ days:  6.8%.&#10;• Reporting Cycle 1: 30 days or less: 63.2%, 31-60 days: 28.2% and 60+ days: 8.6%&#10;"/>
                    <pic:cNvPicPr/>
                  </pic:nvPicPr>
                  <pic:blipFill>
                    <a:blip r:embed="rId68">
                      <a:extLst>
                        <a:ext uri="{96DAC541-7B7A-43D3-8B79-37D633B846F1}">
                          <asvg:svgBlip xmlns:asvg="http://schemas.microsoft.com/office/drawing/2016/SVG/main" r:embed="rId69"/>
                        </a:ext>
                      </a:extLst>
                    </a:blip>
                    <a:stretch>
                      <a:fillRect/>
                    </a:stretch>
                  </pic:blipFill>
                  <pic:spPr>
                    <a:xfrm>
                      <a:off x="0" y="0"/>
                      <a:ext cx="5400040" cy="2038350"/>
                    </a:xfrm>
                    <a:prstGeom prst="rect">
                      <a:avLst/>
                    </a:prstGeom>
                  </pic:spPr>
                </pic:pic>
              </a:graphicData>
            </a:graphic>
          </wp:inline>
        </w:drawing>
      </w:r>
    </w:p>
    <w:p w14:paraId="5826932C" w14:textId="473DD431" w:rsidR="00852478" w:rsidRPr="002F5F97" w:rsidRDefault="00547820" w:rsidP="004962D7">
      <w:pPr>
        <w:spacing w:before="0" w:after="160" w:line="259" w:lineRule="auto"/>
      </w:pPr>
      <w:r w:rsidRPr="002F5F97">
        <w:t xml:space="preserve">Small businesses are big players in the supply </w:t>
      </w:r>
      <w:r w:rsidR="00180EF0" w:rsidRPr="002F5F97">
        <w:t>chain;</w:t>
      </w:r>
      <w:r w:rsidRPr="002F5F97">
        <w:t xml:space="preserve"> they are getting paid faster but we need to do better.</w:t>
      </w:r>
    </w:p>
    <w:p w14:paraId="020AC881" w14:textId="77777777" w:rsidR="00852478" w:rsidRPr="002F5F97" w:rsidRDefault="00852478">
      <w:pPr>
        <w:spacing w:before="0" w:after="160" w:line="259" w:lineRule="auto"/>
      </w:pPr>
      <w:r w:rsidRPr="002F5F97">
        <w:br w:type="page"/>
      </w:r>
    </w:p>
    <w:p w14:paraId="54CD97B2" w14:textId="2CCF6960" w:rsidR="0079798E" w:rsidRPr="002F5F97" w:rsidRDefault="00FB7177" w:rsidP="0079798E">
      <w:pPr>
        <w:pStyle w:val="Heading2"/>
      </w:pPr>
      <w:r w:rsidRPr="002F5F97">
        <w:lastRenderedPageBreak/>
        <w:t xml:space="preserve">Mining and the </w:t>
      </w:r>
      <w:r w:rsidR="000324B6">
        <w:t>I</w:t>
      </w:r>
      <w:r w:rsidRPr="002F5F97">
        <w:t xml:space="preserve">nformation </w:t>
      </w:r>
      <w:r w:rsidR="000324B6">
        <w:t>M</w:t>
      </w:r>
      <w:r w:rsidRPr="002F5F97">
        <w:t xml:space="preserve">edia and </w:t>
      </w:r>
      <w:r w:rsidR="000324B6">
        <w:t>T</w:t>
      </w:r>
      <w:r w:rsidRPr="002F5F97">
        <w:t>elecommunications industries are some of the slowest paying</w:t>
      </w:r>
    </w:p>
    <w:p w14:paraId="603D4164" w14:textId="11B2D85F" w:rsidR="0079798E" w:rsidRPr="002F5F97" w:rsidRDefault="005D47F6" w:rsidP="0079798E">
      <w:r w:rsidRPr="002F5F97">
        <w:t>In Reporting Cycle 9, a majority of entities (2,630</w:t>
      </w:r>
      <w:r w:rsidR="000063A2">
        <w:t> </w:t>
      </w:r>
      <w:r w:rsidRPr="002F5F97">
        <w:t>entities or 85</w:t>
      </w:r>
      <w:r w:rsidR="000063A2">
        <w:t> </w:t>
      </w:r>
      <w:r w:rsidRPr="002F5F97">
        <w:t>per</w:t>
      </w:r>
      <w:r w:rsidR="000063A2">
        <w:t> </w:t>
      </w:r>
      <w:r w:rsidRPr="002F5F97">
        <w:t>cent) reported taking more than 30 days to pay 95 per cent or more of their invoices (see Figure 7 below).</w:t>
      </w:r>
    </w:p>
    <w:p w14:paraId="2B3D5412" w14:textId="7E864129" w:rsidR="004962D7" w:rsidRPr="002F5F97" w:rsidRDefault="004066D2" w:rsidP="000063A2">
      <w:pPr>
        <w:pStyle w:val="ChartMainHeading"/>
        <w:jc w:val="left"/>
      </w:pPr>
      <w:r w:rsidRPr="002F5F97">
        <w:t xml:space="preserve">Figure 7: </w:t>
      </w:r>
      <w:bookmarkStart w:id="22" w:name="_Hlk219301917"/>
      <w:r w:rsidR="007516CC">
        <w:t>Number and p</w:t>
      </w:r>
      <w:r w:rsidRPr="002F5F97">
        <w:t>ercentage of entities making 95</w:t>
      </w:r>
      <w:r w:rsidR="000063A2">
        <w:t> </w:t>
      </w:r>
      <w:r w:rsidRPr="002F5F97">
        <w:t>per</w:t>
      </w:r>
      <w:r w:rsidR="000063A2">
        <w:t> </w:t>
      </w:r>
      <w:r w:rsidRPr="002F5F97">
        <w:t xml:space="preserve">cent </w:t>
      </w:r>
      <w:bookmarkEnd w:id="22"/>
      <w:r w:rsidRPr="002F5F97">
        <w:t>of payments in 30</w:t>
      </w:r>
      <w:r w:rsidR="000063A2">
        <w:t> </w:t>
      </w:r>
      <w:r w:rsidRPr="002F5F97">
        <w:t>days or less, 31</w:t>
      </w:r>
      <w:r w:rsidR="000063A2">
        <w:t>–</w:t>
      </w:r>
      <w:r w:rsidRPr="002F5F97">
        <w:t>60 days and more than 60</w:t>
      </w:r>
      <w:r w:rsidR="000063A2">
        <w:t> </w:t>
      </w:r>
      <w:r w:rsidRPr="002F5F97">
        <w:t>days</w:t>
      </w:r>
    </w:p>
    <w:p w14:paraId="1F695AE7" w14:textId="6BA3787B" w:rsidR="00777BCD" w:rsidRPr="002F5F97" w:rsidRDefault="00777BCD" w:rsidP="000063A2">
      <w:pPr>
        <w:pStyle w:val="ChartGraphic"/>
        <w:spacing w:before="120"/>
        <w:rPr>
          <w:lang w:eastAsia="en-AU"/>
        </w:rPr>
      </w:pPr>
      <w:r>
        <w:rPr>
          <w:noProof/>
        </w:rPr>
        <w:drawing>
          <wp:inline distT="0" distB="0" distL="0" distR="0" wp14:anchorId="7951EAEF" wp14:editId="5FD9C8FA">
            <wp:extent cx="5143500" cy="1219200"/>
            <wp:effectExtent l="0" t="0" r="0" b="0"/>
            <wp:docPr id="1578677665" name="Graphic 1" descr="This horizontal bar chart shows the proportion of entities paying 95% of invoices in different time bands:&#10;• 15.1% (468 entities) paid in 30 days or less.&#10;• 47.7% (1477 entities) paid in 31 to 60 days.&#10;• 37.2% (1153 entities) paid in more than 6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77665" name="Graphic 1" descr="This horizontal bar chart shows the proportion of entities paying 95% of invoices in different time bands:&#10;• 15.1% (468 entities) paid in 30 days or less.&#10;• 47.7% (1477 entities) paid in 31 to 60 days.&#10;• 37.2% (1153 entities) paid in more than 60 days."/>
                    <pic:cNvPicPr/>
                  </pic:nvPicPr>
                  <pic:blipFill>
                    <a:blip r:embed="rId70">
                      <a:extLst>
                        <a:ext uri="{96DAC541-7B7A-43D3-8B79-37D633B846F1}">
                          <asvg:svgBlip xmlns:asvg="http://schemas.microsoft.com/office/drawing/2016/SVG/main" r:embed="rId71"/>
                        </a:ext>
                      </a:extLst>
                    </a:blip>
                    <a:stretch>
                      <a:fillRect/>
                    </a:stretch>
                  </pic:blipFill>
                  <pic:spPr>
                    <a:xfrm>
                      <a:off x="0" y="0"/>
                      <a:ext cx="5143500" cy="1219200"/>
                    </a:xfrm>
                    <a:prstGeom prst="rect">
                      <a:avLst/>
                    </a:prstGeom>
                  </pic:spPr>
                </pic:pic>
              </a:graphicData>
            </a:graphic>
          </wp:inline>
        </w:drawing>
      </w:r>
    </w:p>
    <w:p w14:paraId="7AE15D41" w14:textId="76B726FD" w:rsidR="008B3F52" w:rsidRPr="002F5F97" w:rsidRDefault="008B3F52" w:rsidP="008B3F52">
      <w:pPr>
        <w:rPr>
          <w:lang w:eastAsia="en-AU"/>
        </w:rPr>
      </w:pPr>
      <w:r w:rsidRPr="002F5F97">
        <w:rPr>
          <w:lang w:eastAsia="en-AU"/>
        </w:rPr>
        <w:t xml:space="preserve">Both the </w:t>
      </w:r>
      <w:r w:rsidR="005646EB">
        <w:rPr>
          <w:b/>
          <w:bCs/>
          <w:lang w:eastAsia="en-AU"/>
        </w:rPr>
        <w:t>M</w:t>
      </w:r>
      <w:r w:rsidRPr="002F5F97">
        <w:rPr>
          <w:b/>
          <w:bCs/>
          <w:lang w:eastAsia="en-AU"/>
        </w:rPr>
        <w:t>ining</w:t>
      </w:r>
      <w:r w:rsidRPr="002F5F97">
        <w:rPr>
          <w:b/>
          <w:lang w:eastAsia="en-AU"/>
        </w:rPr>
        <w:t xml:space="preserve"> </w:t>
      </w:r>
      <w:r>
        <w:rPr>
          <w:lang w:eastAsia="en-AU"/>
        </w:rPr>
        <w:t xml:space="preserve">and </w:t>
      </w:r>
      <w:r w:rsidR="00697F98">
        <w:rPr>
          <w:bCs/>
          <w:lang w:eastAsia="en-AU"/>
        </w:rPr>
        <w:t xml:space="preserve">the </w:t>
      </w:r>
      <w:r w:rsidR="005646EB">
        <w:rPr>
          <w:b/>
          <w:bCs/>
          <w:lang w:eastAsia="en-AU"/>
        </w:rPr>
        <w:t>I</w:t>
      </w:r>
      <w:r w:rsidRPr="002F5F97">
        <w:rPr>
          <w:b/>
          <w:bCs/>
          <w:lang w:eastAsia="en-AU"/>
        </w:rPr>
        <w:t xml:space="preserve">nformation </w:t>
      </w:r>
      <w:r w:rsidR="005646EB">
        <w:rPr>
          <w:b/>
          <w:bCs/>
          <w:lang w:eastAsia="en-AU"/>
        </w:rPr>
        <w:t>M</w:t>
      </w:r>
      <w:r w:rsidRPr="002F5F97">
        <w:rPr>
          <w:b/>
          <w:bCs/>
          <w:lang w:eastAsia="en-AU"/>
        </w:rPr>
        <w:t>edia</w:t>
      </w:r>
      <w:r w:rsidRPr="002F5F97">
        <w:rPr>
          <w:b/>
          <w:lang w:eastAsia="en-AU"/>
        </w:rPr>
        <w:t xml:space="preserve"> and </w:t>
      </w:r>
      <w:r w:rsidR="005646EB">
        <w:rPr>
          <w:b/>
          <w:bCs/>
          <w:lang w:eastAsia="en-AU"/>
        </w:rPr>
        <w:t>T</w:t>
      </w:r>
      <w:r w:rsidRPr="002F5F97">
        <w:rPr>
          <w:b/>
          <w:bCs/>
          <w:lang w:eastAsia="en-AU"/>
        </w:rPr>
        <w:t>elecommunications</w:t>
      </w:r>
      <w:r w:rsidRPr="002F5F97">
        <w:rPr>
          <w:b/>
          <w:lang w:eastAsia="en-AU"/>
        </w:rPr>
        <w:t xml:space="preserve"> </w:t>
      </w:r>
      <w:r w:rsidRPr="002F5F97">
        <w:rPr>
          <w:lang w:eastAsia="en-AU"/>
        </w:rPr>
        <w:t>industries reported offering small businesses average common payment terms of 32 and 29</w:t>
      </w:r>
      <w:r w:rsidR="00400DA0">
        <w:rPr>
          <w:lang w:eastAsia="en-AU"/>
        </w:rPr>
        <w:t> </w:t>
      </w:r>
      <w:r w:rsidRPr="002F5F97">
        <w:rPr>
          <w:lang w:eastAsia="en-AU"/>
        </w:rPr>
        <w:t>days respectively. Their average payment times were 30 and 24.7</w:t>
      </w:r>
      <w:r w:rsidR="00400DA0">
        <w:rPr>
          <w:lang w:eastAsia="en-AU"/>
        </w:rPr>
        <w:t> </w:t>
      </w:r>
      <w:r w:rsidRPr="002F5F97">
        <w:rPr>
          <w:lang w:eastAsia="en-AU"/>
        </w:rPr>
        <w:t xml:space="preserve">days respectively, suggesting payments are generally made within agreed terms. </w:t>
      </w:r>
    </w:p>
    <w:p w14:paraId="32C37283" w14:textId="1BCBAB14" w:rsidR="008B3F52" w:rsidRPr="002F5F97" w:rsidRDefault="008B3F52" w:rsidP="008B3F52">
      <w:pPr>
        <w:rPr>
          <w:lang w:eastAsia="en-AU"/>
        </w:rPr>
      </w:pPr>
      <w:r w:rsidRPr="002F5F97">
        <w:rPr>
          <w:lang w:eastAsia="en-AU"/>
        </w:rPr>
        <w:t>However, despite both industries offering terms of around 30 days, 95</w:t>
      </w:r>
      <w:r w:rsidR="00380508">
        <w:rPr>
          <w:lang w:eastAsia="en-AU"/>
        </w:rPr>
        <w:t> </w:t>
      </w:r>
      <w:r w:rsidRPr="002F5F97">
        <w:rPr>
          <w:lang w:eastAsia="en-AU"/>
        </w:rPr>
        <w:t>per</w:t>
      </w:r>
      <w:r w:rsidR="00380508">
        <w:rPr>
          <w:lang w:eastAsia="en-AU"/>
        </w:rPr>
        <w:t> </w:t>
      </w:r>
      <w:r w:rsidRPr="002F5F97">
        <w:rPr>
          <w:lang w:eastAsia="en-AU"/>
        </w:rPr>
        <w:t>cent of small business invoices were paid in 70</w:t>
      </w:r>
      <w:r w:rsidR="00400DA0">
        <w:rPr>
          <w:lang w:eastAsia="en-AU"/>
        </w:rPr>
        <w:t> </w:t>
      </w:r>
      <w:r w:rsidRPr="002F5F97">
        <w:rPr>
          <w:lang w:eastAsia="en-AU"/>
        </w:rPr>
        <w:t>days and 67</w:t>
      </w:r>
      <w:r w:rsidR="00400DA0">
        <w:rPr>
          <w:lang w:eastAsia="en-AU"/>
        </w:rPr>
        <w:t> </w:t>
      </w:r>
      <w:r w:rsidRPr="002F5F97">
        <w:rPr>
          <w:lang w:eastAsia="en-AU"/>
        </w:rPr>
        <w:t xml:space="preserve">days respectively, more than </w:t>
      </w:r>
      <w:r w:rsidR="001F3582">
        <w:rPr>
          <w:lang w:eastAsia="en-AU"/>
        </w:rPr>
        <w:t>3</w:t>
      </w:r>
      <w:r w:rsidRPr="002F5F97">
        <w:rPr>
          <w:lang w:eastAsia="en-AU"/>
        </w:rPr>
        <w:t xml:space="preserve"> times the agreed payment term.</w:t>
      </w:r>
    </w:p>
    <w:p w14:paraId="4D60AD3D" w14:textId="0F0CD4A6" w:rsidR="004066D2" w:rsidRPr="002F5F97" w:rsidRDefault="008B3F52" w:rsidP="008B3F52">
      <w:pPr>
        <w:rPr>
          <w:lang w:eastAsia="en-AU"/>
        </w:rPr>
      </w:pPr>
      <w:r w:rsidRPr="002F5F97">
        <w:rPr>
          <w:lang w:eastAsia="en-AU"/>
        </w:rPr>
        <w:t>These extended payment periods can create significant cash flow challenges and increase costs for small business suppliers.</w:t>
      </w:r>
    </w:p>
    <w:p w14:paraId="3FB16DE3" w14:textId="305A11BF" w:rsidR="00B03B7B" w:rsidRPr="002F5F97" w:rsidRDefault="00887B7D" w:rsidP="00F37B18">
      <w:pPr>
        <w:pStyle w:val="ChartMainHeading"/>
        <w:jc w:val="left"/>
      </w:pPr>
      <w:r w:rsidRPr="002F5F97">
        <w:t>Figure 8: Average payment terms and times for reported data, Reporting</w:t>
      </w:r>
      <w:r w:rsidR="00F37B18">
        <w:t> </w:t>
      </w:r>
      <w:r w:rsidRPr="002F5F97">
        <w:t>Cycle 9 (for all industries</w:t>
      </w:r>
      <w:r w:rsidR="001F3582">
        <w:t>,</w:t>
      </w:r>
      <w:r w:rsidRPr="002F5F97">
        <w:t xml:space="preserve"> see Table 9, Appendix B)</w:t>
      </w:r>
    </w:p>
    <w:p w14:paraId="56B3B767" w14:textId="1CE9B4B2" w:rsidR="00A8030F" w:rsidRPr="002F5F97" w:rsidRDefault="00FF30DD" w:rsidP="00F37B18">
      <w:pPr>
        <w:pStyle w:val="ChartGraphic"/>
        <w:spacing w:before="120"/>
        <w:rPr>
          <w:lang w:eastAsia="en-AU"/>
        </w:rPr>
      </w:pPr>
      <w:r w:rsidRPr="002F5F97">
        <w:rPr>
          <w:noProof/>
        </w:rPr>
        <w:drawing>
          <wp:inline distT="0" distB="0" distL="0" distR="0" wp14:anchorId="7FD607B8" wp14:editId="7520C966">
            <wp:extent cx="5398264" cy="1821179"/>
            <wp:effectExtent l="0" t="0" r="0" b="8255"/>
            <wp:docPr id="110891916" name="Picture 317488112" descr="A timeline graphic showing the average payment terms and payment times of reported data. Key points are:&#10;• Good and services provided by small business on: Day 0.&#10;• Average payment time: 27.4 days.&#10;• Average common payment term: 29 days.&#10;• 95 per cent of invoices paid in: 64 days.&#10;A note highlights that working capital may be reduced by up to 35 days when payment exceeds payment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1916" name="Picture 317488112" descr="A timeline graphic showing the average payment terms and payment times of reported data. Key points are:&#10;• Good and services provided by small business on: Day 0.&#10;• Average payment time: 27.4 days.&#10;• Average common payment term: 29 days.&#10;• 95 per cent of invoices paid in: 64 days.&#10;A note highlights that working capital may be reduced by up to 35 days when payment exceeds payment terms. "/>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98264" cy="1821179"/>
                    </a:xfrm>
                    <a:prstGeom prst="rect">
                      <a:avLst/>
                    </a:prstGeom>
                  </pic:spPr>
                </pic:pic>
              </a:graphicData>
            </a:graphic>
          </wp:inline>
        </w:drawing>
      </w:r>
    </w:p>
    <w:p w14:paraId="7FAB08EE" w14:textId="71C9D92E" w:rsidR="00445314" w:rsidRPr="002F5F97" w:rsidRDefault="00445314">
      <w:pPr>
        <w:spacing w:before="0" w:after="160" w:line="259" w:lineRule="auto"/>
        <w:rPr>
          <w:lang w:eastAsia="en-AU"/>
        </w:rPr>
      </w:pPr>
      <w:r w:rsidRPr="002F5F97">
        <w:rPr>
          <w:lang w:eastAsia="en-AU"/>
        </w:rPr>
        <w:br w:type="page"/>
      </w:r>
    </w:p>
    <w:p w14:paraId="2C8BC5AD" w14:textId="542377CB" w:rsidR="0079798E" w:rsidRPr="002F5F97" w:rsidRDefault="00F76DC7" w:rsidP="00013FDF">
      <w:pPr>
        <w:pStyle w:val="Heading2"/>
      </w:pPr>
      <w:r w:rsidRPr="002F5F97">
        <w:lastRenderedPageBreak/>
        <w:t>Commonwealth entities</w:t>
      </w:r>
    </w:p>
    <w:p w14:paraId="04752D79" w14:textId="748E090B" w:rsidR="00B84024" w:rsidRPr="002F5F97" w:rsidRDefault="00B84024" w:rsidP="00B84024">
      <w:r w:rsidRPr="002F5F97">
        <w:t>Generally speaking, the Act applies to large businesses and some Commonwealth entities, with annual consolidated revenue more than $100</w:t>
      </w:r>
      <w:r w:rsidR="006F1E69">
        <w:t> </w:t>
      </w:r>
      <w:r w:rsidRPr="002F5F97">
        <w:t>million, hav</w:t>
      </w:r>
      <w:r w:rsidR="00817E5F">
        <w:t>ing</w:t>
      </w:r>
      <w:r w:rsidRPr="002F5F97">
        <w:t xml:space="preserve"> a connection to</w:t>
      </w:r>
      <w:r w:rsidR="006F1E69">
        <w:t> </w:t>
      </w:r>
      <w:r w:rsidRPr="002F5F97">
        <w:t xml:space="preserve">Australia and not registered as a charity under the </w:t>
      </w:r>
      <w:r w:rsidRPr="002F5F97">
        <w:rPr>
          <w:i/>
        </w:rPr>
        <w:t>Australian Charities and Not</w:t>
      </w:r>
      <w:r w:rsidR="005D0129">
        <w:rPr>
          <w:i/>
        </w:rPr>
        <w:noBreakHyphen/>
      </w:r>
      <w:r w:rsidRPr="002F5F97">
        <w:rPr>
          <w:i/>
        </w:rPr>
        <w:t>for</w:t>
      </w:r>
      <w:r w:rsidR="005D0129">
        <w:rPr>
          <w:i/>
        </w:rPr>
        <w:noBreakHyphen/>
      </w:r>
      <w:r w:rsidRPr="002F5F97">
        <w:rPr>
          <w:i/>
        </w:rPr>
        <w:t>profit Commission Act 2012</w:t>
      </w:r>
      <w:r w:rsidRPr="002F5F97">
        <w:t>.</w:t>
      </w:r>
    </w:p>
    <w:p w14:paraId="1E5E3029" w14:textId="05FAE105" w:rsidR="00B84024" w:rsidRPr="002F5F97" w:rsidRDefault="00B84024" w:rsidP="00B84024">
      <w:r w:rsidRPr="002F5F97">
        <w:t xml:space="preserve">A Commonwealth entity is considered a reporting entity if it is a Corporate Commonwealth entity or a Commonwealth company as defined </w:t>
      </w:r>
      <w:r w:rsidR="005B49DF">
        <w:t>in</w:t>
      </w:r>
      <w:r w:rsidRPr="002F5F97">
        <w:t xml:space="preserve"> the </w:t>
      </w:r>
      <w:r w:rsidRPr="002F5F97">
        <w:rPr>
          <w:i/>
        </w:rPr>
        <w:t>Public Governance, Performance and Accountability Act 2013</w:t>
      </w:r>
      <w:r w:rsidRPr="002F5F97">
        <w:t xml:space="preserve"> and </w:t>
      </w:r>
      <w:r w:rsidR="00677A9B">
        <w:t xml:space="preserve">it </w:t>
      </w:r>
      <w:r w:rsidRPr="002F5F97">
        <w:t>meets the definition of reporting entity in section 7 of the Act.</w:t>
      </w:r>
    </w:p>
    <w:p w14:paraId="768E87C2" w14:textId="110A52F5" w:rsidR="00013FDF" w:rsidRPr="002F5F97" w:rsidRDefault="009059A1" w:rsidP="0079798E">
      <w:r w:rsidRPr="002F5F97">
        <w:t>In</w:t>
      </w:r>
      <w:r w:rsidR="00B84024" w:rsidRPr="002F5F97">
        <w:t xml:space="preserve"> Reporting Cycle 9, of the 91</w:t>
      </w:r>
      <w:r w:rsidR="008B7DF7">
        <w:t> </w:t>
      </w:r>
      <w:r w:rsidR="005B49DF">
        <w:t>C</w:t>
      </w:r>
      <w:r w:rsidR="00B84024" w:rsidRPr="002F5F97">
        <w:t>orporate Commonwealth entities and Commonwealth companies</w:t>
      </w:r>
      <w:r w:rsidR="006810FB">
        <w:t>,</w:t>
      </w:r>
      <w:r w:rsidR="00795966" w:rsidRPr="002F5F97">
        <w:rPr>
          <w:rStyle w:val="FootnoteReference"/>
        </w:rPr>
        <w:footnoteReference w:id="2"/>
      </w:r>
      <w:r w:rsidR="00B84024" w:rsidRPr="002F5F97">
        <w:t xml:space="preserve"> 35 had reporting obligations under the Scheme. All 35</w:t>
      </w:r>
      <w:r w:rsidR="008B7DF7">
        <w:t> </w:t>
      </w:r>
      <w:r w:rsidR="00B84024" w:rsidRPr="002F5F97">
        <w:t>entities, comprising 29</w:t>
      </w:r>
      <w:r w:rsidRPr="002F5F97">
        <w:t> </w:t>
      </w:r>
      <w:r w:rsidR="006810FB">
        <w:t>C</w:t>
      </w:r>
      <w:r w:rsidR="00B84024" w:rsidRPr="002F5F97">
        <w:t>orporate Commonwealth entities and 6 Commonwealth companies submitted a payment times report to the Regulator during this cycle.</w:t>
      </w:r>
    </w:p>
    <w:p w14:paraId="574F86F7" w14:textId="4E38B50D" w:rsidR="00886C86" w:rsidRPr="002F5F97" w:rsidRDefault="00886C86" w:rsidP="00886C86">
      <w:pPr>
        <w:pStyle w:val="Heading3"/>
        <w:rPr>
          <w:rFonts w:cs="Times New Roman"/>
          <w:iCs/>
          <w:color w:val="auto"/>
          <w:kern w:val="0"/>
          <w:sz w:val="22"/>
          <w:szCs w:val="20"/>
        </w:rPr>
      </w:pPr>
      <w:r w:rsidRPr="002F5F97">
        <w:t>Commonwealth entities perform better than the average</w:t>
      </w:r>
      <w:r w:rsidR="0009204A" w:rsidRPr="002F5F97">
        <w:t>,</w:t>
      </w:r>
      <w:r w:rsidRPr="002F5F97">
        <w:t xml:space="preserve"> but there is still room for improvement</w:t>
      </w:r>
    </w:p>
    <w:p w14:paraId="2F38B89B" w14:textId="22508468" w:rsidR="00EC2684" w:rsidRPr="002F5F97" w:rsidRDefault="00EC2684" w:rsidP="00EC2684">
      <w:r w:rsidRPr="002F5F97">
        <w:t>Commonwealth entities reported offering small business suppliers an average common payment term of 19.6</w:t>
      </w:r>
      <w:r w:rsidR="00556EAB">
        <w:t> </w:t>
      </w:r>
      <w:r w:rsidRPr="002F5F97">
        <w:t>days, well under the all</w:t>
      </w:r>
      <w:r w:rsidR="005D0129">
        <w:noBreakHyphen/>
      </w:r>
      <w:r w:rsidRPr="002F5F97">
        <w:t>industry average of 29</w:t>
      </w:r>
      <w:r w:rsidR="00556EAB">
        <w:t> </w:t>
      </w:r>
      <w:r w:rsidRPr="002F5F97">
        <w:t xml:space="preserve">days. Commonwealth entities also performed better </w:t>
      </w:r>
      <w:r w:rsidR="00C10586">
        <w:t>with</w:t>
      </w:r>
      <w:r w:rsidRPr="002F5F97">
        <w:t xml:space="preserve"> payment times, with </w:t>
      </w:r>
      <w:r w:rsidR="00CC369E">
        <w:t xml:space="preserve">an </w:t>
      </w:r>
      <w:r w:rsidRPr="002F5F97">
        <w:t>average of 16.4</w:t>
      </w:r>
      <w:r w:rsidR="00556EAB">
        <w:t> </w:t>
      </w:r>
      <w:r w:rsidRPr="002F5F97">
        <w:t>days, 11.0</w:t>
      </w:r>
      <w:r w:rsidR="00556EAB">
        <w:t> </w:t>
      </w:r>
      <w:r w:rsidRPr="002F5F97">
        <w:t>days less than the all</w:t>
      </w:r>
      <w:r w:rsidR="005D0129">
        <w:noBreakHyphen/>
      </w:r>
      <w:r w:rsidRPr="002F5F97">
        <w:t xml:space="preserve">industry average </w:t>
      </w:r>
      <w:r w:rsidR="009E538A">
        <w:t xml:space="preserve">payment time </w:t>
      </w:r>
      <w:r w:rsidRPr="002F5F97">
        <w:t>of 27.4</w:t>
      </w:r>
      <w:r w:rsidR="00556EAB">
        <w:t> </w:t>
      </w:r>
      <w:r w:rsidRPr="002F5F97">
        <w:t>days.</w:t>
      </w:r>
    </w:p>
    <w:p w14:paraId="20F98C52" w14:textId="4CEC6737" w:rsidR="00886C86" w:rsidRPr="002F5F97" w:rsidRDefault="00EC2684" w:rsidP="00886C86">
      <w:r w:rsidRPr="002F5F97">
        <w:t xml:space="preserve">Despite offering </w:t>
      </w:r>
      <w:r w:rsidR="00A1555E">
        <w:t xml:space="preserve">a common </w:t>
      </w:r>
      <w:r w:rsidRPr="002F5F97">
        <w:t>payment term of 19.6</w:t>
      </w:r>
      <w:r w:rsidR="00556EAB">
        <w:t> </w:t>
      </w:r>
      <w:r w:rsidRPr="002F5F97">
        <w:t>days, Commonwealth entities still took an average of 40</w:t>
      </w:r>
      <w:r w:rsidR="00BC392A">
        <w:t> </w:t>
      </w:r>
      <w:r w:rsidRPr="002F5F97">
        <w:t>days to pay 95</w:t>
      </w:r>
      <w:r w:rsidR="00556EAB">
        <w:t> </w:t>
      </w:r>
      <w:r w:rsidRPr="002F5F97">
        <w:t>per</w:t>
      </w:r>
      <w:r w:rsidR="00556EAB">
        <w:t> </w:t>
      </w:r>
      <w:r w:rsidRPr="002F5F97">
        <w:t>cent of their small business supplier invoices.</w:t>
      </w:r>
    </w:p>
    <w:p w14:paraId="05443B02" w14:textId="5FE928ED" w:rsidR="003F53CA" w:rsidRPr="002F5F97" w:rsidRDefault="00463889" w:rsidP="00556EAB">
      <w:pPr>
        <w:pStyle w:val="ChartMainHeading"/>
        <w:jc w:val="left"/>
      </w:pPr>
      <w:r w:rsidRPr="002F5F97">
        <w:t>Figure 9: Key metrics for Commonwealth entities</w:t>
      </w:r>
    </w:p>
    <w:p w14:paraId="519A9733" w14:textId="65191F31" w:rsidR="0068456A" w:rsidRPr="002F5F97" w:rsidRDefault="00353C2A" w:rsidP="00353C2A">
      <w:pPr>
        <w:pStyle w:val="ChartGraphic"/>
        <w:spacing w:before="120"/>
        <w:rPr>
          <w:lang w:eastAsia="en-AU"/>
        </w:rPr>
      </w:pPr>
      <w:r>
        <w:rPr>
          <w:noProof/>
        </w:rPr>
        <w:drawing>
          <wp:inline distT="0" distB="0" distL="0" distR="0" wp14:anchorId="21566C44" wp14:editId="199FEA6D">
            <wp:extent cx="5400040" cy="1679575"/>
            <wp:effectExtent l="0" t="0" r="0" b="0"/>
            <wp:docPr id="1381077745" name="Picture 2" descr="A graphic showing key metrics for commonwealth entities. They are:&#10;• Common Payment Terms: 19.6 days&#10;• Average Payment Times: 16.4 days&#10;• 95% payments made: 40 days&#10;• Payments made on tim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77745" name="Picture 2" descr="A graphic showing key metrics for commonwealth entities. They are:&#10;• Common Payment Terms: 19.6 days&#10;• Average Payment Times: 16.4 days&#10;• 95% payments made: 40 days&#10;• Payments made on time: 74.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00040" cy="1679575"/>
                    </a:xfrm>
                    <a:prstGeom prst="rect">
                      <a:avLst/>
                    </a:prstGeom>
                  </pic:spPr>
                </pic:pic>
              </a:graphicData>
            </a:graphic>
          </wp:inline>
        </w:drawing>
      </w:r>
    </w:p>
    <w:p w14:paraId="7C248AB5" w14:textId="77777777" w:rsidR="006D630B" w:rsidRDefault="006D630B">
      <w:pPr>
        <w:spacing w:before="0" w:after="160" w:line="259" w:lineRule="auto"/>
        <w:rPr>
          <w:lang w:eastAsia="en-AU"/>
        </w:rPr>
      </w:pPr>
    </w:p>
    <w:p w14:paraId="0D26C3EE" w14:textId="77777777" w:rsidR="006D630B" w:rsidRDefault="006D630B">
      <w:pPr>
        <w:spacing w:before="0" w:after="160" w:line="259" w:lineRule="auto"/>
        <w:rPr>
          <w:lang w:eastAsia="en-AU"/>
        </w:rPr>
        <w:sectPr w:rsidR="006D630B" w:rsidSect="00AC50A8">
          <w:headerReference w:type="even" r:id="rId74"/>
          <w:headerReference w:type="default" r:id="rId75"/>
          <w:footerReference w:type="even" r:id="rId76"/>
          <w:footerReference w:type="default" r:id="rId77"/>
          <w:headerReference w:type="first" r:id="rId78"/>
          <w:footerReference w:type="first" r:id="rId79"/>
          <w:pgSz w:w="11906" w:h="16838" w:code="9"/>
          <w:pgMar w:top="1418" w:right="1701" w:bottom="1418" w:left="1701" w:header="709" w:footer="709" w:gutter="0"/>
          <w:cols w:space="708"/>
          <w:titlePg/>
          <w:docGrid w:linePitch="360"/>
        </w:sectPr>
      </w:pPr>
    </w:p>
    <w:p w14:paraId="1E35B7D6" w14:textId="4BAAC3D0" w:rsidR="00FE2DF8" w:rsidRPr="002F5F97" w:rsidRDefault="009B5EA4" w:rsidP="0068456A">
      <w:pPr>
        <w:pStyle w:val="TableMainHeading"/>
      </w:pPr>
      <w:r w:rsidRPr="002F5F97">
        <w:lastRenderedPageBreak/>
        <w:t>Table 2: Commonwealth reporting entities key metrics, Reporting Cycle 9</w:t>
      </w:r>
    </w:p>
    <w:tbl>
      <w:tblPr>
        <w:tblW w:w="5000" w:type="pct"/>
        <w:tblLayout w:type="fixed"/>
        <w:tblLook w:val="04A0" w:firstRow="1" w:lastRow="0" w:firstColumn="1" w:lastColumn="0" w:noHBand="0" w:noVBand="1"/>
      </w:tblPr>
      <w:tblGrid>
        <w:gridCol w:w="1412"/>
        <w:gridCol w:w="5362"/>
        <w:gridCol w:w="1873"/>
        <w:gridCol w:w="1741"/>
        <w:gridCol w:w="1807"/>
        <w:gridCol w:w="1807"/>
      </w:tblGrid>
      <w:tr w:rsidR="00CB1407" w:rsidRPr="005D0129" w14:paraId="3ADE9B82" w14:textId="77777777" w:rsidTr="00CB1407">
        <w:trPr>
          <w:trHeight w:val="737"/>
        </w:trPr>
        <w:tc>
          <w:tcPr>
            <w:tcW w:w="1412" w:type="dxa"/>
            <w:tcBorders>
              <w:top w:val="nil"/>
              <w:left w:val="nil"/>
              <w:bottom w:val="nil"/>
              <w:right w:val="nil"/>
            </w:tcBorders>
            <w:shd w:val="clear" w:color="auto" w:fill="A6A6A6" w:themeFill="background1" w:themeFillShade="A6"/>
            <w:tcMar>
              <w:top w:w="108" w:type="dxa"/>
              <w:bottom w:w="108" w:type="dxa"/>
            </w:tcMar>
            <w:vAlign w:val="bottom"/>
          </w:tcPr>
          <w:p w14:paraId="17968C26" w14:textId="6250CA6E" w:rsidR="000D5750" w:rsidRPr="005D0129" w:rsidRDefault="000D5750" w:rsidP="00FD400C">
            <w:pPr>
              <w:pStyle w:val="TableColumnHeadingLeft"/>
            </w:pPr>
            <w:proofErr w:type="spellStart"/>
            <w:r w:rsidRPr="005D0129">
              <w:t>Cth</w:t>
            </w:r>
            <w:proofErr w:type="spellEnd"/>
            <w:r w:rsidRPr="005D0129">
              <w:t xml:space="preserve"> entity type</w:t>
            </w:r>
          </w:p>
        </w:tc>
        <w:tc>
          <w:tcPr>
            <w:tcW w:w="5362" w:type="dxa"/>
            <w:tcBorders>
              <w:top w:val="nil"/>
              <w:left w:val="nil"/>
              <w:bottom w:val="nil"/>
              <w:right w:val="nil"/>
            </w:tcBorders>
            <w:shd w:val="clear" w:color="auto" w:fill="A6A6A6" w:themeFill="background1" w:themeFillShade="A6"/>
            <w:tcMar>
              <w:top w:w="108" w:type="dxa"/>
              <w:bottom w:w="108" w:type="dxa"/>
            </w:tcMar>
            <w:vAlign w:val="bottom"/>
            <w:hideMark/>
          </w:tcPr>
          <w:p w14:paraId="058B4D6C" w14:textId="1BCD0D4B" w:rsidR="000D5750" w:rsidRPr="005D0129" w:rsidRDefault="000D5750" w:rsidP="00FD400C">
            <w:pPr>
              <w:pStyle w:val="TableColumnHeadingLeft"/>
            </w:pPr>
            <w:r w:rsidRPr="005D0129">
              <w:t xml:space="preserve">Commonwealth </w:t>
            </w:r>
            <w:r w:rsidR="0051625B">
              <w:t>e</w:t>
            </w:r>
            <w:r w:rsidRPr="005D0129">
              <w:t>ntit</w:t>
            </w:r>
            <w:r w:rsidR="00097DFA" w:rsidRPr="005D0129">
              <w:t>y name</w:t>
            </w:r>
            <w:r w:rsidR="00FD400C" w:rsidRPr="005D0129">
              <w:br/>
              <w:t>in alphabetical order</w:t>
            </w:r>
          </w:p>
        </w:tc>
        <w:tc>
          <w:tcPr>
            <w:tcW w:w="1873" w:type="dxa"/>
            <w:tcBorders>
              <w:top w:val="nil"/>
              <w:left w:val="nil"/>
              <w:bottom w:val="nil"/>
              <w:right w:val="nil"/>
            </w:tcBorders>
            <w:shd w:val="clear" w:color="auto" w:fill="A6A6A6" w:themeFill="background1" w:themeFillShade="A6"/>
            <w:tcMar>
              <w:top w:w="108" w:type="dxa"/>
              <w:bottom w:w="108" w:type="dxa"/>
            </w:tcMar>
            <w:vAlign w:val="bottom"/>
            <w:hideMark/>
          </w:tcPr>
          <w:p w14:paraId="4C25E3E0" w14:textId="608A3959" w:rsidR="000D5750" w:rsidRPr="005D0129" w:rsidRDefault="000D5750" w:rsidP="00FD400C">
            <w:pPr>
              <w:pStyle w:val="TableColumnHeadingRight"/>
              <w:rPr>
                <w:color w:val="auto"/>
              </w:rPr>
            </w:pPr>
            <w:r w:rsidRPr="005D0129">
              <w:rPr>
                <w:color w:val="auto"/>
              </w:rPr>
              <w:t xml:space="preserve">Common </w:t>
            </w:r>
            <w:r w:rsidR="00C97A1D">
              <w:rPr>
                <w:color w:val="auto"/>
              </w:rPr>
              <w:t>p</w:t>
            </w:r>
            <w:r w:rsidRPr="005D0129">
              <w:rPr>
                <w:color w:val="auto"/>
              </w:rPr>
              <w:t xml:space="preserve">ayment </w:t>
            </w:r>
            <w:r w:rsidR="00C97A1D">
              <w:rPr>
                <w:color w:val="auto"/>
              </w:rPr>
              <w:t>t</w:t>
            </w:r>
            <w:r w:rsidRPr="005D0129">
              <w:rPr>
                <w:color w:val="auto"/>
              </w:rPr>
              <w:t>erm</w:t>
            </w:r>
            <w:r w:rsidR="00FD400C" w:rsidRPr="005D0129">
              <w:rPr>
                <w:color w:val="auto"/>
              </w:rPr>
              <w:t xml:space="preserve"> (days)</w:t>
            </w:r>
          </w:p>
        </w:tc>
        <w:tc>
          <w:tcPr>
            <w:tcW w:w="1741" w:type="dxa"/>
            <w:tcBorders>
              <w:top w:val="nil"/>
              <w:left w:val="nil"/>
              <w:bottom w:val="nil"/>
              <w:right w:val="nil"/>
            </w:tcBorders>
            <w:shd w:val="clear" w:color="auto" w:fill="A6A6A6" w:themeFill="background1" w:themeFillShade="A6"/>
            <w:tcMar>
              <w:top w:w="108" w:type="dxa"/>
              <w:bottom w:w="108" w:type="dxa"/>
            </w:tcMar>
            <w:vAlign w:val="bottom"/>
            <w:hideMark/>
          </w:tcPr>
          <w:p w14:paraId="64A3F8B1" w14:textId="3C2FE9A7" w:rsidR="000D5750" w:rsidRPr="005D0129" w:rsidRDefault="000D5750" w:rsidP="00FD400C">
            <w:pPr>
              <w:pStyle w:val="TableColumnHeadingRight"/>
              <w:rPr>
                <w:color w:val="auto"/>
              </w:rPr>
            </w:pPr>
            <w:r w:rsidRPr="005D0129">
              <w:rPr>
                <w:color w:val="auto"/>
              </w:rPr>
              <w:t>Average</w:t>
            </w:r>
            <w:r w:rsidR="00CB1407" w:rsidRPr="005D0129">
              <w:rPr>
                <w:color w:val="auto"/>
              </w:rPr>
              <w:t xml:space="preserve"> </w:t>
            </w:r>
            <w:r w:rsidR="00C97A1D">
              <w:rPr>
                <w:color w:val="auto"/>
              </w:rPr>
              <w:t>p</w:t>
            </w:r>
            <w:r w:rsidRPr="005D0129">
              <w:rPr>
                <w:color w:val="auto"/>
              </w:rPr>
              <w:t xml:space="preserve">ayment </w:t>
            </w:r>
            <w:r w:rsidR="00C97A1D">
              <w:rPr>
                <w:color w:val="auto"/>
              </w:rPr>
              <w:t>t</w:t>
            </w:r>
            <w:r w:rsidRPr="005D0129">
              <w:rPr>
                <w:color w:val="auto"/>
              </w:rPr>
              <w:t>ime</w:t>
            </w:r>
            <w:r w:rsidR="00FD400C" w:rsidRPr="005D0129">
              <w:rPr>
                <w:color w:val="auto"/>
              </w:rPr>
              <w:t xml:space="preserve"> (days)</w:t>
            </w:r>
            <w:r w:rsidRPr="005D0129">
              <w:rPr>
                <w:color w:val="auto"/>
              </w:rPr>
              <w:t xml:space="preserve"> </w:t>
            </w:r>
          </w:p>
        </w:tc>
        <w:tc>
          <w:tcPr>
            <w:tcW w:w="1807" w:type="dxa"/>
            <w:tcBorders>
              <w:top w:val="nil"/>
              <w:left w:val="nil"/>
              <w:bottom w:val="nil"/>
              <w:right w:val="nil"/>
            </w:tcBorders>
            <w:shd w:val="clear" w:color="auto" w:fill="A6A6A6" w:themeFill="background1" w:themeFillShade="A6"/>
            <w:tcMar>
              <w:top w:w="108" w:type="dxa"/>
              <w:bottom w:w="108" w:type="dxa"/>
            </w:tcMar>
            <w:vAlign w:val="bottom"/>
            <w:hideMark/>
          </w:tcPr>
          <w:p w14:paraId="018882DC" w14:textId="4290D4F3" w:rsidR="000D5750" w:rsidRPr="005D0129" w:rsidRDefault="000D5750" w:rsidP="00FD400C">
            <w:pPr>
              <w:pStyle w:val="TableColumnHeadingRight"/>
              <w:rPr>
                <w:color w:val="auto"/>
              </w:rPr>
            </w:pPr>
            <w:r w:rsidRPr="005D0129">
              <w:rPr>
                <w:color w:val="auto"/>
              </w:rPr>
              <w:t xml:space="preserve">95th </w:t>
            </w:r>
            <w:r w:rsidR="00C97A1D">
              <w:rPr>
                <w:color w:val="auto"/>
              </w:rPr>
              <w:t>p</w:t>
            </w:r>
            <w:r w:rsidRPr="005D0129">
              <w:rPr>
                <w:color w:val="auto"/>
              </w:rPr>
              <w:t xml:space="preserve">ercentile </w:t>
            </w:r>
            <w:r w:rsidR="00C97A1D">
              <w:rPr>
                <w:color w:val="auto"/>
              </w:rPr>
              <w:t>p</w:t>
            </w:r>
            <w:r w:rsidRPr="005D0129">
              <w:rPr>
                <w:color w:val="auto"/>
              </w:rPr>
              <w:t xml:space="preserve">ayment </w:t>
            </w:r>
            <w:r w:rsidR="009F531B">
              <w:rPr>
                <w:color w:val="auto"/>
              </w:rPr>
              <w:t>t</w:t>
            </w:r>
            <w:r w:rsidRPr="005D0129">
              <w:rPr>
                <w:color w:val="auto"/>
              </w:rPr>
              <w:t>ime</w:t>
            </w:r>
            <w:r w:rsidR="00FD400C" w:rsidRPr="005D0129">
              <w:rPr>
                <w:color w:val="auto"/>
              </w:rPr>
              <w:t xml:space="preserve"> (days)</w:t>
            </w:r>
          </w:p>
        </w:tc>
        <w:tc>
          <w:tcPr>
            <w:tcW w:w="1807" w:type="dxa"/>
            <w:tcBorders>
              <w:top w:val="nil"/>
              <w:left w:val="nil"/>
              <w:bottom w:val="nil"/>
              <w:right w:val="nil"/>
            </w:tcBorders>
            <w:shd w:val="clear" w:color="auto" w:fill="A6A6A6" w:themeFill="background1" w:themeFillShade="A6"/>
            <w:tcMar>
              <w:top w:w="108" w:type="dxa"/>
              <w:bottom w:w="108" w:type="dxa"/>
            </w:tcMar>
            <w:vAlign w:val="bottom"/>
            <w:hideMark/>
          </w:tcPr>
          <w:p w14:paraId="6D10DC41" w14:textId="4B55E978" w:rsidR="000D5750" w:rsidRPr="005D0129" w:rsidRDefault="00FF532E" w:rsidP="00FD400C">
            <w:pPr>
              <w:pStyle w:val="TableColumnHeadingRight"/>
              <w:rPr>
                <w:color w:val="auto"/>
              </w:rPr>
            </w:pPr>
            <w:r>
              <w:rPr>
                <w:color w:val="auto"/>
              </w:rPr>
              <w:t>Invoices p</w:t>
            </w:r>
            <w:r w:rsidR="000D5750" w:rsidRPr="005D0129">
              <w:rPr>
                <w:color w:val="auto"/>
              </w:rPr>
              <w:t>aid</w:t>
            </w:r>
            <w:r>
              <w:rPr>
                <w:color w:val="auto"/>
              </w:rPr>
              <w:br/>
            </w:r>
            <w:r w:rsidR="009F531B">
              <w:rPr>
                <w:color w:val="auto"/>
              </w:rPr>
              <w:t>on time</w:t>
            </w:r>
            <w:r w:rsidR="00C34581">
              <w:rPr>
                <w:color w:val="auto"/>
              </w:rPr>
              <w:br/>
            </w:r>
            <w:r w:rsidR="000D5750" w:rsidRPr="005D0129">
              <w:rPr>
                <w:color w:val="auto"/>
              </w:rPr>
              <w:t xml:space="preserve"> </w:t>
            </w:r>
            <w:r w:rsidR="00FD400C" w:rsidRPr="005D0129">
              <w:rPr>
                <w:color w:val="auto"/>
              </w:rPr>
              <w:t>(%)</w:t>
            </w:r>
          </w:p>
        </w:tc>
      </w:tr>
      <w:tr w:rsidR="00CB1407" w:rsidRPr="005D0129" w14:paraId="767F3FC1" w14:textId="77777777" w:rsidTr="00CB1407">
        <w:trPr>
          <w:trHeight w:hRule="exact" w:val="312"/>
        </w:trPr>
        <w:tc>
          <w:tcPr>
            <w:tcW w:w="1412" w:type="dxa"/>
            <w:tcBorders>
              <w:top w:val="nil"/>
              <w:left w:val="nil"/>
              <w:bottom w:val="nil"/>
              <w:right w:val="nil"/>
            </w:tcBorders>
            <w:vAlign w:val="center"/>
          </w:tcPr>
          <w:p w14:paraId="2CC45302"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02B148B3" w14:textId="77777777" w:rsidR="000D5750" w:rsidRPr="005D0129" w:rsidRDefault="000D5750" w:rsidP="00FD400C">
            <w:pPr>
              <w:pStyle w:val="TableTextLeft"/>
            </w:pPr>
            <w:r w:rsidRPr="005D0129">
              <w:t>Airservices Australia</w:t>
            </w:r>
          </w:p>
        </w:tc>
        <w:tc>
          <w:tcPr>
            <w:tcW w:w="1873" w:type="dxa"/>
            <w:tcBorders>
              <w:top w:val="nil"/>
              <w:left w:val="nil"/>
              <w:bottom w:val="nil"/>
              <w:right w:val="nil"/>
            </w:tcBorders>
            <w:noWrap/>
            <w:vAlign w:val="center"/>
            <w:hideMark/>
          </w:tcPr>
          <w:p w14:paraId="663EADC0" w14:textId="77777777" w:rsidR="000D5750" w:rsidRPr="005D0129" w:rsidRDefault="000D5750" w:rsidP="00FD400C">
            <w:pPr>
              <w:pStyle w:val="TableTextRight"/>
            </w:pPr>
            <w:r w:rsidRPr="005D0129">
              <w:t>20</w:t>
            </w:r>
          </w:p>
        </w:tc>
        <w:tc>
          <w:tcPr>
            <w:tcW w:w="1741" w:type="dxa"/>
            <w:tcBorders>
              <w:top w:val="nil"/>
              <w:left w:val="nil"/>
              <w:bottom w:val="nil"/>
              <w:right w:val="nil"/>
            </w:tcBorders>
            <w:noWrap/>
            <w:vAlign w:val="center"/>
            <w:hideMark/>
          </w:tcPr>
          <w:p w14:paraId="0D9C9DD6" w14:textId="77777777" w:rsidR="000D5750" w:rsidRPr="005D0129" w:rsidRDefault="000D5750" w:rsidP="00FD400C">
            <w:pPr>
              <w:pStyle w:val="TableTextRight"/>
            </w:pPr>
            <w:r w:rsidRPr="005D0129">
              <w:t>28.9</w:t>
            </w:r>
          </w:p>
        </w:tc>
        <w:tc>
          <w:tcPr>
            <w:tcW w:w="1807" w:type="dxa"/>
            <w:tcBorders>
              <w:top w:val="nil"/>
              <w:left w:val="nil"/>
              <w:bottom w:val="nil"/>
              <w:right w:val="nil"/>
            </w:tcBorders>
            <w:noWrap/>
            <w:vAlign w:val="center"/>
            <w:hideMark/>
          </w:tcPr>
          <w:p w14:paraId="4C5FC141" w14:textId="77777777" w:rsidR="000D5750" w:rsidRPr="005D0129" w:rsidRDefault="000D5750" w:rsidP="00FD400C">
            <w:pPr>
              <w:pStyle w:val="TableTextRight"/>
            </w:pPr>
            <w:r w:rsidRPr="005D0129">
              <w:t>72</w:t>
            </w:r>
          </w:p>
        </w:tc>
        <w:tc>
          <w:tcPr>
            <w:tcW w:w="1807" w:type="dxa"/>
            <w:tcBorders>
              <w:top w:val="nil"/>
              <w:left w:val="nil"/>
              <w:bottom w:val="nil"/>
              <w:right w:val="nil"/>
            </w:tcBorders>
            <w:noWrap/>
            <w:vAlign w:val="center"/>
            <w:hideMark/>
          </w:tcPr>
          <w:p w14:paraId="1085C264" w14:textId="77777777" w:rsidR="000D5750" w:rsidRPr="005D0129" w:rsidRDefault="000D5750" w:rsidP="00FD400C">
            <w:pPr>
              <w:pStyle w:val="TableTextRight"/>
            </w:pPr>
            <w:r w:rsidRPr="005D0129">
              <w:t>41.6%</w:t>
            </w:r>
          </w:p>
        </w:tc>
      </w:tr>
      <w:tr w:rsidR="00CB1407" w:rsidRPr="005D0129" w14:paraId="669C5AAE" w14:textId="77777777" w:rsidTr="00123FC2">
        <w:trPr>
          <w:trHeight w:hRule="exact" w:val="312"/>
        </w:trPr>
        <w:tc>
          <w:tcPr>
            <w:tcW w:w="1412" w:type="dxa"/>
            <w:tcBorders>
              <w:top w:val="nil"/>
              <w:left w:val="nil"/>
              <w:bottom w:val="nil"/>
              <w:right w:val="nil"/>
            </w:tcBorders>
            <w:shd w:val="clear" w:color="auto" w:fill="D9D9D9" w:themeFill="background1" w:themeFillShade="D9"/>
            <w:vAlign w:val="center"/>
          </w:tcPr>
          <w:p w14:paraId="0ABDCF9E" w14:textId="77777777" w:rsidR="000D5750" w:rsidRPr="005D0129" w:rsidRDefault="000D5750" w:rsidP="00FD400C">
            <w:pPr>
              <w:pStyle w:val="TableTextLeft"/>
              <w:rPr>
                <w:rFonts w:cs="Calibri"/>
              </w:rPr>
            </w:pPr>
            <w:r w:rsidRPr="005D0129">
              <w:t>CC</w:t>
            </w:r>
          </w:p>
        </w:tc>
        <w:tc>
          <w:tcPr>
            <w:tcW w:w="5362" w:type="dxa"/>
            <w:tcBorders>
              <w:top w:val="nil"/>
              <w:left w:val="nil"/>
              <w:bottom w:val="nil"/>
              <w:right w:val="nil"/>
            </w:tcBorders>
            <w:shd w:val="clear" w:color="auto" w:fill="D9D9D9" w:themeFill="background1" w:themeFillShade="D9"/>
            <w:noWrap/>
            <w:vAlign w:val="center"/>
            <w:hideMark/>
          </w:tcPr>
          <w:p w14:paraId="2ED2A7A8" w14:textId="77777777" w:rsidR="000D5750" w:rsidRPr="005D0129" w:rsidRDefault="000D5750" w:rsidP="00FD400C">
            <w:pPr>
              <w:pStyle w:val="TableTextLeft"/>
            </w:pPr>
            <w:r w:rsidRPr="005D0129">
              <w:t>ASC Pty Ltd</w:t>
            </w:r>
          </w:p>
        </w:tc>
        <w:tc>
          <w:tcPr>
            <w:tcW w:w="1873" w:type="dxa"/>
            <w:tcBorders>
              <w:top w:val="nil"/>
              <w:left w:val="nil"/>
              <w:bottom w:val="nil"/>
              <w:right w:val="nil"/>
            </w:tcBorders>
            <w:shd w:val="clear" w:color="auto" w:fill="D9D9D9" w:themeFill="background1" w:themeFillShade="D9"/>
            <w:noWrap/>
            <w:vAlign w:val="center"/>
            <w:hideMark/>
          </w:tcPr>
          <w:p w14:paraId="6276A7E7" w14:textId="77777777" w:rsidR="000D5750" w:rsidRPr="005D0129" w:rsidRDefault="000D5750" w:rsidP="00FD400C">
            <w:pPr>
              <w:pStyle w:val="TableTextRight"/>
            </w:pPr>
            <w:r w:rsidRPr="005D0129">
              <w:t>30</w:t>
            </w:r>
          </w:p>
        </w:tc>
        <w:tc>
          <w:tcPr>
            <w:tcW w:w="1741" w:type="dxa"/>
            <w:tcBorders>
              <w:top w:val="nil"/>
              <w:left w:val="nil"/>
              <w:bottom w:val="nil"/>
              <w:right w:val="nil"/>
            </w:tcBorders>
            <w:shd w:val="clear" w:color="auto" w:fill="D9D9D9" w:themeFill="background1" w:themeFillShade="D9"/>
            <w:noWrap/>
            <w:vAlign w:val="center"/>
            <w:hideMark/>
          </w:tcPr>
          <w:p w14:paraId="7D143AE1" w14:textId="77777777" w:rsidR="000D5750" w:rsidRPr="005D0129" w:rsidRDefault="000D5750" w:rsidP="00FD400C">
            <w:pPr>
              <w:pStyle w:val="TableTextRight"/>
            </w:pPr>
            <w:r w:rsidRPr="005D0129">
              <w:t>36.4</w:t>
            </w:r>
          </w:p>
        </w:tc>
        <w:tc>
          <w:tcPr>
            <w:tcW w:w="1807" w:type="dxa"/>
            <w:tcBorders>
              <w:top w:val="nil"/>
              <w:left w:val="nil"/>
              <w:bottom w:val="nil"/>
              <w:right w:val="nil"/>
            </w:tcBorders>
            <w:shd w:val="clear" w:color="auto" w:fill="D9D9D9" w:themeFill="background1" w:themeFillShade="D9"/>
            <w:noWrap/>
            <w:vAlign w:val="center"/>
            <w:hideMark/>
          </w:tcPr>
          <w:p w14:paraId="0C23D482" w14:textId="77777777" w:rsidR="000D5750" w:rsidRPr="005D0129" w:rsidRDefault="000D5750" w:rsidP="00FD400C">
            <w:pPr>
              <w:pStyle w:val="TableTextRight"/>
            </w:pPr>
            <w:r w:rsidRPr="005D0129">
              <w:t>76</w:t>
            </w:r>
          </w:p>
        </w:tc>
        <w:tc>
          <w:tcPr>
            <w:tcW w:w="1807" w:type="dxa"/>
            <w:tcBorders>
              <w:top w:val="nil"/>
              <w:left w:val="nil"/>
              <w:bottom w:val="nil"/>
              <w:right w:val="nil"/>
            </w:tcBorders>
            <w:shd w:val="clear" w:color="auto" w:fill="D9D9D9" w:themeFill="background1" w:themeFillShade="D9"/>
            <w:noWrap/>
            <w:vAlign w:val="center"/>
            <w:hideMark/>
          </w:tcPr>
          <w:p w14:paraId="559C41FD" w14:textId="77777777" w:rsidR="000D5750" w:rsidRPr="005D0129" w:rsidRDefault="000D5750" w:rsidP="00FD400C">
            <w:pPr>
              <w:pStyle w:val="TableTextRight"/>
            </w:pPr>
            <w:r w:rsidRPr="005D0129">
              <w:t>55.7%</w:t>
            </w:r>
          </w:p>
        </w:tc>
      </w:tr>
      <w:tr w:rsidR="00CB1407" w:rsidRPr="005D0129" w14:paraId="66A9A662" w14:textId="77777777" w:rsidTr="00CB1407">
        <w:trPr>
          <w:trHeight w:hRule="exact" w:val="312"/>
        </w:trPr>
        <w:tc>
          <w:tcPr>
            <w:tcW w:w="1412" w:type="dxa"/>
            <w:tcBorders>
              <w:top w:val="nil"/>
              <w:left w:val="nil"/>
              <w:bottom w:val="nil"/>
              <w:right w:val="nil"/>
            </w:tcBorders>
            <w:vAlign w:val="center"/>
          </w:tcPr>
          <w:p w14:paraId="174FA1E6"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6502C27A" w14:textId="77777777" w:rsidR="000D5750" w:rsidRPr="005D0129" w:rsidRDefault="000D5750" w:rsidP="00FD400C">
            <w:pPr>
              <w:pStyle w:val="TableTextLeft"/>
            </w:pPr>
            <w:r w:rsidRPr="005D0129">
              <w:t>Australian Broadcasting Corporation</w:t>
            </w:r>
          </w:p>
        </w:tc>
        <w:tc>
          <w:tcPr>
            <w:tcW w:w="1873" w:type="dxa"/>
            <w:tcBorders>
              <w:top w:val="nil"/>
              <w:left w:val="nil"/>
              <w:bottom w:val="nil"/>
              <w:right w:val="nil"/>
            </w:tcBorders>
            <w:noWrap/>
            <w:vAlign w:val="center"/>
            <w:hideMark/>
          </w:tcPr>
          <w:p w14:paraId="35EBBEED" w14:textId="77777777" w:rsidR="000D5750" w:rsidRPr="005D0129" w:rsidRDefault="000D5750" w:rsidP="00FD400C">
            <w:pPr>
              <w:pStyle w:val="TableTextRight"/>
            </w:pPr>
            <w:r w:rsidRPr="005D0129">
              <w:t>20</w:t>
            </w:r>
          </w:p>
        </w:tc>
        <w:tc>
          <w:tcPr>
            <w:tcW w:w="1741" w:type="dxa"/>
            <w:tcBorders>
              <w:top w:val="nil"/>
              <w:left w:val="nil"/>
              <w:bottom w:val="nil"/>
              <w:right w:val="nil"/>
            </w:tcBorders>
            <w:noWrap/>
            <w:vAlign w:val="center"/>
            <w:hideMark/>
          </w:tcPr>
          <w:p w14:paraId="3008668F" w14:textId="77777777" w:rsidR="000D5750" w:rsidRPr="005D0129" w:rsidRDefault="000D5750" w:rsidP="00FD400C">
            <w:pPr>
              <w:pStyle w:val="TableTextRight"/>
            </w:pPr>
            <w:r w:rsidRPr="005D0129">
              <w:t>21.0</w:t>
            </w:r>
          </w:p>
        </w:tc>
        <w:tc>
          <w:tcPr>
            <w:tcW w:w="1807" w:type="dxa"/>
            <w:tcBorders>
              <w:top w:val="nil"/>
              <w:left w:val="nil"/>
              <w:bottom w:val="nil"/>
              <w:right w:val="nil"/>
            </w:tcBorders>
            <w:noWrap/>
            <w:vAlign w:val="center"/>
            <w:hideMark/>
          </w:tcPr>
          <w:p w14:paraId="4D535B55" w14:textId="77777777" w:rsidR="000D5750" w:rsidRPr="005D0129" w:rsidRDefault="000D5750" w:rsidP="00FD400C">
            <w:pPr>
              <w:pStyle w:val="TableTextRight"/>
            </w:pPr>
            <w:r w:rsidRPr="005D0129">
              <w:t>58</w:t>
            </w:r>
          </w:p>
        </w:tc>
        <w:tc>
          <w:tcPr>
            <w:tcW w:w="1807" w:type="dxa"/>
            <w:tcBorders>
              <w:top w:val="nil"/>
              <w:left w:val="nil"/>
              <w:bottom w:val="nil"/>
              <w:right w:val="nil"/>
            </w:tcBorders>
            <w:noWrap/>
            <w:vAlign w:val="center"/>
            <w:hideMark/>
          </w:tcPr>
          <w:p w14:paraId="11E3AE7D" w14:textId="77777777" w:rsidR="000D5750" w:rsidRPr="005D0129" w:rsidRDefault="000D5750" w:rsidP="00FD400C">
            <w:pPr>
              <w:pStyle w:val="TableTextRight"/>
            </w:pPr>
            <w:r w:rsidRPr="005D0129">
              <w:t>75.0%</w:t>
            </w:r>
          </w:p>
        </w:tc>
      </w:tr>
      <w:tr w:rsidR="00CB1407" w:rsidRPr="005D0129" w14:paraId="4976437D" w14:textId="77777777" w:rsidTr="00CB1407">
        <w:trPr>
          <w:trHeight w:hRule="exact" w:val="312"/>
        </w:trPr>
        <w:tc>
          <w:tcPr>
            <w:tcW w:w="1412" w:type="dxa"/>
            <w:tcBorders>
              <w:top w:val="nil"/>
              <w:left w:val="nil"/>
              <w:bottom w:val="nil"/>
              <w:right w:val="nil"/>
            </w:tcBorders>
            <w:shd w:val="clear" w:color="auto" w:fill="D9D9D9" w:themeFill="background1" w:themeFillShade="D9"/>
            <w:vAlign w:val="center"/>
          </w:tcPr>
          <w:p w14:paraId="1560E78E"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shd w:val="clear" w:color="auto" w:fill="D9D9D9" w:themeFill="background1" w:themeFillShade="D9"/>
            <w:noWrap/>
            <w:vAlign w:val="center"/>
            <w:hideMark/>
          </w:tcPr>
          <w:p w14:paraId="419FDFEB" w14:textId="77777777" w:rsidR="000D5750" w:rsidRPr="005D0129" w:rsidRDefault="000D5750" w:rsidP="00FD400C">
            <w:pPr>
              <w:pStyle w:val="TableTextLeft"/>
            </w:pPr>
            <w:r w:rsidRPr="005D0129">
              <w:t>Australian Digital Health Agency</w:t>
            </w:r>
          </w:p>
        </w:tc>
        <w:tc>
          <w:tcPr>
            <w:tcW w:w="1873" w:type="dxa"/>
            <w:tcBorders>
              <w:top w:val="nil"/>
              <w:left w:val="nil"/>
              <w:bottom w:val="nil"/>
              <w:right w:val="nil"/>
            </w:tcBorders>
            <w:shd w:val="clear" w:color="auto" w:fill="D9D9D9" w:themeFill="background1" w:themeFillShade="D9"/>
            <w:noWrap/>
            <w:vAlign w:val="center"/>
            <w:hideMark/>
          </w:tcPr>
          <w:p w14:paraId="2D5E1017" w14:textId="77777777" w:rsidR="000D5750" w:rsidRPr="005D0129" w:rsidRDefault="000D5750" w:rsidP="00FD400C">
            <w:pPr>
              <w:pStyle w:val="TableTextRight"/>
            </w:pPr>
            <w:r w:rsidRPr="005D0129">
              <w:t>20</w:t>
            </w:r>
          </w:p>
        </w:tc>
        <w:tc>
          <w:tcPr>
            <w:tcW w:w="1741" w:type="dxa"/>
            <w:tcBorders>
              <w:top w:val="nil"/>
              <w:left w:val="nil"/>
              <w:bottom w:val="nil"/>
              <w:right w:val="nil"/>
            </w:tcBorders>
            <w:shd w:val="clear" w:color="auto" w:fill="D9D9D9" w:themeFill="background1" w:themeFillShade="D9"/>
            <w:noWrap/>
            <w:vAlign w:val="center"/>
            <w:hideMark/>
          </w:tcPr>
          <w:p w14:paraId="0C9C1468" w14:textId="77777777" w:rsidR="000D5750" w:rsidRPr="005D0129" w:rsidRDefault="000D5750" w:rsidP="00FD400C">
            <w:pPr>
              <w:pStyle w:val="TableTextRight"/>
            </w:pPr>
            <w:r w:rsidRPr="005D0129">
              <w:t>11.0</w:t>
            </w:r>
          </w:p>
        </w:tc>
        <w:tc>
          <w:tcPr>
            <w:tcW w:w="1807" w:type="dxa"/>
            <w:tcBorders>
              <w:top w:val="nil"/>
              <w:left w:val="nil"/>
              <w:bottom w:val="nil"/>
              <w:right w:val="nil"/>
            </w:tcBorders>
            <w:shd w:val="clear" w:color="auto" w:fill="D9D9D9" w:themeFill="background1" w:themeFillShade="D9"/>
            <w:noWrap/>
            <w:vAlign w:val="center"/>
            <w:hideMark/>
          </w:tcPr>
          <w:p w14:paraId="5AC78949" w14:textId="77777777" w:rsidR="000D5750" w:rsidRPr="005D0129" w:rsidRDefault="000D5750" w:rsidP="00FD400C">
            <w:pPr>
              <w:pStyle w:val="TableTextRight"/>
            </w:pPr>
            <w:r w:rsidRPr="005D0129">
              <w:t>29</w:t>
            </w:r>
          </w:p>
        </w:tc>
        <w:tc>
          <w:tcPr>
            <w:tcW w:w="1807" w:type="dxa"/>
            <w:tcBorders>
              <w:top w:val="nil"/>
              <w:left w:val="nil"/>
              <w:bottom w:val="nil"/>
              <w:right w:val="nil"/>
            </w:tcBorders>
            <w:shd w:val="clear" w:color="auto" w:fill="D9D9D9" w:themeFill="background1" w:themeFillShade="D9"/>
            <w:noWrap/>
            <w:vAlign w:val="center"/>
            <w:hideMark/>
          </w:tcPr>
          <w:p w14:paraId="33EA9581" w14:textId="77777777" w:rsidR="000D5750" w:rsidRPr="005D0129" w:rsidRDefault="000D5750" w:rsidP="00FD400C">
            <w:pPr>
              <w:pStyle w:val="TableTextRight"/>
            </w:pPr>
            <w:r w:rsidRPr="005D0129">
              <w:t>85.3%</w:t>
            </w:r>
          </w:p>
        </w:tc>
      </w:tr>
      <w:tr w:rsidR="00CB1407" w:rsidRPr="005D0129" w14:paraId="464228B5" w14:textId="77777777" w:rsidTr="00CB1407">
        <w:trPr>
          <w:trHeight w:hRule="exact" w:val="312"/>
        </w:trPr>
        <w:tc>
          <w:tcPr>
            <w:tcW w:w="1412" w:type="dxa"/>
            <w:tcBorders>
              <w:top w:val="nil"/>
              <w:left w:val="nil"/>
              <w:bottom w:val="nil"/>
              <w:right w:val="nil"/>
            </w:tcBorders>
            <w:vAlign w:val="center"/>
          </w:tcPr>
          <w:p w14:paraId="5907F324"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21079907" w14:textId="77777777" w:rsidR="000D5750" w:rsidRPr="005D0129" w:rsidRDefault="000D5750" w:rsidP="00FD400C">
            <w:pPr>
              <w:pStyle w:val="TableTextLeft"/>
            </w:pPr>
            <w:r w:rsidRPr="005D0129">
              <w:t>Australian Hearing Services</w:t>
            </w:r>
          </w:p>
        </w:tc>
        <w:tc>
          <w:tcPr>
            <w:tcW w:w="1873" w:type="dxa"/>
            <w:tcBorders>
              <w:top w:val="nil"/>
              <w:left w:val="nil"/>
              <w:bottom w:val="nil"/>
              <w:right w:val="nil"/>
            </w:tcBorders>
            <w:noWrap/>
            <w:vAlign w:val="center"/>
            <w:hideMark/>
          </w:tcPr>
          <w:p w14:paraId="3B865911" w14:textId="77777777" w:rsidR="000D5750" w:rsidRPr="005D0129" w:rsidRDefault="000D5750" w:rsidP="00FD400C">
            <w:pPr>
              <w:pStyle w:val="TableTextRight"/>
            </w:pPr>
            <w:r w:rsidRPr="005D0129">
              <w:t>20</w:t>
            </w:r>
          </w:p>
        </w:tc>
        <w:tc>
          <w:tcPr>
            <w:tcW w:w="1741" w:type="dxa"/>
            <w:tcBorders>
              <w:top w:val="nil"/>
              <w:left w:val="nil"/>
              <w:bottom w:val="nil"/>
              <w:right w:val="nil"/>
            </w:tcBorders>
            <w:noWrap/>
            <w:vAlign w:val="center"/>
            <w:hideMark/>
          </w:tcPr>
          <w:p w14:paraId="2C13AB82" w14:textId="77777777" w:rsidR="000D5750" w:rsidRPr="005D0129" w:rsidRDefault="000D5750" w:rsidP="00FD400C">
            <w:pPr>
              <w:pStyle w:val="TableTextRight"/>
            </w:pPr>
            <w:r w:rsidRPr="005D0129">
              <w:t>21.0</w:t>
            </w:r>
          </w:p>
        </w:tc>
        <w:tc>
          <w:tcPr>
            <w:tcW w:w="1807" w:type="dxa"/>
            <w:tcBorders>
              <w:top w:val="nil"/>
              <w:left w:val="nil"/>
              <w:bottom w:val="nil"/>
              <w:right w:val="nil"/>
            </w:tcBorders>
            <w:noWrap/>
            <w:vAlign w:val="center"/>
            <w:hideMark/>
          </w:tcPr>
          <w:p w14:paraId="09A754E6" w14:textId="77777777" w:rsidR="000D5750" w:rsidRPr="005D0129" w:rsidRDefault="000D5750" w:rsidP="00FD400C">
            <w:pPr>
              <w:pStyle w:val="TableTextRight"/>
            </w:pPr>
            <w:r w:rsidRPr="005D0129">
              <w:t>63</w:t>
            </w:r>
          </w:p>
        </w:tc>
        <w:tc>
          <w:tcPr>
            <w:tcW w:w="1807" w:type="dxa"/>
            <w:tcBorders>
              <w:top w:val="nil"/>
              <w:left w:val="nil"/>
              <w:bottom w:val="nil"/>
              <w:right w:val="nil"/>
            </w:tcBorders>
            <w:noWrap/>
            <w:vAlign w:val="center"/>
            <w:hideMark/>
          </w:tcPr>
          <w:p w14:paraId="7370B7A5" w14:textId="77777777" w:rsidR="000D5750" w:rsidRPr="005D0129" w:rsidRDefault="000D5750" w:rsidP="00FD400C">
            <w:pPr>
              <w:pStyle w:val="TableTextRight"/>
            </w:pPr>
            <w:r w:rsidRPr="005D0129">
              <w:t>75.0%</w:t>
            </w:r>
          </w:p>
        </w:tc>
      </w:tr>
      <w:tr w:rsidR="00CB1407" w:rsidRPr="005D0129" w14:paraId="5A2F935C" w14:textId="77777777" w:rsidTr="00CB1407">
        <w:trPr>
          <w:trHeight w:hRule="exact" w:val="312"/>
        </w:trPr>
        <w:tc>
          <w:tcPr>
            <w:tcW w:w="1412" w:type="dxa"/>
            <w:tcBorders>
              <w:top w:val="nil"/>
              <w:left w:val="nil"/>
              <w:bottom w:val="nil"/>
              <w:right w:val="nil"/>
            </w:tcBorders>
            <w:shd w:val="clear" w:color="auto" w:fill="D9D9D9" w:themeFill="background1" w:themeFillShade="D9"/>
            <w:vAlign w:val="center"/>
          </w:tcPr>
          <w:p w14:paraId="732073A7"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shd w:val="clear" w:color="auto" w:fill="D9D9D9" w:themeFill="background1" w:themeFillShade="D9"/>
            <w:noWrap/>
            <w:vAlign w:val="center"/>
            <w:hideMark/>
          </w:tcPr>
          <w:p w14:paraId="3F01CDF2" w14:textId="77777777" w:rsidR="000D5750" w:rsidRPr="005D0129" w:rsidRDefault="000D5750" w:rsidP="00FD400C">
            <w:pPr>
              <w:pStyle w:val="TableTextLeft"/>
            </w:pPr>
            <w:r w:rsidRPr="005D0129">
              <w:t>Australian Institute of Health and Welfare</w:t>
            </w:r>
          </w:p>
        </w:tc>
        <w:tc>
          <w:tcPr>
            <w:tcW w:w="1873" w:type="dxa"/>
            <w:tcBorders>
              <w:top w:val="nil"/>
              <w:left w:val="nil"/>
              <w:bottom w:val="nil"/>
              <w:right w:val="nil"/>
            </w:tcBorders>
            <w:shd w:val="clear" w:color="auto" w:fill="D9D9D9" w:themeFill="background1" w:themeFillShade="D9"/>
            <w:noWrap/>
            <w:vAlign w:val="center"/>
            <w:hideMark/>
          </w:tcPr>
          <w:p w14:paraId="4346958E" w14:textId="77777777" w:rsidR="000D5750" w:rsidRPr="005D0129" w:rsidRDefault="000D5750" w:rsidP="00FD400C">
            <w:pPr>
              <w:pStyle w:val="TableTextRight"/>
            </w:pPr>
            <w:r w:rsidRPr="005D0129">
              <w:t>8</w:t>
            </w:r>
          </w:p>
        </w:tc>
        <w:tc>
          <w:tcPr>
            <w:tcW w:w="1741" w:type="dxa"/>
            <w:tcBorders>
              <w:top w:val="nil"/>
              <w:left w:val="nil"/>
              <w:bottom w:val="nil"/>
              <w:right w:val="nil"/>
            </w:tcBorders>
            <w:shd w:val="clear" w:color="auto" w:fill="D9D9D9" w:themeFill="background1" w:themeFillShade="D9"/>
            <w:noWrap/>
            <w:vAlign w:val="center"/>
            <w:hideMark/>
          </w:tcPr>
          <w:p w14:paraId="05E43DDC" w14:textId="77777777" w:rsidR="000D5750" w:rsidRPr="005D0129" w:rsidRDefault="000D5750" w:rsidP="00FD400C">
            <w:pPr>
              <w:pStyle w:val="TableTextRight"/>
            </w:pPr>
            <w:r w:rsidRPr="005D0129">
              <w:t>15.0</w:t>
            </w:r>
          </w:p>
        </w:tc>
        <w:tc>
          <w:tcPr>
            <w:tcW w:w="1807" w:type="dxa"/>
            <w:tcBorders>
              <w:top w:val="nil"/>
              <w:left w:val="nil"/>
              <w:bottom w:val="nil"/>
              <w:right w:val="nil"/>
            </w:tcBorders>
            <w:shd w:val="clear" w:color="auto" w:fill="D9D9D9" w:themeFill="background1" w:themeFillShade="D9"/>
            <w:noWrap/>
            <w:vAlign w:val="center"/>
            <w:hideMark/>
          </w:tcPr>
          <w:p w14:paraId="2025C929" w14:textId="77777777" w:rsidR="000D5750" w:rsidRPr="005D0129" w:rsidRDefault="000D5750" w:rsidP="00FD400C">
            <w:pPr>
              <w:pStyle w:val="TableTextRight"/>
            </w:pPr>
            <w:r w:rsidRPr="005D0129">
              <w:t>38</w:t>
            </w:r>
          </w:p>
        </w:tc>
        <w:tc>
          <w:tcPr>
            <w:tcW w:w="1807" w:type="dxa"/>
            <w:tcBorders>
              <w:top w:val="nil"/>
              <w:left w:val="nil"/>
              <w:bottom w:val="nil"/>
              <w:right w:val="nil"/>
            </w:tcBorders>
            <w:shd w:val="clear" w:color="auto" w:fill="D9D9D9" w:themeFill="background1" w:themeFillShade="D9"/>
            <w:noWrap/>
            <w:vAlign w:val="center"/>
            <w:hideMark/>
          </w:tcPr>
          <w:p w14:paraId="64A2F220" w14:textId="77777777" w:rsidR="000D5750" w:rsidRPr="005D0129" w:rsidRDefault="000D5750" w:rsidP="00FD400C">
            <w:pPr>
              <w:pStyle w:val="TableTextRight"/>
            </w:pPr>
            <w:r w:rsidRPr="005D0129">
              <w:t>84.5%</w:t>
            </w:r>
          </w:p>
        </w:tc>
      </w:tr>
      <w:tr w:rsidR="00CB1407" w:rsidRPr="005D0129" w14:paraId="7D6CA289" w14:textId="77777777" w:rsidTr="00CB1407">
        <w:trPr>
          <w:trHeight w:hRule="exact" w:val="312"/>
        </w:trPr>
        <w:tc>
          <w:tcPr>
            <w:tcW w:w="1412" w:type="dxa"/>
            <w:tcBorders>
              <w:top w:val="nil"/>
              <w:left w:val="nil"/>
              <w:bottom w:val="nil"/>
              <w:right w:val="nil"/>
            </w:tcBorders>
            <w:vAlign w:val="center"/>
          </w:tcPr>
          <w:p w14:paraId="6E35132D"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052D8EA0" w14:textId="77777777" w:rsidR="000D5750" w:rsidRPr="005D0129" w:rsidRDefault="000D5750" w:rsidP="00FD400C">
            <w:pPr>
              <w:pStyle w:val="TableTextLeft"/>
            </w:pPr>
            <w:r w:rsidRPr="005D0129">
              <w:t>Australian Maritime Safety Authority</w:t>
            </w:r>
          </w:p>
        </w:tc>
        <w:tc>
          <w:tcPr>
            <w:tcW w:w="1873" w:type="dxa"/>
            <w:tcBorders>
              <w:top w:val="nil"/>
              <w:left w:val="nil"/>
              <w:bottom w:val="nil"/>
              <w:right w:val="nil"/>
            </w:tcBorders>
            <w:noWrap/>
            <w:vAlign w:val="center"/>
            <w:hideMark/>
          </w:tcPr>
          <w:p w14:paraId="3FC54B8B" w14:textId="77777777" w:rsidR="000D5750" w:rsidRPr="005D0129" w:rsidRDefault="000D5750" w:rsidP="00FD400C">
            <w:pPr>
              <w:pStyle w:val="TableTextRight"/>
            </w:pPr>
            <w:r w:rsidRPr="005D0129">
              <w:t>30</w:t>
            </w:r>
          </w:p>
        </w:tc>
        <w:tc>
          <w:tcPr>
            <w:tcW w:w="1741" w:type="dxa"/>
            <w:tcBorders>
              <w:top w:val="nil"/>
              <w:left w:val="nil"/>
              <w:bottom w:val="nil"/>
              <w:right w:val="nil"/>
            </w:tcBorders>
            <w:noWrap/>
            <w:vAlign w:val="center"/>
            <w:hideMark/>
          </w:tcPr>
          <w:p w14:paraId="0EEFEEE9" w14:textId="77777777" w:rsidR="000D5750" w:rsidRPr="005D0129" w:rsidRDefault="000D5750" w:rsidP="00FD400C">
            <w:pPr>
              <w:pStyle w:val="TableTextRight"/>
            </w:pPr>
            <w:r w:rsidRPr="005D0129">
              <w:t>22.1</w:t>
            </w:r>
          </w:p>
        </w:tc>
        <w:tc>
          <w:tcPr>
            <w:tcW w:w="1807" w:type="dxa"/>
            <w:tcBorders>
              <w:top w:val="nil"/>
              <w:left w:val="nil"/>
              <w:bottom w:val="nil"/>
              <w:right w:val="nil"/>
            </w:tcBorders>
            <w:noWrap/>
            <w:vAlign w:val="center"/>
            <w:hideMark/>
          </w:tcPr>
          <w:p w14:paraId="25AD2B33" w14:textId="77777777" w:rsidR="000D5750" w:rsidRPr="005D0129" w:rsidRDefault="000D5750" w:rsidP="00FD400C">
            <w:pPr>
              <w:pStyle w:val="TableTextRight"/>
            </w:pPr>
            <w:r w:rsidRPr="005D0129">
              <w:t>41</w:t>
            </w:r>
          </w:p>
        </w:tc>
        <w:tc>
          <w:tcPr>
            <w:tcW w:w="1807" w:type="dxa"/>
            <w:tcBorders>
              <w:top w:val="nil"/>
              <w:left w:val="nil"/>
              <w:bottom w:val="nil"/>
              <w:right w:val="nil"/>
            </w:tcBorders>
            <w:noWrap/>
            <w:vAlign w:val="center"/>
            <w:hideMark/>
          </w:tcPr>
          <w:p w14:paraId="7F5F1319" w14:textId="77777777" w:rsidR="000D5750" w:rsidRPr="005D0129" w:rsidRDefault="000D5750" w:rsidP="00FD400C">
            <w:pPr>
              <w:pStyle w:val="TableTextRight"/>
            </w:pPr>
            <w:r w:rsidRPr="005D0129">
              <w:t>69.2%</w:t>
            </w:r>
          </w:p>
        </w:tc>
      </w:tr>
      <w:tr w:rsidR="00CB1407" w:rsidRPr="005D0129" w14:paraId="095BFF32" w14:textId="77777777" w:rsidTr="00CB1407">
        <w:trPr>
          <w:trHeight w:hRule="exact" w:val="312"/>
        </w:trPr>
        <w:tc>
          <w:tcPr>
            <w:tcW w:w="1412" w:type="dxa"/>
            <w:tcBorders>
              <w:top w:val="nil"/>
              <w:left w:val="nil"/>
              <w:bottom w:val="nil"/>
              <w:right w:val="nil"/>
            </w:tcBorders>
            <w:shd w:val="clear" w:color="auto" w:fill="D9D9D9" w:themeFill="background1" w:themeFillShade="D9"/>
            <w:vAlign w:val="center"/>
          </w:tcPr>
          <w:p w14:paraId="4BA456BB"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shd w:val="clear" w:color="auto" w:fill="D9D9D9" w:themeFill="background1" w:themeFillShade="D9"/>
            <w:noWrap/>
            <w:vAlign w:val="center"/>
            <w:hideMark/>
          </w:tcPr>
          <w:p w14:paraId="7AA03299" w14:textId="77777777" w:rsidR="000D5750" w:rsidRPr="005D0129" w:rsidRDefault="000D5750" w:rsidP="00FD400C">
            <w:pPr>
              <w:pStyle w:val="TableTextLeft"/>
            </w:pPr>
            <w:r w:rsidRPr="005D0129">
              <w:t>Australian Nuclear Science and Technology Organisation</w:t>
            </w:r>
          </w:p>
        </w:tc>
        <w:tc>
          <w:tcPr>
            <w:tcW w:w="1873" w:type="dxa"/>
            <w:tcBorders>
              <w:top w:val="nil"/>
              <w:left w:val="nil"/>
              <w:bottom w:val="nil"/>
              <w:right w:val="nil"/>
            </w:tcBorders>
            <w:shd w:val="clear" w:color="auto" w:fill="D9D9D9" w:themeFill="background1" w:themeFillShade="D9"/>
            <w:noWrap/>
            <w:vAlign w:val="center"/>
            <w:hideMark/>
          </w:tcPr>
          <w:p w14:paraId="6EC222A5" w14:textId="77777777" w:rsidR="000D5750" w:rsidRPr="005D0129" w:rsidRDefault="000D5750" w:rsidP="00FD400C">
            <w:pPr>
              <w:pStyle w:val="TableTextRight"/>
            </w:pPr>
            <w:r w:rsidRPr="005D0129">
              <w:t>30</w:t>
            </w:r>
          </w:p>
        </w:tc>
        <w:tc>
          <w:tcPr>
            <w:tcW w:w="1741" w:type="dxa"/>
            <w:tcBorders>
              <w:top w:val="nil"/>
              <w:left w:val="nil"/>
              <w:bottom w:val="nil"/>
              <w:right w:val="nil"/>
            </w:tcBorders>
            <w:shd w:val="clear" w:color="auto" w:fill="D9D9D9" w:themeFill="background1" w:themeFillShade="D9"/>
            <w:noWrap/>
            <w:vAlign w:val="center"/>
            <w:hideMark/>
          </w:tcPr>
          <w:p w14:paraId="28B818F1" w14:textId="77777777" w:rsidR="000D5750" w:rsidRPr="005D0129" w:rsidRDefault="000D5750" w:rsidP="00FD400C">
            <w:pPr>
              <w:pStyle w:val="TableTextRight"/>
            </w:pPr>
            <w:r w:rsidRPr="005D0129">
              <w:t>16.0</w:t>
            </w:r>
          </w:p>
        </w:tc>
        <w:tc>
          <w:tcPr>
            <w:tcW w:w="1807" w:type="dxa"/>
            <w:tcBorders>
              <w:top w:val="nil"/>
              <w:left w:val="nil"/>
              <w:bottom w:val="nil"/>
              <w:right w:val="nil"/>
            </w:tcBorders>
            <w:shd w:val="clear" w:color="auto" w:fill="D9D9D9" w:themeFill="background1" w:themeFillShade="D9"/>
            <w:noWrap/>
            <w:vAlign w:val="center"/>
            <w:hideMark/>
          </w:tcPr>
          <w:p w14:paraId="39A198E9" w14:textId="77777777" w:rsidR="000D5750" w:rsidRPr="005D0129" w:rsidRDefault="000D5750" w:rsidP="00FD400C">
            <w:pPr>
              <w:pStyle w:val="TableTextRight"/>
            </w:pPr>
            <w:r w:rsidRPr="005D0129">
              <w:t>30</w:t>
            </w:r>
          </w:p>
        </w:tc>
        <w:tc>
          <w:tcPr>
            <w:tcW w:w="1807" w:type="dxa"/>
            <w:tcBorders>
              <w:top w:val="nil"/>
              <w:left w:val="nil"/>
              <w:bottom w:val="nil"/>
              <w:right w:val="nil"/>
            </w:tcBorders>
            <w:shd w:val="clear" w:color="auto" w:fill="D9D9D9" w:themeFill="background1" w:themeFillShade="D9"/>
            <w:noWrap/>
            <w:vAlign w:val="center"/>
            <w:hideMark/>
          </w:tcPr>
          <w:p w14:paraId="077407CD" w14:textId="77777777" w:rsidR="000D5750" w:rsidRPr="005D0129" w:rsidRDefault="000D5750" w:rsidP="00FD400C">
            <w:pPr>
              <w:pStyle w:val="TableTextRight"/>
            </w:pPr>
            <w:r w:rsidRPr="005D0129">
              <w:t>87.0%</w:t>
            </w:r>
          </w:p>
        </w:tc>
      </w:tr>
      <w:tr w:rsidR="00CB1407" w:rsidRPr="005D0129" w14:paraId="2B855A4A" w14:textId="77777777" w:rsidTr="00CB1407">
        <w:trPr>
          <w:trHeight w:hRule="exact" w:val="312"/>
        </w:trPr>
        <w:tc>
          <w:tcPr>
            <w:tcW w:w="1412" w:type="dxa"/>
            <w:tcBorders>
              <w:top w:val="nil"/>
              <w:left w:val="nil"/>
              <w:bottom w:val="nil"/>
              <w:right w:val="nil"/>
            </w:tcBorders>
            <w:vAlign w:val="center"/>
          </w:tcPr>
          <w:p w14:paraId="2959CBBA"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74E958A3" w14:textId="77777777" w:rsidR="000D5750" w:rsidRPr="005D0129" w:rsidRDefault="000D5750" w:rsidP="00FD400C">
            <w:pPr>
              <w:pStyle w:val="TableTextLeft"/>
            </w:pPr>
            <w:r w:rsidRPr="005D0129">
              <w:t>Australian Postal Corporation</w:t>
            </w:r>
          </w:p>
        </w:tc>
        <w:tc>
          <w:tcPr>
            <w:tcW w:w="1873" w:type="dxa"/>
            <w:tcBorders>
              <w:top w:val="nil"/>
              <w:left w:val="nil"/>
              <w:bottom w:val="nil"/>
              <w:right w:val="nil"/>
            </w:tcBorders>
            <w:noWrap/>
            <w:vAlign w:val="center"/>
            <w:hideMark/>
          </w:tcPr>
          <w:p w14:paraId="36FA5CA7" w14:textId="77777777" w:rsidR="000D5750" w:rsidRPr="005D0129" w:rsidRDefault="000D5750" w:rsidP="00FD400C">
            <w:pPr>
              <w:pStyle w:val="TableTextRight"/>
            </w:pPr>
            <w:r w:rsidRPr="005D0129">
              <w:t>1</w:t>
            </w:r>
          </w:p>
        </w:tc>
        <w:tc>
          <w:tcPr>
            <w:tcW w:w="1741" w:type="dxa"/>
            <w:tcBorders>
              <w:top w:val="nil"/>
              <w:left w:val="nil"/>
              <w:bottom w:val="nil"/>
              <w:right w:val="nil"/>
            </w:tcBorders>
            <w:noWrap/>
            <w:vAlign w:val="center"/>
            <w:hideMark/>
          </w:tcPr>
          <w:p w14:paraId="3DC13AD3" w14:textId="77777777" w:rsidR="000D5750" w:rsidRPr="005D0129" w:rsidRDefault="000D5750" w:rsidP="00FD400C">
            <w:pPr>
              <w:pStyle w:val="TableTextRight"/>
            </w:pPr>
            <w:r w:rsidRPr="005D0129">
              <w:t>25.0</w:t>
            </w:r>
          </w:p>
        </w:tc>
        <w:tc>
          <w:tcPr>
            <w:tcW w:w="1807" w:type="dxa"/>
            <w:tcBorders>
              <w:top w:val="nil"/>
              <w:left w:val="nil"/>
              <w:bottom w:val="nil"/>
              <w:right w:val="nil"/>
            </w:tcBorders>
            <w:noWrap/>
            <w:vAlign w:val="center"/>
            <w:hideMark/>
          </w:tcPr>
          <w:p w14:paraId="38FA876C" w14:textId="77777777" w:rsidR="000D5750" w:rsidRPr="005D0129" w:rsidRDefault="000D5750" w:rsidP="00FD400C">
            <w:pPr>
              <w:pStyle w:val="TableTextRight"/>
            </w:pPr>
            <w:r w:rsidRPr="005D0129">
              <w:t>72</w:t>
            </w:r>
          </w:p>
        </w:tc>
        <w:tc>
          <w:tcPr>
            <w:tcW w:w="1807" w:type="dxa"/>
            <w:tcBorders>
              <w:top w:val="nil"/>
              <w:left w:val="nil"/>
              <w:bottom w:val="nil"/>
              <w:right w:val="nil"/>
            </w:tcBorders>
            <w:noWrap/>
            <w:vAlign w:val="center"/>
            <w:hideMark/>
          </w:tcPr>
          <w:p w14:paraId="7E29FABF" w14:textId="77777777" w:rsidR="000D5750" w:rsidRPr="005D0129" w:rsidRDefault="000D5750" w:rsidP="00FD400C">
            <w:pPr>
              <w:pStyle w:val="TableTextRight"/>
            </w:pPr>
            <w:r w:rsidRPr="005D0129">
              <w:t>67.1%</w:t>
            </w:r>
          </w:p>
        </w:tc>
      </w:tr>
      <w:tr w:rsidR="00CB1407" w:rsidRPr="005D0129" w14:paraId="6467E494" w14:textId="77777777" w:rsidTr="00CB1407">
        <w:trPr>
          <w:trHeight w:hRule="exact" w:val="312"/>
        </w:trPr>
        <w:tc>
          <w:tcPr>
            <w:tcW w:w="1412" w:type="dxa"/>
            <w:tcBorders>
              <w:top w:val="nil"/>
              <w:left w:val="nil"/>
              <w:bottom w:val="nil"/>
              <w:right w:val="nil"/>
            </w:tcBorders>
            <w:shd w:val="clear" w:color="auto" w:fill="D9D9D9" w:themeFill="background1" w:themeFillShade="D9"/>
            <w:vAlign w:val="center"/>
          </w:tcPr>
          <w:p w14:paraId="35E587C0" w14:textId="77777777" w:rsidR="000D5750" w:rsidRPr="005D0129" w:rsidRDefault="000D5750" w:rsidP="00FD400C">
            <w:pPr>
              <w:pStyle w:val="TableTextLeft"/>
              <w:rPr>
                <w:rFonts w:cs="Calibri"/>
              </w:rPr>
            </w:pPr>
            <w:r w:rsidRPr="005D0129">
              <w:t>CC</w:t>
            </w:r>
          </w:p>
        </w:tc>
        <w:tc>
          <w:tcPr>
            <w:tcW w:w="5362" w:type="dxa"/>
            <w:tcBorders>
              <w:top w:val="nil"/>
              <w:left w:val="nil"/>
              <w:bottom w:val="nil"/>
              <w:right w:val="nil"/>
            </w:tcBorders>
            <w:shd w:val="clear" w:color="auto" w:fill="D9D9D9" w:themeFill="background1" w:themeFillShade="D9"/>
            <w:noWrap/>
            <w:vAlign w:val="center"/>
            <w:hideMark/>
          </w:tcPr>
          <w:p w14:paraId="41959370" w14:textId="77777777" w:rsidR="000D5750" w:rsidRPr="005D0129" w:rsidRDefault="000D5750" w:rsidP="00FD400C">
            <w:pPr>
              <w:pStyle w:val="TableTextLeft"/>
            </w:pPr>
            <w:r w:rsidRPr="005D0129">
              <w:t>Australian Rail Track Corporation Limited</w:t>
            </w:r>
          </w:p>
        </w:tc>
        <w:tc>
          <w:tcPr>
            <w:tcW w:w="1873" w:type="dxa"/>
            <w:tcBorders>
              <w:top w:val="nil"/>
              <w:left w:val="nil"/>
              <w:bottom w:val="nil"/>
              <w:right w:val="nil"/>
            </w:tcBorders>
            <w:shd w:val="clear" w:color="auto" w:fill="D9D9D9" w:themeFill="background1" w:themeFillShade="D9"/>
            <w:noWrap/>
            <w:vAlign w:val="center"/>
            <w:hideMark/>
          </w:tcPr>
          <w:p w14:paraId="2245FC7E" w14:textId="77777777" w:rsidR="000D5750" w:rsidRPr="005D0129" w:rsidRDefault="000D5750" w:rsidP="00FD400C">
            <w:pPr>
              <w:pStyle w:val="TableTextRight"/>
            </w:pPr>
            <w:r w:rsidRPr="005D0129">
              <w:t>20</w:t>
            </w:r>
          </w:p>
        </w:tc>
        <w:tc>
          <w:tcPr>
            <w:tcW w:w="1741" w:type="dxa"/>
            <w:tcBorders>
              <w:top w:val="nil"/>
              <w:left w:val="nil"/>
              <w:bottom w:val="nil"/>
              <w:right w:val="nil"/>
            </w:tcBorders>
            <w:shd w:val="clear" w:color="auto" w:fill="D9D9D9" w:themeFill="background1" w:themeFillShade="D9"/>
            <w:noWrap/>
            <w:vAlign w:val="center"/>
            <w:hideMark/>
          </w:tcPr>
          <w:p w14:paraId="71F42837" w14:textId="77777777" w:rsidR="000D5750" w:rsidRPr="005D0129" w:rsidRDefault="000D5750" w:rsidP="00FD400C">
            <w:pPr>
              <w:pStyle w:val="TableTextRight"/>
            </w:pPr>
            <w:r w:rsidRPr="005D0129">
              <w:t>29.7</w:t>
            </w:r>
          </w:p>
        </w:tc>
        <w:tc>
          <w:tcPr>
            <w:tcW w:w="1807" w:type="dxa"/>
            <w:tcBorders>
              <w:top w:val="nil"/>
              <w:left w:val="nil"/>
              <w:bottom w:val="nil"/>
              <w:right w:val="nil"/>
            </w:tcBorders>
            <w:shd w:val="clear" w:color="auto" w:fill="D9D9D9" w:themeFill="background1" w:themeFillShade="D9"/>
            <w:noWrap/>
            <w:vAlign w:val="center"/>
            <w:hideMark/>
          </w:tcPr>
          <w:p w14:paraId="3EB7B9E5" w14:textId="77777777" w:rsidR="000D5750" w:rsidRPr="005D0129" w:rsidRDefault="000D5750" w:rsidP="00FD400C">
            <w:pPr>
              <w:pStyle w:val="TableTextRight"/>
            </w:pPr>
            <w:r w:rsidRPr="005D0129">
              <w:t>73</w:t>
            </w:r>
          </w:p>
        </w:tc>
        <w:tc>
          <w:tcPr>
            <w:tcW w:w="1807" w:type="dxa"/>
            <w:tcBorders>
              <w:top w:val="nil"/>
              <w:left w:val="nil"/>
              <w:bottom w:val="nil"/>
              <w:right w:val="nil"/>
            </w:tcBorders>
            <w:shd w:val="clear" w:color="auto" w:fill="D9D9D9" w:themeFill="background1" w:themeFillShade="D9"/>
            <w:noWrap/>
            <w:vAlign w:val="center"/>
            <w:hideMark/>
          </w:tcPr>
          <w:p w14:paraId="29636008" w14:textId="77777777" w:rsidR="000D5750" w:rsidRPr="005D0129" w:rsidRDefault="000D5750" w:rsidP="00FD400C">
            <w:pPr>
              <w:pStyle w:val="TableTextRight"/>
            </w:pPr>
            <w:r w:rsidRPr="005D0129">
              <w:t>63.6%</w:t>
            </w:r>
          </w:p>
        </w:tc>
      </w:tr>
      <w:tr w:rsidR="00CB1407" w:rsidRPr="005D0129" w14:paraId="21FA9839" w14:textId="77777777" w:rsidTr="00CB1407">
        <w:trPr>
          <w:trHeight w:hRule="exact" w:val="312"/>
        </w:trPr>
        <w:tc>
          <w:tcPr>
            <w:tcW w:w="1412" w:type="dxa"/>
            <w:tcBorders>
              <w:top w:val="nil"/>
              <w:left w:val="nil"/>
              <w:bottom w:val="nil"/>
              <w:right w:val="nil"/>
            </w:tcBorders>
            <w:vAlign w:val="center"/>
          </w:tcPr>
          <w:p w14:paraId="00B8DB29"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4EBC5BC1" w14:textId="77777777" w:rsidR="000D5750" w:rsidRPr="005D0129" w:rsidRDefault="000D5750" w:rsidP="00FD400C">
            <w:pPr>
              <w:pStyle w:val="TableTextLeft"/>
            </w:pPr>
            <w:r w:rsidRPr="005D0129">
              <w:t>Australian Reinsurance Pool Corporation</w:t>
            </w:r>
          </w:p>
        </w:tc>
        <w:tc>
          <w:tcPr>
            <w:tcW w:w="1873" w:type="dxa"/>
            <w:tcBorders>
              <w:top w:val="nil"/>
              <w:left w:val="nil"/>
              <w:bottom w:val="nil"/>
              <w:right w:val="nil"/>
            </w:tcBorders>
            <w:noWrap/>
            <w:vAlign w:val="center"/>
            <w:hideMark/>
          </w:tcPr>
          <w:p w14:paraId="2B18ED3B" w14:textId="77777777" w:rsidR="000D5750" w:rsidRPr="005D0129" w:rsidRDefault="000D5750" w:rsidP="00FD400C">
            <w:pPr>
              <w:pStyle w:val="TableTextRight"/>
            </w:pPr>
            <w:r w:rsidRPr="005D0129">
              <w:t>0</w:t>
            </w:r>
          </w:p>
        </w:tc>
        <w:tc>
          <w:tcPr>
            <w:tcW w:w="1741" w:type="dxa"/>
            <w:tcBorders>
              <w:top w:val="nil"/>
              <w:left w:val="nil"/>
              <w:bottom w:val="nil"/>
              <w:right w:val="nil"/>
            </w:tcBorders>
            <w:noWrap/>
            <w:vAlign w:val="center"/>
            <w:hideMark/>
          </w:tcPr>
          <w:p w14:paraId="7651C7DF" w14:textId="77777777" w:rsidR="000D5750" w:rsidRPr="005D0129" w:rsidRDefault="000D5750" w:rsidP="00FD400C">
            <w:pPr>
              <w:pStyle w:val="TableTextRight"/>
            </w:pPr>
            <w:r w:rsidRPr="005D0129">
              <w:t>10.5</w:t>
            </w:r>
          </w:p>
        </w:tc>
        <w:tc>
          <w:tcPr>
            <w:tcW w:w="1807" w:type="dxa"/>
            <w:tcBorders>
              <w:top w:val="nil"/>
              <w:left w:val="nil"/>
              <w:bottom w:val="nil"/>
              <w:right w:val="nil"/>
            </w:tcBorders>
            <w:noWrap/>
            <w:vAlign w:val="center"/>
            <w:hideMark/>
          </w:tcPr>
          <w:p w14:paraId="3A6DB53E" w14:textId="77777777" w:rsidR="000D5750" w:rsidRPr="005D0129" w:rsidRDefault="000D5750" w:rsidP="00FD400C">
            <w:pPr>
              <w:pStyle w:val="TableTextRight"/>
            </w:pPr>
            <w:r w:rsidRPr="005D0129">
              <w:t>26</w:t>
            </w:r>
          </w:p>
        </w:tc>
        <w:tc>
          <w:tcPr>
            <w:tcW w:w="1807" w:type="dxa"/>
            <w:tcBorders>
              <w:top w:val="nil"/>
              <w:left w:val="nil"/>
              <w:bottom w:val="nil"/>
              <w:right w:val="nil"/>
            </w:tcBorders>
            <w:noWrap/>
            <w:vAlign w:val="center"/>
            <w:hideMark/>
          </w:tcPr>
          <w:p w14:paraId="1DCECF7C" w14:textId="77777777" w:rsidR="000D5750" w:rsidRPr="005D0129" w:rsidRDefault="000D5750" w:rsidP="00FD400C">
            <w:pPr>
              <w:pStyle w:val="TableTextRight"/>
            </w:pPr>
            <w:r w:rsidRPr="005D0129">
              <w:t>0.0%</w:t>
            </w:r>
          </w:p>
        </w:tc>
      </w:tr>
      <w:tr w:rsidR="00CB1407" w:rsidRPr="005D0129" w14:paraId="750E5EF2" w14:textId="77777777" w:rsidTr="00CB1407">
        <w:trPr>
          <w:trHeight w:hRule="exact" w:val="312"/>
        </w:trPr>
        <w:tc>
          <w:tcPr>
            <w:tcW w:w="1412" w:type="dxa"/>
            <w:tcBorders>
              <w:top w:val="nil"/>
              <w:left w:val="nil"/>
              <w:bottom w:val="nil"/>
              <w:right w:val="nil"/>
            </w:tcBorders>
            <w:shd w:val="clear" w:color="auto" w:fill="D9D9D9" w:themeFill="background1" w:themeFillShade="D9"/>
            <w:vAlign w:val="center"/>
          </w:tcPr>
          <w:p w14:paraId="25AE83D2"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shd w:val="clear" w:color="auto" w:fill="D9D9D9" w:themeFill="background1" w:themeFillShade="D9"/>
            <w:noWrap/>
            <w:vAlign w:val="center"/>
            <w:hideMark/>
          </w:tcPr>
          <w:p w14:paraId="3303E336" w14:textId="77777777" w:rsidR="000D5750" w:rsidRPr="005D0129" w:rsidRDefault="000D5750" w:rsidP="00FD400C">
            <w:pPr>
              <w:pStyle w:val="TableTextLeft"/>
            </w:pPr>
            <w:r w:rsidRPr="005D0129">
              <w:t>Australian Renewable Energy Agency</w:t>
            </w:r>
          </w:p>
        </w:tc>
        <w:tc>
          <w:tcPr>
            <w:tcW w:w="1873" w:type="dxa"/>
            <w:tcBorders>
              <w:top w:val="nil"/>
              <w:left w:val="nil"/>
              <w:bottom w:val="nil"/>
              <w:right w:val="nil"/>
            </w:tcBorders>
            <w:shd w:val="clear" w:color="auto" w:fill="D9D9D9" w:themeFill="background1" w:themeFillShade="D9"/>
            <w:noWrap/>
            <w:vAlign w:val="center"/>
            <w:hideMark/>
          </w:tcPr>
          <w:p w14:paraId="373052E1" w14:textId="77777777" w:rsidR="000D5750" w:rsidRPr="005D0129" w:rsidRDefault="000D5750" w:rsidP="00FD400C">
            <w:pPr>
              <w:pStyle w:val="TableTextRight"/>
            </w:pPr>
            <w:r w:rsidRPr="005D0129">
              <w:t>30</w:t>
            </w:r>
          </w:p>
        </w:tc>
        <w:tc>
          <w:tcPr>
            <w:tcW w:w="1741" w:type="dxa"/>
            <w:tcBorders>
              <w:top w:val="nil"/>
              <w:left w:val="nil"/>
              <w:bottom w:val="nil"/>
              <w:right w:val="nil"/>
            </w:tcBorders>
            <w:shd w:val="clear" w:color="auto" w:fill="D9D9D9" w:themeFill="background1" w:themeFillShade="D9"/>
            <w:noWrap/>
            <w:vAlign w:val="center"/>
            <w:hideMark/>
          </w:tcPr>
          <w:p w14:paraId="53E8476C" w14:textId="77777777" w:rsidR="000D5750" w:rsidRPr="005D0129" w:rsidRDefault="000D5750" w:rsidP="00FD400C">
            <w:pPr>
              <w:pStyle w:val="TableTextRight"/>
            </w:pPr>
            <w:r w:rsidRPr="005D0129">
              <w:t>11.4</w:t>
            </w:r>
          </w:p>
        </w:tc>
        <w:tc>
          <w:tcPr>
            <w:tcW w:w="1807" w:type="dxa"/>
            <w:tcBorders>
              <w:top w:val="nil"/>
              <w:left w:val="nil"/>
              <w:bottom w:val="nil"/>
              <w:right w:val="nil"/>
            </w:tcBorders>
            <w:shd w:val="clear" w:color="auto" w:fill="D9D9D9" w:themeFill="background1" w:themeFillShade="D9"/>
            <w:noWrap/>
            <w:vAlign w:val="center"/>
            <w:hideMark/>
          </w:tcPr>
          <w:p w14:paraId="1108D13B" w14:textId="77777777" w:rsidR="000D5750" w:rsidRPr="005D0129" w:rsidRDefault="000D5750" w:rsidP="00FD400C">
            <w:pPr>
              <w:pStyle w:val="TableTextRight"/>
            </w:pPr>
            <w:r w:rsidRPr="005D0129">
              <w:t>34</w:t>
            </w:r>
          </w:p>
        </w:tc>
        <w:tc>
          <w:tcPr>
            <w:tcW w:w="1807" w:type="dxa"/>
            <w:tcBorders>
              <w:top w:val="nil"/>
              <w:left w:val="nil"/>
              <w:bottom w:val="nil"/>
              <w:right w:val="nil"/>
            </w:tcBorders>
            <w:shd w:val="clear" w:color="auto" w:fill="D9D9D9" w:themeFill="background1" w:themeFillShade="D9"/>
            <w:noWrap/>
            <w:vAlign w:val="center"/>
            <w:hideMark/>
          </w:tcPr>
          <w:p w14:paraId="1A4F737E" w14:textId="77777777" w:rsidR="000D5750" w:rsidRPr="005D0129" w:rsidRDefault="000D5750" w:rsidP="00FD400C">
            <w:pPr>
              <w:pStyle w:val="TableTextRight"/>
            </w:pPr>
            <w:r w:rsidRPr="005D0129">
              <w:t>91.0%</w:t>
            </w:r>
          </w:p>
        </w:tc>
      </w:tr>
      <w:tr w:rsidR="00CB1407" w:rsidRPr="005D0129" w14:paraId="6834B5EC" w14:textId="77777777" w:rsidTr="00CB1407">
        <w:trPr>
          <w:trHeight w:hRule="exact" w:val="312"/>
        </w:trPr>
        <w:tc>
          <w:tcPr>
            <w:tcW w:w="1412" w:type="dxa"/>
            <w:tcBorders>
              <w:top w:val="nil"/>
              <w:left w:val="nil"/>
              <w:bottom w:val="nil"/>
              <w:right w:val="nil"/>
            </w:tcBorders>
            <w:vAlign w:val="center"/>
          </w:tcPr>
          <w:p w14:paraId="435D5044"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6DDD1F56" w14:textId="77777777" w:rsidR="000D5750" w:rsidRPr="005D0129" w:rsidRDefault="000D5750" w:rsidP="00FD400C">
            <w:pPr>
              <w:pStyle w:val="TableTextLeft"/>
            </w:pPr>
            <w:r w:rsidRPr="005D0129">
              <w:t>Australian Sports Commission</w:t>
            </w:r>
          </w:p>
        </w:tc>
        <w:tc>
          <w:tcPr>
            <w:tcW w:w="1873" w:type="dxa"/>
            <w:tcBorders>
              <w:top w:val="nil"/>
              <w:left w:val="nil"/>
              <w:bottom w:val="nil"/>
              <w:right w:val="nil"/>
            </w:tcBorders>
            <w:noWrap/>
            <w:vAlign w:val="center"/>
            <w:hideMark/>
          </w:tcPr>
          <w:p w14:paraId="57080FE4" w14:textId="77777777" w:rsidR="000D5750" w:rsidRPr="005D0129" w:rsidRDefault="000D5750" w:rsidP="00FD400C">
            <w:pPr>
              <w:pStyle w:val="TableTextRight"/>
            </w:pPr>
            <w:r w:rsidRPr="005D0129">
              <w:t>30</w:t>
            </w:r>
          </w:p>
        </w:tc>
        <w:tc>
          <w:tcPr>
            <w:tcW w:w="1741" w:type="dxa"/>
            <w:tcBorders>
              <w:top w:val="nil"/>
              <w:left w:val="nil"/>
              <w:bottom w:val="nil"/>
              <w:right w:val="nil"/>
            </w:tcBorders>
            <w:noWrap/>
            <w:vAlign w:val="center"/>
            <w:hideMark/>
          </w:tcPr>
          <w:p w14:paraId="6B567C29" w14:textId="77777777" w:rsidR="000D5750" w:rsidRPr="005D0129" w:rsidRDefault="000D5750" w:rsidP="00FD400C">
            <w:pPr>
              <w:pStyle w:val="TableTextRight"/>
            </w:pPr>
            <w:r w:rsidRPr="005D0129">
              <w:t>21.0</w:t>
            </w:r>
          </w:p>
        </w:tc>
        <w:tc>
          <w:tcPr>
            <w:tcW w:w="1807" w:type="dxa"/>
            <w:tcBorders>
              <w:top w:val="nil"/>
              <w:left w:val="nil"/>
              <w:bottom w:val="nil"/>
              <w:right w:val="nil"/>
            </w:tcBorders>
            <w:noWrap/>
            <w:vAlign w:val="center"/>
            <w:hideMark/>
          </w:tcPr>
          <w:p w14:paraId="6FE62508" w14:textId="77777777" w:rsidR="000D5750" w:rsidRPr="005D0129" w:rsidRDefault="000D5750" w:rsidP="00FD400C">
            <w:pPr>
              <w:pStyle w:val="TableTextRight"/>
            </w:pPr>
            <w:r w:rsidRPr="005D0129">
              <w:t>61</w:t>
            </w:r>
          </w:p>
        </w:tc>
        <w:tc>
          <w:tcPr>
            <w:tcW w:w="1807" w:type="dxa"/>
            <w:tcBorders>
              <w:top w:val="nil"/>
              <w:left w:val="nil"/>
              <w:bottom w:val="nil"/>
              <w:right w:val="nil"/>
            </w:tcBorders>
            <w:noWrap/>
            <w:vAlign w:val="center"/>
            <w:hideMark/>
          </w:tcPr>
          <w:p w14:paraId="6B2792B9" w14:textId="77777777" w:rsidR="000D5750" w:rsidRPr="005D0129" w:rsidRDefault="000D5750" w:rsidP="00FD400C">
            <w:pPr>
              <w:pStyle w:val="TableTextRight"/>
            </w:pPr>
            <w:r w:rsidRPr="005D0129">
              <w:t>74.7%</w:t>
            </w:r>
          </w:p>
        </w:tc>
      </w:tr>
      <w:tr w:rsidR="00CB1407" w:rsidRPr="005D0129" w14:paraId="6820C603" w14:textId="77777777" w:rsidTr="00CB1407">
        <w:trPr>
          <w:trHeight w:hRule="exact" w:val="312"/>
        </w:trPr>
        <w:tc>
          <w:tcPr>
            <w:tcW w:w="1412" w:type="dxa"/>
            <w:tcBorders>
              <w:top w:val="nil"/>
              <w:left w:val="nil"/>
              <w:bottom w:val="nil"/>
              <w:right w:val="nil"/>
            </w:tcBorders>
            <w:shd w:val="clear" w:color="auto" w:fill="D9D9D9" w:themeFill="background1" w:themeFillShade="D9"/>
            <w:vAlign w:val="center"/>
          </w:tcPr>
          <w:p w14:paraId="4933FC2B" w14:textId="77777777" w:rsidR="000D5750" w:rsidRPr="005D0129" w:rsidRDefault="000D5750" w:rsidP="00FD400C">
            <w:pPr>
              <w:pStyle w:val="TableTextLeft"/>
              <w:rPr>
                <w:rFonts w:cs="Calibri"/>
              </w:rPr>
            </w:pPr>
            <w:r w:rsidRPr="005D0129">
              <w:t>CC</w:t>
            </w:r>
          </w:p>
        </w:tc>
        <w:tc>
          <w:tcPr>
            <w:tcW w:w="5362" w:type="dxa"/>
            <w:tcBorders>
              <w:top w:val="nil"/>
              <w:left w:val="nil"/>
              <w:bottom w:val="nil"/>
              <w:right w:val="nil"/>
            </w:tcBorders>
            <w:shd w:val="clear" w:color="auto" w:fill="D9D9D9" w:themeFill="background1" w:themeFillShade="D9"/>
            <w:noWrap/>
            <w:vAlign w:val="center"/>
            <w:hideMark/>
          </w:tcPr>
          <w:p w14:paraId="6A5DEADD" w14:textId="77777777" w:rsidR="000D5750" w:rsidRPr="005D0129" w:rsidRDefault="000D5750" w:rsidP="00FD400C">
            <w:pPr>
              <w:pStyle w:val="TableTextLeft"/>
            </w:pPr>
            <w:r w:rsidRPr="005D0129">
              <w:t>Australian Sports Foundation Limited</w:t>
            </w:r>
          </w:p>
        </w:tc>
        <w:tc>
          <w:tcPr>
            <w:tcW w:w="1873" w:type="dxa"/>
            <w:tcBorders>
              <w:top w:val="nil"/>
              <w:left w:val="nil"/>
              <w:bottom w:val="nil"/>
              <w:right w:val="nil"/>
            </w:tcBorders>
            <w:shd w:val="clear" w:color="auto" w:fill="D9D9D9" w:themeFill="background1" w:themeFillShade="D9"/>
            <w:noWrap/>
            <w:vAlign w:val="center"/>
            <w:hideMark/>
          </w:tcPr>
          <w:p w14:paraId="30081A0C" w14:textId="77777777" w:rsidR="000D5750" w:rsidRPr="005D0129" w:rsidRDefault="000D5750" w:rsidP="00FD400C">
            <w:pPr>
              <w:pStyle w:val="TableTextRight"/>
            </w:pPr>
            <w:r w:rsidRPr="005D0129">
              <w:t>14</w:t>
            </w:r>
          </w:p>
        </w:tc>
        <w:tc>
          <w:tcPr>
            <w:tcW w:w="1741" w:type="dxa"/>
            <w:tcBorders>
              <w:top w:val="nil"/>
              <w:left w:val="nil"/>
              <w:bottom w:val="nil"/>
              <w:right w:val="nil"/>
            </w:tcBorders>
            <w:shd w:val="clear" w:color="auto" w:fill="D9D9D9" w:themeFill="background1" w:themeFillShade="D9"/>
            <w:noWrap/>
            <w:vAlign w:val="center"/>
            <w:hideMark/>
          </w:tcPr>
          <w:p w14:paraId="41DBF834" w14:textId="77777777" w:rsidR="000D5750" w:rsidRPr="005D0129" w:rsidRDefault="000D5750" w:rsidP="00FD400C">
            <w:pPr>
              <w:pStyle w:val="TableTextRight"/>
            </w:pPr>
            <w:r w:rsidRPr="005D0129">
              <w:t>14.7</w:t>
            </w:r>
          </w:p>
        </w:tc>
        <w:tc>
          <w:tcPr>
            <w:tcW w:w="1807" w:type="dxa"/>
            <w:tcBorders>
              <w:top w:val="nil"/>
              <w:left w:val="nil"/>
              <w:bottom w:val="nil"/>
              <w:right w:val="nil"/>
            </w:tcBorders>
            <w:shd w:val="clear" w:color="auto" w:fill="D9D9D9" w:themeFill="background1" w:themeFillShade="D9"/>
            <w:noWrap/>
            <w:vAlign w:val="center"/>
            <w:hideMark/>
          </w:tcPr>
          <w:p w14:paraId="2ECDC56C" w14:textId="77777777" w:rsidR="000D5750" w:rsidRPr="005D0129" w:rsidRDefault="000D5750" w:rsidP="00FD400C">
            <w:pPr>
              <w:pStyle w:val="TableTextRight"/>
            </w:pPr>
            <w:r w:rsidRPr="005D0129">
              <w:t>27</w:t>
            </w:r>
          </w:p>
        </w:tc>
        <w:tc>
          <w:tcPr>
            <w:tcW w:w="1807" w:type="dxa"/>
            <w:tcBorders>
              <w:top w:val="nil"/>
              <w:left w:val="nil"/>
              <w:bottom w:val="nil"/>
              <w:right w:val="nil"/>
            </w:tcBorders>
            <w:shd w:val="clear" w:color="auto" w:fill="D9D9D9" w:themeFill="background1" w:themeFillShade="D9"/>
            <w:noWrap/>
            <w:vAlign w:val="center"/>
            <w:hideMark/>
          </w:tcPr>
          <w:p w14:paraId="271B949B" w14:textId="77777777" w:rsidR="000D5750" w:rsidRPr="005D0129" w:rsidRDefault="000D5750" w:rsidP="00FD400C">
            <w:pPr>
              <w:pStyle w:val="TableTextRight"/>
            </w:pPr>
            <w:r w:rsidRPr="005D0129">
              <w:t>54.2%</w:t>
            </w:r>
          </w:p>
        </w:tc>
      </w:tr>
      <w:tr w:rsidR="00CB1407" w:rsidRPr="005D0129" w14:paraId="3B842B22" w14:textId="77777777" w:rsidTr="00CB1407">
        <w:trPr>
          <w:trHeight w:hRule="exact" w:val="312"/>
        </w:trPr>
        <w:tc>
          <w:tcPr>
            <w:tcW w:w="1412" w:type="dxa"/>
            <w:tcBorders>
              <w:top w:val="nil"/>
              <w:left w:val="nil"/>
              <w:bottom w:val="nil"/>
              <w:right w:val="nil"/>
            </w:tcBorders>
            <w:vAlign w:val="center"/>
          </w:tcPr>
          <w:p w14:paraId="4C595AC6" w14:textId="77777777" w:rsidR="000D5750" w:rsidRPr="005D0129" w:rsidRDefault="000D5750" w:rsidP="00FD400C">
            <w:pPr>
              <w:pStyle w:val="TableTextLeft"/>
              <w:rPr>
                <w:rFonts w:cs="Calibri"/>
              </w:rPr>
            </w:pPr>
            <w:r w:rsidRPr="005D0129">
              <w:t>CC</w:t>
            </w:r>
          </w:p>
        </w:tc>
        <w:tc>
          <w:tcPr>
            <w:tcW w:w="5362" w:type="dxa"/>
            <w:tcBorders>
              <w:top w:val="nil"/>
              <w:left w:val="nil"/>
              <w:bottom w:val="nil"/>
              <w:right w:val="nil"/>
            </w:tcBorders>
            <w:noWrap/>
            <w:vAlign w:val="center"/>
            <w:hideMark/>
          </w:tcPr>
          <w:p w14:paraId="1AFC372C" w14:textId="77777777" w:rsidR="000D5750" w:rsidRPr="005D0129" w:rsidRDefault="000D5750" w:rsidP="00FD400C">
            <w:pPr>
              <w:pStyle w:val="TableTextLeft"/>
            </w:pPr>
            <w:r w:rsidRPr="005D0129">
              <w:t>CEA Technologies Pty Limited</w:t>
            </w:r>
          </w:p>
        </w:tc>
        <w:tc>
          <w:tcPr>
            <w:tcW w:w="1873" w:type="dxa"/>
            <w:tcBorders>
              <w:top w:val="nil"/>
              <w:left w:val="nil"/>
              <w:bottom w:val="nil"/>
              <w:right w:val="nil"/>
            </w:tcBorders>
            <w:noWrap/>
            <w:vAlign w:val="center"/>
            <w:hideMark/>
          </w:tcPr>
          <w:p w14:paraId="58DD5346" w14:textId="77777777" w:rsidR="000D5750" w:rsidRPr="005D0129" w:rsidRDefault="000D5750" w:rsidP="00FD400C">
            <w:pPr>
              <w:pStyle w:val="TableTextRight"/>
            </w:pPr>
            <w:r w:rsidRPr="005D0129">
              <w:t>30</w:t>
            </w:r>
          </w:p>
        </w:tc>
        <w:tc>
          <w:tcPr>
            <w:tcW w:w="1741" w:type="dxa"/>
            <w:tcBorders>
              <w:top w:val="nil"/>
              <w:left w:val="nil"/>
              <w:bottom w:val="nil"/>
              <w:right w:val="nil"/>
            </w:tcBorders>
            <w:noWrap/>
            <w:vAlign w:val="center"/>
            <w:hideMark/>
          </w:tcPr>
          <w:p w14:paraId="3DD0786D" w14:textId="77777777" w:rsidR="000D5750" w:rsidRPr="005D0129" w:rsidRDefault="000D5750" w:rsidP="00FD400C">
            <w:pPr>
              <w:pStyle w:val="TableTextRight"/>
            </w:pPr>
            <w:r w:rsidRPr="005D0129">
              <w:t>28.0</w:t>
            </w:r>
          </w:p>
        </w:tc>
        <w:tc>
          <w:tcPr>
            <w:tcW w:w="1807" w:type="dxa"/>
            <w:tcBorders>
              <w:top w:val="nil"/>
              <w:left w:val="nil"/>
              <w:bottom w:val="nil"/>
              <w:right w:val="nil"/>
            </w:tcBorders>
            <w:noWrap/>
            <w:vAlign w:val="center"/>
            <w:hideMark/>
          </w:tcPr>
          <w:p w14:paraId="01A8B8D4" w14:textId="77777777" w:rsidR="000D5750" w:rsidRPr="005D0129" w:rsidRDefault="000D5750" w:rsidP="00FD400C">
            <w:pPr>
              <w:pStyle w:val="TableTextRight"/>
            </w:pPr>
            <w:r w:rsidRPr="005D0129">
              <w:t>52</w:t>
            </w:r>
          </w:p>
        </w:tc>
        <w:tc>
          <w:tcPr>
            <w:tcW w:w="1807" w:type="dxa"/>
            <w:tcBorders>
              <w:top w:val="nil"/>
              <w:left w:val="nil"/>
              <w:bottom w:val="nil"/>
              <w:right w:val="nil"/>
            </w:tcBorders>
            <w:noWrap/>
            <w:vAlign w:val="center"/>
            <w:hideMark/>
          </w:tcPr>
          <w:p w14:paraId="40C75E94" w14:textId="77777777" w:rsidR="000D5750" w:rsidRPr="005D0129" w:rsidRDefault="000D5750" w:rsidP="00FD400C">
            <w:pPr>
              <w:pStyle w:val="TableTextRight"/>
            </w:pPr>
            <w:r w:rsidRPr="005D0129">
              <w:t>80.8%</w:t>
            </w:r>
          </w:p>
        </w:tc>
      </w:tr>
      <w:tr w:rsidR="00CB1407" w:rsidRPr="005D0129" w14:paraId="08BC4D4B" w14:textId="77777777" w:rsidTr="00CB1407">
        <w:trPr>
          <w:trHeight w:hRule="exact" w:val="312"/>
        </w:trPr>
        <w:tc>
          <w:tcPr>
            <w:tcW w:w="1412" w:type="dxa"/>
            <w:tcBorders>
              <w:top w:val="nil"/>
              <w:left w:val="nil"/>
              <w:bottom w:val="nil"/>
              <w:right w:val="nil"/>
            </w:tcBorders>
            <w:shd w:val="clear" w:color="auto" w:fill="D9D9D9" w:themeFill="background1" w:themeFillShade="D9"/>
            <w:vAlign w:val="center"/>
          </w:tcPr>
          <w:p w14:paraId="587794B6"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shd w:val="clear" w:color="auto" w:fill="D9D9D9" w:themeFill="background1" w:themeFillShade="D9"/>
            <w:noWrap/>
            <w:vAlign w:val="center"/>
            <w:hideMark/>
          </w:tcPr>
          <w:p w14:paraId="7E90F064" w14:textId="77777777" w:rsidR="000D5750" w:rsidRPr="005D0129" w:rsidRDefault="000D5750" w:rsidP="00FD400C">
            <w:pPr>
              <w:pStyle w:val="TableTextLeft"/>
            </w:pPr>
            <w:r w:rsidRPr="005D0129">
              <w:t>Civil Aviation Safety Authority</w:t>
            </w:r>
          </w:p>
        </w:tc>
        <w:tc>
          <w:tcPr>
            <w:tcW w:w="1873" w:type="dxa"/>
            <w:tcBorders>
              <w:top w:val="nil"/>
              <w:left w:val="nil"/>
              <w:bottom w:val="nil"/>
              <w:right w:val="nil"/>
            </w:tcBorders>
            <w:shd w:val="clear" w:color="auto" w:fill="D9D9D9" w:themeFill="background1" w:themeFillShade="D9"/>
            <w:noWrap/>
            <w:vAlign w:val="center"/>
            <w:hideMark/>
          </w:tcPr>
          <w:p w14:paraId="19632A36" w14:textId="77777777" w:rsidR="000D5750" w:rsidRPr="005D0129" w:rsidRDefault="000D5750" w:rsidP="00FD400C">
            <w:pPr>
              <w:pStyle w:val="TableTextRight"/>
            </w:pPr>
            <w:r w:rsidRPr="005D0129">
              <w:t>21</w:t>
            </w:r>
          </w:p>
        </w:tc>
        <w:tc>
          <w:tcPr>
            <w:tcW w:w="1741" w:type="dxa"/>
            <w:tcBorders>
              <w:top w:val="nil"/>
              <w:left w:val="nil"/>
              <w:bottom w:val="nil"/>
              <w:right w:val="nil"/>
            </w:tcBorders>
            <w:shd w:val="clear" w:color="auto" w:fill="D9D9D9" w:themeFill="background1" w:themeFillShade="D9"/>
            <w:noWrap/>
            <w:vAlign w:val="center"/>
            <w:hideMark/>
          </w:tcPr>
          <w:p w14:paraId="0C571317" w14:textId="77777777" w:rsidR="000D5750" w:rsidRPr="005D0129" w:rsidRDefault="000D5750" w:rsidP="00FD400C">
            <w:pPr>
              <w:pStyle w:val="TableTextRight"/>
            </w:pPr>
            <w:r w:rsidRPr="005D0129">
              <w:t>14.1</w:t>
            </w:r>
          </w:p>
        </w:tc>
        <w:tc>
          <w:tcPr>
            <w:tcW w:w="1807" w:type="dxa"/>
            <w:tcBorders>
              <w:top w:val="nil"/>
              <w:left w:val="nil"/>
              <w:bottom w:val="nil"/>
              <w:right w:val="nil"/>
            </w:tcBorders>
            <w:shd w:val="clear" w:color="auto" w:fill="D9D9D9" w:themeFill="background1" w:themeFillShade="D9"/>
            <w:noWrap/>
            <w:vAlign w:val="center"/>
            <w:hideMark/>
          </w:tcPr>
          <w:p w14:paraId="0384190C" w14:textId="77777777" w:rsidR="000D5750" w:rsidRPr="005D0129" w:rsidRDefault="000D5750" w:rsidP="00FD400C">
            <w:pPr>
              <w:pStyle w:val="TableTextRight"/>
            </w:pPr>
            <w:r w:rsidRPr="005D0129">
              <w:t>44</w:t>
            </w:r>
          </w:p>
        </w:tc>
        <w:tc>
          <w:tcPr>
            <w:tcW w:w="1807" w:type="dxa"/>
            <w:tcBorders>
              <w:top w:val="nil"/>
              <w:left w:val="nil"/>
              <w:bottom w:val="nil"/>
              <w:right w:val="nil"/>
            </w:tcBorders>
            <w:shd w:val="clear" w:color="auto" w:fill="D9D9D9" w:themeFill="background1" w:themeFillShade="D9"/>
            <w:noWrap/>
            <w:vAlign w:val="center"/>
            <w:hideMark/>
          </w:tcPr>
          <w:p w14:paraId="7DC1A3F8" w14:textId="77777777" w:rsidR="000D5750" w:rsidRPr="005D0129" w:rsidRDefault="000D5750" w:rsidP="00FD400C">
            <w:pPr>
              <w:pStyle w:val="TableTextRight"/>
            </w:pPr>
            <w:r w:rsidRPr="005D0129">
              <w:t>85.2%</w:t>
            </w:r>
          </w:p>
        </w:tc>
      </w:tr>
      <w:tr w:rsidR="00CB1407" w:rsidRPr="005D0129" w14:paraId="3C11422C" w14:textId="77777777" w:rsidTr="00CB1407">
        <w:trPr>
          <w:trHeight w:hRule="exact" w:val="312"/>
        </w:trPr>
        <w:tc>
          <w:tcPr>
            <w:tcW w:w="1412" w:type="dxa"/>
            <w:tcBorders>
              <w:top w:val="nil"/>
              <w:left w:val="nil"/>
              <w:bottom w:val="nil"/>
              <w:right w:val="nil"/>
            </w:tcBorders>
            <w:vAlign w:val="center"/>
          </w:tcPr>
          <w:p w14:paraId="3AEDF4D0"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55D59CBD" w14:textId="77777777" w:rsidR="000D5750" w:rsidRPr="005D0129" w:rsidRDefault="000D5750" w:rsidP="00FD400C">
            <w:pPr>
              <w:pStyle w:val="TableTextLeft"/>
            </w:pPr>
            <w:r w:rsidRPr="005D0129">
              <w:t>Clean Energy Finance Corporation</w:t>
            </w:r>
          </w:p>
        </w:tc>
        <w:tc>
          <w:tcPr>
            <w:tcW w:w="1873" w:type="dxa"/>
            <w:tcBorders>
              <w:top w:val="nil"/>
              <w:left w:val="nil"/>
              <w:bottom w:val="nil"/>
              <w:right w:val="nil"/>
            </w:tcBorders>
            <w:noWrap/>
            <w:vAlign w:val="center"/>
            <w:hideMark/>
          </w:tcPr>
          <w:p w14:paraId="7EEADBF1" w14:textId="77777777" w:rsidR="000D5750" w:rsidRPr="005D0129" w:rsidRDefault="000D5750" w:rsidP="00FD400C">
            <w:pPr>
              <w:pStyle w:val="TableTextRight"/>
            </w:pPr>
            <w:r w:rsidRPr="005D0129">
              <w:t>14</w:t>
            </w:r>
          </w:p>
        </w:tc>
        <w:tc>
          <w:tcPr>
            <w:tcW w:w="1741" w:type="dxa"/>
            <w:tcBorders>
              <w:top w:val="nil"/>
              <w:left w:val="nil"/>
              <w:bottom w:val="nil"/>
              <w:right w:val="nil"/>
            </w:tcBorders>
            <w:noWrap/>
            <w:vAlign w:val="center"/>
            <w:hideMark/>
          </w:tcPr>
          <w:p w14:paraId="1304B23A" w14:textId="77777777" w:rsidR="000D5750" w:rsidRPr="005D0129" w:rsidRDefault="000D5750" w:rsidP="00FD400C">
            <w:pPr>
              <w:pStyle w:val="TableTextRight"/>
            </w:pPr>
            <w:r w:rsidRPr="005D0129">
              <w:t>7.6</w:t>
            </w:r>
          </w:p>
        </w:tc>
        <w:tc>
          <w:tcPr>
            <w:tcW w:w="1807" w:type="dxa"/>
            <w:tcBorders>
              <w:top w:val="nil"/>
              <w:left w:val="nil"/>
              <w:bottom w:val="nil"/>
              <w:right w:val="nil"/>
            </w:tcBorders>
            <w:noWrap/>
            <w:vAlign w:val="center"/>
            <w:hideMark/>
          </w:tcPr>
          <w:p w14:paraId="36361058" w14:textId="77777777" w:rsidR="000D5750" w:rsidRPr="005D0129" w:rsidRDefault="000D5750" w:rsidP="00FD400C">
            <w:pPr>
              <w:pStyle w:val="TableTextRight"/>
            </w:pPr>
            <w:r w:rsidRPr="005D0129">
              <w:t>23</w:t>
            </w:r>
          </w:p>
        </w:tc>
        <w:tc>
          <w:tcPr>
            <w:tcW w:w="1807" w:type="dxa"/>
            <w:tcBorders>
              <w:top w:val="nil"/>
              <w:left w:val="nil"/>
              <w:bottom w:val="nil"/>
              <w:right w:val="nil"/>
            </w:tcBorders>
            <w:noWrap/>
            <w:vAlign w:val="center"/>
            <w:hideMark/>
          </w:tcPr>
          <w:p w14:paraId="531DDF6D" w14:textId="77777777" w:rsidR="000D5750" w:rsidRPr="005D0129" w:rsidRDefault="000D5750" w:rsidP="00FD400C">
            <w:pPr>
              <w:pStyle w:val="TableTextRight"/>
            </w:pPr>
            <w:r w:rsidRPr="005D0129">
              <w:t>77.7%</w:t>
            </w:r>
          </w:p>
        </w:tc>
      </w:tr>
      <w:tr w:rsidR="00CB1407" w:rsidRPr="005D0129" w14:paraId="48F94BE8" w14:textId="77777777" w:rsidTr="00CB1407">
        <w:trPr>
          <w:trHeight w:hRule="exact" w:val="312"/>
        </w:trPr>
        <w:tc>
          <w:tcPr>
            <w:tcW w:w="1412" w:type="dxa"/>
            <w:tcBorders>
              <w:top w:val="nil"/>
              <w:left w:val="nil"/>
              <w:bottom w:val="nil"/>
              <w:right w:val="nil"/>
            </w:tcBorders>
            <w:shd w:val="clear" w:color="auto" w:fill="D9D9D9" w:themeFill="background1" w:themeFillShade="D9"/>
            <w:vAlign w:val="center"/>
          </w:tcPr>
          <w:p w14:paraId="7D246933"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shd w:val="clear" w:color="auto" w:fill="D9D9D9" w:themeFill="background1" w:themeFillShade="D9"/>
            <w:noWrap/>
            <w:vAlign w:val="center"/>
            <w:hideMark/>
          </w:tcPr>
          <w:p w14:paraId="78E4B3D9" w14:textId="77777777" w:rsidR="000D5750" w:rsidRPr="005D0129" w:rsidRDefault="000D5750" w:rsidP="00FD400C">
            <w:pPr>
              <w:pStyle w:val="TableTextLeft"/>
            </w:pPr>
            <w:r w:rsidRPr="005D0129">
              <w:t>Coal Mining Industry (Long Service Leave Funding) Corporation</w:t>
            </w:r>
          </w:p>
        </w:tc>
        <w:tc>
          <w:tcPr>
            <w:tcW w:w="1873" w:type="dxa"/>
            <w:tcBorders>
              <w:top w:val="nil"/>
              <w:left w:val="nil"/>
              <w:bottom w:val="nil"/>
              <w:right w:val="nil"/>
            </w:tcBorders>
            <w:shd w:val="clear" w:color="auto" w:fill="D9D9D9" w:themeFill="background1" w:themeFillShade="D9"/>
            <w:noWrap/>
            <w:vAlign w:val="center"/>
            <w:hideMark/>
          </w:tcPr>
          <w:p w14:paraId="78D48271" w14:textId="77777777" w:rsidR="000D5750" w:rsidRPr="005D0129" w:rsidRDefault="000D5750" w:rsidP="00FD400C">
            <w:pPr>
              <w:pStyle w:val="TableTextRight"/>
            </w:pPr>
            <w:r w:rsidRPr="005D0129">
              <w:t>30</w:t>
            </w:r>
          </w:p>
        </w:tc>
        <w:tc>
          <w:tcPr>
            <w:tcW w:w="1741" w:type="dxa"/>
            <w:tcBorders>
              <w:top w:val="nil"/>
              <w:left w:val="nil"/>
              <w:bottom w:val="nil"/>
              <w:right w:val="nil"/>
            </w:tcBorders>
            <w:shd w:val="clear" w:color="auto" w:fill="D9D9D9" w:themeFill="background1" w:themeFillShade="D9"/>
            <w:noWrap/>
            <w:vAlign w:val="center"/>
            <w:hideMark/>
          </w:tcPr>
          <w:p w14:paraId="0B9D1793" w14:textId="77777777" w:rsidR="000D5750" w:rsidRPr="005D0129" w:rsidRDefault="000D5750" w:rsidP="00FD400C">
            <w:pPr>
              <w:pStyle w:val="TableTextRight"/>
            </w:pPr>
            <w:r w:rsidRPr="005D0129">
              <w:t>15.3</w:t>
            </w:r>
          </w:p>
        </w:tc>
        <w:tc>
          <w:tcPr>
            <w:tcW w:w="1807" w:type="dxa"/>
            <w:tcBorders>
              <w:top w:val="nil"/>
              <w:left w:val="nil"/>
              <w:bottom w:val="nil"/>
              <w:right w:val="nil"/>
            </w:tcBorders>
            <w:shd w:val="clear" w:color="auto" w:fill="D9D9D9" w:themeFill="background1" w:themeFillShade="D9"/>
            <w:noWrap/>
            <w:vAlign w:val="center"/>
            <w:hideMark/>
          </w:tcPr>
          <w:p w14:paraId="249E12E2" w14:textId="77777777" w:rsidR="000D5750" w:rsidRPr="005D0129" w:rsidRDefault="000D5750" w:rsidP="00FD400C">
            <w:pPr>
              <w:pStyle w:val="TableTextRight"/>
            </w:pPr>
            <w:r w:rsidRPr="005D0129">
              <w:t>30</w:t>
            </w:r>
          </w:p>
        </w:tc>
        <w:tc>
          <w:tcPr>
            <w:tcW w:w="1807" w:type="dxa"/>
            <w:tcBorders>
              <w:top w:val="nil"/>
              <w:left w:val="nil"/>
              <w:bottom w:val="nil"/>
              <w:right w:val="nil"/>
            </w:tcBorders>
            <w:shd w:val="clear" w:color="auto" w:fill="D9D9D9" w:themeFill="background1" w:themeFillShade="D9"/>
            <w:noWrap/>
            <w:vAlign w:val="center"/>
            <w:hideMark/>
          </w:tcPr>
          <w:p w14:paraId="5F472F95" w14:textId="77777777" w:rsidR="000D5750" w:rsidRPr="005D0129" w:rsidRDefault="000D5750" w:rsidP="00FD400C">
            <w:pPr>
              <w:pStyle w:val="TableTextRight"/>
            </w:pPr>
            <w:r w:rsidRPr="005D0129">
              <w:t>80.8%</w:t>
            </w:r>
          </w:p>
        </w:tc>
      </w:tr>
      <w:tr w:rsidR="00CB1407" w:rsidRPr="005D0129" w14:paraId="445FA886" w14:textId="77777777" w:rsidTr="00CB1407">
        <w:trPr>
          <w:trHeight w:hRule="exact" w:val="312"/>
        </w:trPr>
        <w:tc>
          <w:tcPr>
            <w:tcW w:w="1412" w:type="dxa"/>
            <w:tcBorders>
              <w:top w:val="nil"/>
              <w:left w:val="nil"/>
              <w:bottom w:val="nil"/>
              <w:right w:val="nil"/>
            </w:tcBorders>
            <w:vAlign w:val="center"/>
          </w:tcPr>
          <w:p w14:paraId="1EE1E8E3" w14:textId="77777777" w:rsidR="000D5750" w:rsidRPr="005D0129" w:rsidRDefault="000D5750" w:rsidP="00FD400C">
            <w:pPr>
              <w:pStyle w:val="TableTextLeft"/>
              <w:rPr>
                <w:rFonts w:cs="Calibri"/>
              </w:rPr>
            </w:pPr>
            <w:r w:rsidRPr="005D0129">
              <w:t>CCE</w:t>
            </w:r>
          </w:p>
        </w:tc>
        <w:tc>
          <w:tcPr>
            <w:tcW w:w="5362" w:type="dxa"/>
            <w:tcBorders>
              <w:top w:val="nil"/>
              <w:left w:val="nil"/>
              <w:bottom w:val="nil"/>
              <w:right w:val="nil"/>
            </w:tcBorders>
            <w:noWrap/>
            <w:vAlign w:val="center"/>
            <w:hideMark/>
          </w:tcPr>
          <w:p w14:paraId="5BB00BA1" w14:textId="77777777" w:rsidR="000D5750" w:rsidRPr="005D0129" w:rsidRDefault="000D5750" w:rsidP="00FD400C">
            <w:pPr>
              <w:pStyle w:val="TableTextLeft"/>
            </w:pPr>
            <w:r w:rsidRPr="005D0129">
              <w:t>Comcare Australia</w:t>
            </w:r>
          </w:p>
        </w:tc>
        <w:tc>
          <w:tcPr>
            <w:tcW w:w="1873" w:type="dxa"/>
            <w:tcBorders>
              <w:top w:val="nil"/>
              <w:left w:val="nil"/>
              <w:bottom w:val="nil"/>
              <w:right w:val="nil"/>
            </w:tcBorders>
            <w:noWrap/>
            <w:vAlign w:val="center"/>
            <w:hideMark/>
          </w:tcPr>
          <w:p w14:paraId="0BBAFE0D" w14:textId="77777777" w:rsidR="000D5750" w:rsidRPr="005D0129" w:rsidRDefault="000D5750" w:rsidP="00FD400C">
            <w:pPr>
              <w:pStyle w:val="TableTextRight"/>
            </w:pPr>
            <w:r w:rsidRPr="005D0129">
              <w:t>1</w:t>
            </w:r>
          </w:p>
        </w:tc>
        <w:tc>
          <w:tcPr>
            <w:tcW w:w="1741" w:type="dxa"/>
            <w:tcBorders>
              <w:top w:val="nil"/>
              <w:left w:val="nil"/>
              <w:bottom w:val="nil"/>
              <w:right w:val="nil"/>
            </w:tcBorders>
            <w:noWrap/>
            <w:vAlign w:val="center"/>
            <w:hideMark/>
          </w:tcPr>
          <w:p w14:paraId="1FB0F50B" w14:textId="77777777" w:rsidR="000D5750" w:rsidRPr="005D0129" w:rsidRDefault="000D5750" w:rsidP="00FD400C">
            <w:pPr>
              <w:pStyle w:val="TableTextRight"/>
            </w:pPr>
            <w:r w:rsidRPr="005D0129">
              <w:t>30.3</w:t>
            </w:r>
          </w:p>
        </w:tc>
        <w:tc>
          <w:tcPr>
            <w:tcW w:w="1807" w:type="dxa"/>
            <w:tcBorders>
              <w:top w:val="nil"/>
              <w:left w:val="nil"/>
              <w:bottom w:val="nil"/>
              <w:right w:val="nil"/>
            </w:tcBorders>
            <w:noWrap/>
            <w:vAlign w:val="center"/>
            <w:hideMark/>
          </w:tcPr>
          <w:p w14:paraId="62B562F0" w14:textId="77777777" w:rsidR="000D5750" w:rsidRPr="005D0129" w:rsidRDefault="000D5750" w:rsidP="00FD400C">
            <w:pPr>
              <w:pStyle w:val="TableTextRight"/>
            </w:pPr>
            <w:r w:rsidRPr="005D0129">
              <w:t>71</w:t>
            </w:r>
          </w:p>
        </w:tc>
        <w:tc>
          <w:tcPr>
            <w:tcW w:w="1807" w:type="dxa"/>
            <w:tcBorders>
              <w:top w:val="nil"/>
              <w:left w:val="nil"/>
              <w:bottom w:val="nil"/>
              <w:right w:val="nil"/>
            </w:tcBorders>
            <w:noWrap/>
            <w:vAlign w:val="center"/>
            <w:hideMark/>
          </w:tcPr>
          <w:p w14:paraId="63A17703" w14:textId="77777777" w:rsidR="000D5750" w:rsidRPr="005D0129" w:rsidRDefault="000D5750" w:rsidP="00FD400C">
            <w:pPr>
              <w:pStyle w:val="TableTextRight"/>
            </w:pPr>
            <w:r w:rsidRPr="005D0129">
              <w:t>41.5%</w:t>
            </w:r>
          </w:p>
        </w:tc>
      </w:tr>
      <w:tr w:rsidR="00CB1407" w:rsidRPr="005D0129" w14:paraId="14A7EBAF" w14:textId="77777777" w:rsidTr="00CB1407">
        <w:trPr>
          <w:trHeight w:hRule="exact" w:val="312"/>
        </w:trPr>
        <w:tc>
          <w:tcPr>
            <w:tcW w:w="1412" w:type="dxa"/>
            <w:tcBorders>
              <w:top w:val="nil"/>
              <w:left w:val="nil"/>
              <w:right w:val="nil"/>
            </w:tcBorders>
            <w:shd w:val="clear" w:color="auto" w:fill="D9D9D9" w:themeFill="background1" w:themeFillShade="D9"/>
            <w:vAlign w:val="center"/>
          </w:tcPr>
          <w:p w14:paraId="24D0EEE1" w14:textId="77777777" w:rsidR="000D5750" w:rsidRPr="005D0129" w:rsidRDefault="000D5750" w:rsidP="00FD400C">
            <w:pPr>
              <w:pStyle w:val="TableTextLeft"/>
              <w:rPr>
                <w:rFonts w:cs="Calibri"/>
              </w:rPr>
            </w:pPr>
            <w:r w:rsidRPr="005D0129">
              <w:t>CCE</w:t>
            </w:r>
          </w:p>
        </w:tc>
        <w:tc>
          <w:tcPr>
            <w:tcW w:w="5362" w:type="dxa"/>
            <w:tcBorders>
              <w:top w:val="nil"/>
              <w:left w:val="nil"/>
              <w:right w:val="nil"/>
            </w:tcBorders>
            <w:shd w:val="clear" w:color="auto" w:fill="D9D9D9" w:themeFill="background1" w:themeFillShade="D9"/>
            <w:noWrap/>
            <w:vAlign w:val="center"/>
            <w:hideMark/>
          </w:tcPr>
          <w:p w14:paraId="7E68EB2D" w14:textId="77777777" w:rsidR="000D5750" w:rsidRPr="005D0129" w:rsidRDefault="000D5750" w:rsidP="00FD400C">
            <w:pPr>
              <w:pStyle w:val="TableTextLeft"/>
            </w:pPr>
            <w:r w:rsidRPr="005D0129">
              <w:t>Commonwealth Scientific and Industrial Research Organisation</w:t>
            </w:r>
          </w:p>
        </w:tc>
        <w:tc>
          <w:tcPr>
            <w:tcW w:w="1873" w:type="dxa"/>
            <w:tcBorders>
              <w:top w:val="nil"/>
              <w:left w:val="nil"/>
              <w:right w:val="nil"/>
            </w:tcBorders>
            <w:shd w:val="clear" w:color="auto" w:fill="D9D9D9" w:themeFill="background1" w:themeFillShade="D9"/>
            <w:noWrap/>
            <w:vAlign w:val="center"/>
            <w:hideMark/>
          </w:tcPr>
          <w:p w14:paraId="1A131B74" w14:textId="77777777" w:rsidR="000D5750" w:rsidRPr="005D0129" w:rsidRDefault="000D5750" w:rsidP="00FD400C">
            <w:pPr>
              <w:pStyle w:val="TableTextRight"/>
            </w:pPr>
            <w:r w:rsidRPr="005D0129">
              <w:t>14</w:t>
            </w:r>
          </w:p>
        </w:tc>
        <w:tc>
          <w:tcPr>
            <w:tcW w:w="1741" w:type="dxa"/>
            <w:tcBorders>
              <w:top w:val="nil"/>
              <w:left w:val="nil"/>
              <w:right w:val="nil"/>
            </w:tcBorders>
            <w:shd w:val="clear" w:color="auto" w:fill="D9D9D9" w:themeFill="background1" w:themeFillShade="D9"/>
            <w:noWrap/>
            <w:vAlign w:val="center"/>
            <w:hideMark/>
          </w:tcPr>
          <w:p w14:paraId="6A10FF97" w14:textId="77777777" w:rsidR="000D5750" w:rsidRPr="005D0129" w:rsidRDefault="000D5750" w:rsidP="00FD400C">
            <w:pPr>
              <w:pStyle w:val="TableTextRight"/>
            </w:pPr>
            <w:r w:rsidRPr="005D0129">
              <w:t>6.1</w:t>
            </w:r>
          </w:p>
        </w:tc>
        <w:tc>
          <w:tcPr>
            <w:tcW w:w="1807" w:type="dxa"/>
            <w:tcBorders>
              <w:top w:val="nil"/>
              <w:left w:val="nil"/>
              <w:right w:val="nil"/>
            </w:tcBorders>
            <w:shd w:val="clear" w:color="auto" w:fill="D9D9D9" w:themeFill="background1" w:themeFillShade="D9"/>
            <w:noWrap/>
            <w:vAlign w:val="center"/>
            <w:hideMark/>
          </w:tcPr>
          <w:p w14:paraId="292A2484" w14:textId="77777777" w:rsidR="000D5750" w:rsidRPr="005D0129" w:rsidRDefault="000D5750" w:rsidP="00FD400C">
            <w:pPr>
              <w:pStyle w:val="TableTextRight"/>
            </w:pPr>
            <w:r w:rsidRPr="005D0129">
              <w:t>10</w:t>
            </w:r>
          </w:p>
        </w:tc>
        <w:tc>
          <w:tcPr>
            <w:tcW w:w="1807" w:type="dxa"/>
            <w:tcBorders>
              <w:top w:val="nil"/>
              <w:left w:val="nil"/>
              <w:right w:val="nil"/>
            </w:tcBorders>
            <w:shd w:val="clear" w:color="auto" w:fill="D9D9D9" w:themeFill="background1" w:themeFillShade="D9"/>
            <w:noWrap/>
            <w:vAlign w:val="center"/>
            <w:hideMark/>
          </w:tcPr>
          <w:p w14:paraId="50C79B91" w14:textId="77777777" w:rsidR="000D5750" w:rsidRPr="005D0129" w:rsidRDefault="000D5750" w:rsidP="00FD400C">
            <w:pPr>
              <w:pStyle w:val="TableTextRight"/>
            </w:pPr>
            <w:r w:rsidRPr="005D0129">
              <w:t>94.6%</w:t>
            </w:r>
          </w:p>
        </w:tc>
      </w:tr>
      <w:tr w:rsidR="00CB1407" w:rsidRPr="005D0129" w14:paraId="369B13B9" w14:textId="77777777" w:rsidTr="00CB1407">
        <w:trPr>
          <w:trHeight w:hRule="exact" w:val="312"/>
        </w:trPr>
        <w:tc>
          <w:tcPr>
            <w:tcW w:w="1412" w:type="dxa"/>
            <w:tcBorders>
              <w:top w:val="nil"/>
              <w:left w:val="nil"/>
              <w:bottom w:val="single" w:sz="4" w:space="0" w:color="808080" w:themeColor="background1" w:themeShade="80"/>
              <w:right w:val="nil"/>
            </w:tcBorders>
            <w:vAlign w:val="center"/>
          </w:tcPr>
          <w:p w14:paraId="09096288" w14:textId="77777777" w:rsidR="000D5750" w:rsidRPr="005D0129" w:rsidRDefault="000D5750" w:rsidP="00FD400C">
            <w:pPr>
              <w:pStyle w:val="TableTextLeft"/>
              <w:rPr>
                <w:rFonts w:cs="Times New Roman"/>
              </w:rPr>
            </w:pPr>
            <w:r w:rsidRPr="005D0129">
              <w:t>CCE</w:t>
            </w:r>
          </w:p>
        </w:tc>
        <w:tc>
          <w:tcPr>
            <w:tcW w:w="5362" w:type="dxa"/>
            <w:tcBorders>
              <w:top w:val="nil"/>
              <w:left w:val="nil"/>
              <w:bottom w:val="single" w:sz="4" w:space="0" w:color="808080" w:themeColor="background1" w:themeShade="80"/>
              <w:right w:val="nil"/>
            </w:tcBorders>
            <w:noWrap/>
            <w:vAlign w:val="center"/>
            <w:hideMark/>
          </w:tcPr>
          <w:p w14:paraId="4815B999" w14:textId="77777777" w:rsidR="000D5750" w:rsidRPr="005D0129" w:rsidRDefault="000D5750" w:rsidP="00FD400C">
            <w:pPr>
              <w:pStyle w:val="TableTextLeft"/>
            </w:pPr>
            <w:r w:rsidRPr="005D0129">
              <w:t>Commonwealth Superannuation Corporation</w:t>
            </w:r>
          </w:p>
        </w:tc>
        <w:tc>
          <w:tcPr>
            <w:tcW w:w="1873" w:type="dxa"/>
            <w:tcBorders>
              <w:top w:val="nil"/>
              <w:left w:val="nil"/>
              <w:bottom w:val="single" w:sz="4" w:space="0" w:color="808080" w:themeColor="background1" w:themeShade="80"/>
              <w:right w:val="nil"/>
            </w:tcBorders>
            <w:noWrap/>
            <w:vAlign w:val="center"/>
            <w:hideMark/>
          </w:tcPr>
          <w:p w14:paraId="047DF349" w14:textId="77777777" w:rsidR="000D5750" w:rsidRPr="005D0129" w:rsidRDefault="000D5750" w:rsidP="00FD400C">
            <w:pPr>
              <w:pStyle w:val="TableTextRight"/>
            </w:pPr>
            <w:r w:rsidRPr="005D0129">
              <w:t>20</w:t>
            </w:r>
          </w:p>
        </w:tc>
        <w:tc>
          <w:tcPr>
            <w:tcW w:w="1741" w:type="dxa"/>
            <w:tcBorders>
              <w:top w:val="nil"/>
              <w:left w:val="nil"/>
              <w:bottom w:val="single" w:sz="4" w:space="0" w:color="808080" w:themeColor="background1" w:themeShade="80"/>
              <w:right w:val="nil"/>
            </w:tcBorders>
            <w:noWrap/>
            <w:vAlign w:val="center"/>
            <w:hideMark/>
          </w:tcPr>
          <w:p w14:paraId="6EEADCAE" w14:textId="77777777" w:rsidR="000D5750" w:rsidRPr="005D0129" w:rsidRDefault="000D5750" w:rsidP="00FD400C">
            <w:pPr>
              <w:pStyle w:val="TableTextRight"/>
            </w:pPr>
            <w:r w:rsidRPr="005D0129">
              <w:t>8.1</w:t>
            </w:r>
          </w:p>
        </w:tc>
        <w:tc>
          <w:tcPr>
            <w:tcW w:w="1807" w:type="dxa"/>
            <w:tcBorders>
              <w:top w:val="nil"/>
              <w:left w:val="nil"/>
              <w:bottom w:val="single" w:sz="4" w:space="0" w:color="808080" w:themeColor="background1" w:themeShade="80"/>
              <w:right w:val="nil"/>
            </w:tcBorders>
            <w:noWrap/>
            <w:vAlign w:val="center"/>
            <w:hideMark/>
          </w:tcPr>
          <w:p w14:paraId="43210303" w14:textId="77777777" w:rsidR="000D5750" w:rsidRPr="005D0129" w:rsidRDefault="000D5750" w:rsidP="00FD400C">
            <w:pPr>
              <w:pStyle w:val="TableTextRight"/>
            </w:pPr>
            <w:r w:rsidRPr="005D0129">
              <w:t>22</w:t>
            </w:r>
          </w:p>
        </w:tc>
        <w:tc>
          <w:tcPr>
            <w:tcW w:w="1807" w:type="dxa"/>
            <w:tcBorders>
              <w:top w:val="nil"/>
              <w:left w:val="nil"/>
              <w:bottom w:val="single" w:sz="4" w:space="0" w:color="808080" w:themeColor="background1" w:themeShade="80"/>
              <w:right w:val="nil"/>
            </w:tcBorders>
            <w:noWrap/>
            <w:vAlign w:val="center"/>
            <w:hideMark/>
          </w:tcPr>
          <w:p w14:paraId="647D510C" w14:textId="77777777" w:rsidR="000D5750" w:rsidRPr="005D0129" w:rsidRDefault="000D5750" w:rsidP="00FD400C">
            <w:pPr>
              <w:pStyle w:val="TableTextRight"/>
            </w:pPr>
            <w:r w:rsidRPr="005D0129">
              <w:t>93.9%</w:t>
            </w:r>
          </w:p>
        </w:tc>
      </w:tr>
    </w:tbl>
    <w:p w14:paraId="3C41B93E" w14:textId="0E4605E9" w:rsidR="006D630B" w:rsidRPr="006D630B" w:rsidRDefault="006D630B" w:rsidP="006D630B">
      <w:pPr>
        <w:pStyle w:val="TableHeadingContinued"/>
      </w:pPr>
      <w:r w:rsidRPr="006D630B">
        <w:lastRenderedPageBreak/>
        <w:t>Table 2: Commonwealth reporting entities key metrics, Reporting Cycle 9 (continued)</w:t>
      </w:r>
    </w:p>
    <w:tbl>
      <w:tblPr>
        <w:tblW w:w="5001" w:type="pct"/>
        <w:tblLayout w:type="fixed"/>
        <w:tblLook w:val="04A0" w:firstRow="1" w:lastRow="0" w:firstColumn="1" w:lastColumn="0" w:noHBand="0" w:noVBand="1"/>
      </w:tblPr>
      <w:tblGrid>
        <w:gridCol w:w="1410"/>
        <w:gridCol w:w="5368"/>
        <w:gridCol w:w="1871"/>
        <w:gridCol w:w="1740"/>
        <w:gridCol w:w="1808"/>
        <w:gridCol w:w="1808"/>
      </w:tblGrid>
      <w:tr w:rsidR="00CB1407" w:rsidRPr="005D0129" w14:paraId="22B5A897" w14:textId="77777777" w:rsidTr="00CB1407">
        <w:trPr>
          <w:trHeight w:val="737"/>
        </w:trPr>
        <w:tc>
          <w:tcPr>
            <w:tcW w:w="1410" w:type="dxa"/>
            <w:tcBorders>
              <w:top w:val="nil"/>
              <w:left w:val="nil"/>
              <w:bottom w:val="nil"/>
              <w:right w:val="nil"/>
            </w:tcBorders>
            <w:shd w:val="clear" w:color="auto" w:fill="A6A6A6" w:themeFill="background1" w:themeFillShade="A6"/>
            <w:tcMar>
              <w:top w:w="108" w:type="dxa"/>
              <w:bottom w:w="108" w:type="dxa"/>
            </w:tcMar>
            <w:vAlign w:val="bottom"/>
          </w:tcPr>
          <w:p w14:paraId="77936714" w14:textId="667EB2C7" w:rsidR="0066793C" w:rsidRPr="005D0129" w:rsidRDefault="005F1163" w:rsidP="0066793C">
            <w:pPr>
              <w:pStyle w:val="TableColumnHeadingLeft"/>
            </w:pPr>
            <w:proofErr w:type="spellStart"/>
            <w:r w:rsidRPr="005D0129">
              <w:t>Cth</w:t>
            </w:r>
            <w:proofErr w:type="spellEnd"/>
            <w:r w:rsidRPr="005D0129">
              <w:t xml:space="preserve"> entity type</w:t>
            </w:r>
            <w:r w:rsidRPr="005D0129">
              <w:rPr>
                <w:sz w:val="22"/>
                <w:szCs w:val="24"/>
                <w:vertAlign w:val="superscript"/>
              </w:rPr>
              <w:footnoteReference w:id="3"/>
            </w:r>
          </w:p>
        </w:tc>
        <w:tc>
          <w:tcPr>
            <w:tcW w:w="5368" w:type="dxa"/>
            <w:tcBorders>
              <w:top w:val="nil"/>
              <w:left w:val="nil"/>
              <w:bottom w:val="nil"/>
              <w:right w:val="nil"/>
            </w:tcBorders>
            <w:shd w:val="clear" w:color="auto" w:fill="A6A6A6" w:themeFill="background1" w:themeFillShade="A6"/>
            <w:noWrap/>
            <w:tcMar>
              <w:top w:w="108" w:type="dxa"/>
              <w:bottom w:w="108" w:type="dxa"/>
            </w:tcMar>
            <w:vAlign w:val="bottom"/>
          </w:tcPr>
          <w:p w14:paraId="6CE65868" w14:textId="78529EAF" w:rsidR="0066793C" w:rsidRPr="005D0129" w:rsidRDefault="0066793C" w:rsidP="0066793C">
            <w:pPr>
              <w:pStyle w:val="TableColumnHeadingLeft"/>
            </w:pPr>
            <w:r w:rsidRPr="005D0129">
              <w:t xml:space="preserve">Commonwealth </w:t>
            </w:r>
            <w:r w:rsidR="0051625B">
              <w:t>e</w:t>
            </w:r>
            <w:r w:rsidRPr="005D0129">
              <w:t>ntity name</w:t>
            </w:r>
            <w:r w:rsidR="00CB1407" w:rsidRPr="005D0129">
              <w:br/>
              <w:t>in alphabetical order</w:t>
            </w:r>
          </w:p>
        </w:tc>
        <w:tc>
          <w:tcPr>
            <w:tcW w:w="1871" w:type="dxa"/>
            <w:tcBorders>
              <w:top w:val="nil"/>
              <w:left w:val="nil"/>
              <w:bottom w:val="nil"/>
              <w:right w:val="nil"/>
            </w:tcBorders>
            <w:shd w:val="clear" w:color="auto" w:fill="A6A6A6" w:themeFill="background1" w:themeFillShade="A6"/>
            <w:noWrap/>
            <w:tcMar>
              <w:top w:w="108" w:type="dxa"/>
              <w:bottom w:w="108" w:type="dxa"/>
            </w:tcMar>
            <w:vAlign w:val="bottom"/>
          </w:tcPr>
          <w:p w14:paraId="5BDA8E95" w14:textId="4337A17B" w:rsidR="0066793C" w:rsidRPr="005D0129" w:rsidRDefault="0066793C" w:rsidP="0066793C">
            <w:pPr>
              <w:pStyle w:val="TableColumnHeadingRight"/>
              <w:rPr>
                <w:color w:val="auto"/>
              </w:rPr>
            </w:pPr>
            <w:r w:rsidRPr="005D0129">
              <w:rPr>
                <w:color w:val="auto"/>
              </w:rPr>
              <w:t xml:space="preserve">Common </w:t>
            </w:r>
            <w:r w:rsidR="00C34581">
              <w:rPr>
                <w:color w:val="auto"/>
              </w:rPr>
              <w:t>p</w:t>
            </w:r>
            <w:r w:rsidRPr="005D0129">
              <w:rPr>
                <w:color w:val="auto"/>
              </w:rPr>
              <w:t xml:space="preserve">ayment </w:t>
            </w:r>
            <w:r w:rsidR="00C34581">
              <w:rPr>
                <w:color w:val="auto"/>
              </w:rPr>
              <w:t>t</w:t>
            </w:r>
            <w:r w:rsidRPr="005D0129">
              <w:rPr>
                <w:color w:val="auto"/>
              </w:rPr>
              <w:t>erm (days)</w:t>
            </w:r>
          </w:p>
        </w:tc>
        <w:tc>
          <w:tcPr>
            <w:tcW w:w="1740" w:type="dxa"/>
            <w:tcBorders>
              <w:top w:val="nil"/>
              <w:left w:val="nil"/>
              <w:bottom w:val="nil"/>
              <w:right w:val="nil"/>
            </w:tcBorders>
            <w:shd w:val="clear" w:color="auto" w:fill="A6A6A6" w:themeFill="background1" w:themeFillShade="A6"/>
            <w:noWrap/>
            <w:tcMar>
              <w:top w:w="108" w:type="dxa"/>
              <w:bottom w:w="108" w:type="dxa"/>
            </w:tcMar>
            <w:vAlign w:val="bottom"/>
          </w:tcPr>
          <w:p w14:paraId="6A9CCD42" w14:textId="42B34730" w:rsidR="0066793C" w:rsidRPr="005D0129" w:rsidRDefault="0066793C" w:rsidP="0066793C">
            <w:pPr>
              <w:pStyle w:val="TableColumnHeadingRight"/>
              <w:rPr>
                <w:color w:val="auto"/>
              </w:rPr>
            </w:pPr>
            <w:r w:rsidRPr="005D0129">
              <w:rPr>
                <w:color w:val="auto"/>
              </w:rPr>
              <w:t xml:space="preserve">Average </w:t>
            </w:r>
            <w:r w:rsidR="00C34581">
              <w:rPr>
                <w:color w:val="auto"/>
              </w:rPr>
              <w:t>p</w:t>
            </w:r>
            <w:r w:rsidRPr="005D0129">
              <w:rPr>
                <w:color w:val="auto"/>
              </w:rPr>
              <w:t xml:space="preserve">ayment </w:t>
            </w:r>
            <w:r w:rsidR="00C34581">
              <w:rPr>
                <w:color w:val="auto"/>
              </w:rPr>
              <w:t>t</w:t>
            </w:r>
            <w:r w:rsidRPr="005D0129">
              <w:rPr>
                <w:color w:val="auto"/>
              </w:rPr>
              <w:t xml:space="preserve">ime (days) </w:t>
            </w:r>
          </w:p>
        </w:tc>
        <w:tc>
          <w:tcPr>
            <w:tcW w:w="1808" w:type="dxa"/>
            <w:tcBorders>
              <w:top w:val="nil"/>
              <w:left w:val="nil"/>
              <w:bottom w:val="nil"/>
              <w:right w:val="nil"/>
            </w:tcBorders>
            <w:shd w:val="clear" w:color="auto" w:fill="A6A6A6" w:themeFill="background1" w:themeFillShade="A6"/>
            <w:noWrap/>
            <w:tcMar>
              <w:top w:w="108" w:type="dxa"/>
              <w:bottom w:w="108" w:type="dxa"/>
            </w:tcMar>
            <w:vAlign w:val="bottom"/>
          </w:tcPr>
          <w:p w14:paraId="1C7B42BB" w14:textId="38DD6731" w:rsidR="0066793C" w:rsidRPr="005D0129" w:rsidRDefault="0066793C" w:rsidP="0066793C">
            <w:pPr>
              <w:pStyle w:val="TableColumnHeadingRight"/>
              <w:rPr>
                <w:color w:val="auto"/>
              </w:rPr>
            </w:pPr>
            <w:r w:rsidRPr="005D0129">
              <w:rPr>
                <w:color w:val="auto"/>
              </w:rPr>
              <w:t xml:space="preserve">95th </w:t>
            </w:r>
            <w:r w:rsidR="00C34581">
              <w:rPr>
                <w:color w:val="auto"/>
              </w:rPr>
              <w:t>p</w:t>
            </w:r>
            <w:r w:rsidRPr="005D0129">
              <w:rPr>
                <w:color w:val="auto"/>
              </w:rPr>
              <w:t xml:space="preserve">ercentile </w:t>
            </w:r>
            <w:r w:rsidR="00C34581">
              <w:rPr>
                <w:color w:val="auto"/>
              </w:rPr>
              <w:t>p</w:t>
            </w:r>
            <w:r w:rsidRPr="005D0129">
              <w:rPr>
                <w:color w:val="auto"/>
              </w:rPr>
              <w:t xml:space="preserve">ayment </w:t>
            </w:r>
            <w:r w:rsidR="00C34581">
              <w:rPr>
                <w:color w:val="auto"/>
              </w:rPr>
              <w:t>t</w:t>
            </w:r>
            <w:r w:rsidRPr="005D0129">
              <w:rPr>
                <w:color w:val="auto"/>
              </w:rPr>
              <w:t>ime (days)</w:t>
            </w:r>
          </w:p>
        </w:tc>
        <w:tc>
          <w:tcPr>
            <w:tcW w:w="1808" w:type="dxa"/>
            <w:tcBorders>
              <w:top w:val="nil"/>
              <w:left w:val="nil"/>
              <w:bottom w:val="nil"/>
              <w:right w:val="nil"/>
            </w:tcBorders>
            <w:shd w:val="clear" w:color="auto" w:fill="A6A6A6" w:themeFill="background1" w:themeFillShade="A6"/>
            <w:noWrap/>
            <w:tcMar>
              <w:top w:w="108" w:type="dxa"/>
              <w:bottom w:w="108" w:type="dxa"/>
            </w:tcMar>
            <w:vAlign w:val="bottom"/>
          </w:tcPr>
          <w:p w14:paraId="3FBBCD09" w14:textId="1F780434" w:rsidR="0066793C" w:rsidRPr="005D0129" w:rsidRDefault="00FF532E" w:rsidP="0066793C">
            <w:pPr>
              <w:pStyle w:val="TableColumnHeadingRight"/>
              <w:rPr>
                <w:color w:val="auto"/>
              </w:rPr>
            </w:pPr>
            <w:r>
              <w:rPr>
                <w:color w:val="auto"/>
              </w:rPr>
              <w:t>Invoices p</w:t>
            </w:r>
            <w:r w:rsidR="00C34581" w:rsidRPr="005D0129">
              <w:rPr>
                <w:color w:val="auto"/>
              </w:rPr>
              <w:t>aid</w:t>
            </w:r>
            <w:r>
              <w:rPr>
                <w:color w:val="auto"/>
              </w:rPr>
              <w:br/>
            </w:r>
            <w:r w:rsidR="00C34581">
              <w:rPr>
                <w:color w:val="auto"/>
              </w:rPr>
              <w:t>on time</w:t>
            </w:r>
            <w:r w:rsidR="007B4B95">
              <w:rPr>
                <w:color w:val="auto"/>
              </w:rPr>
              <w:br/>
            </w:r>
            <w:r w:rsidR="0066793C" w:rsidRPr="005D0129">
              <w:rPr>
                <w:color w:val="auto"/>
              </w:rPr>
              <w:t xml:space="preserve"> (%)</w:t>
            </w:r>
          </w:p>
        </w:tc>
      </w:tr>
      <w:tr w:rsidR="00B23E10" w:rsidRPr="005D0129" w14:paraId="15F5632F" w14:textId="77777777" w:rsidTr="00CB1407">
        <w:trPr>
          <w:trHeight w:hRule="exact" w:val="312"/>
        </w:trPr>
        <w:tc>
          <w:tcPr>
            <w:tcW w:w="1410" w:type="dxa"/>
            <w:tcBorders>
              <w:top w:val="nil"/>
              <w:left w:val="nil"/>
              <w:bottom w:val="nil"/>
              <w:right w:val="nil"/>
            </w:tcBorders>
            <w:vAlign w:val="center"/>
          </w:tcPr>
          <w:p w14:paraId="5790318B" w14:textId="2BF1A3E2" w:rsidR="00B23E10" w:rsidRPr="005D0129" w:rsidRDefault="00B23E10" w:rsidP="00CB1407">
            <w:pPr>
              <w:pStyle w:val="TableTextLeft"/>
            </w:pPr>
            <w:r w:rsidRPr="005D0129">
              <w:t>CCE</w:t>
            </w:r>
          </w:p>
        </w:tc>
        <w:tc>
          <w:tcPr>
            <w:tcW w:w="5368" w:type="dxa"/>
            <w:tcBorders>
              <w:top w:val="nil"/>
              <w:left w:val="nil"/>
              <w:bottom w:val="nil"/>
              <w:right w:val="nil"/>
            </w:tcBorders>
            <w:noWrap/>
            <w:vAlign w:val="center"/>
          </w:tcPr>
          <w:p w14:paraId="51C97557" w14:textId="7028D65D" w:rsidR="00B23E10" w:rsidRPr="005D0129" w:rsidRDefault="00B23E10" w:rsidP="00CB1407">
            <w:pPr>
              <w:pStyle w:val="TableTextLeft"/>
            </w:pPr>
            <w:r w:rsidRPr="005D0129">
              <w:t>Creative Australia</w:t>
            </w:r>
          </w:p>
        </w:tc>
        <w:tc>
          <w:tcPr>
            <w:tcW w:w="1871" w:type="dxa"/>
            <w:tcBorders>
              <w:top w:val="nil"/>
              <w:left w:val="nil"/>
              <w:bottom w:val="nil"/>
              <w:right w:val="nil"/>
            </w:tcBorders>
            <w:noWrap/>
            <w:vAlign w:val="center"/>
          </w:tcPr>
          <w:p w14:paraId="38A76E43" w14:textId="69B48FA4" w:rsidR="00B23E10" w:rsidRPr="005D0129" w:rsidRDefault="00B23E10" w:rsidP="00CB1407">
            <w:pPr>
              <w:pStyle w:val="TableTextRight"/>
            </w:pPr>
            <w:r w:rsidRPr="005D0129">
              <w:t>30</w:t>
            </w:r>
          </w:p>
        </w:tc>
        <w:tc>
          <w:tcPr>
            <w:tcW w:w="1740" w:type="dxa"/>
            <w:tcBorders>
              <w:top w:val="nil"/>
              <w:left w:val="nil"/>
              <w:bottom w:val="nil"/>
              <w:right w:val="nil"/>
            </w:tcBorders>
            <w:noWrap/>
            <w:vAlign w:val="center"/>
          </w:tcPr>
          <w:p w14:paraId="0A3DCA26" w14:textId="4EF7691C" w:rsidR="00B23E10" w:rsidRPr="005D0129" w:rsidRDefault="00B23E10" w:rsidP="00CB1407">
            <w:pPr>
              <w:pStyle w:val="TableTextRight"/>
            </w:pPr>
            <w:r w:rsidRPr="005D0129">
              <w:t>19.3</w:t>
            </w:r>
          </w:p>
        </w:tc>
        <w:tc>
          <w:tcPr>
            <w:tcW w:w="1808" w:type="dxa"/>
            <w:tcBorders>
              <w:top w:val="nil"/>
              <w:left w:val="nil"/>
              <w:bottom w:val="nil"/>
              <w:right w:val="nil"/>
            </w:tcBorders>
            <w:noWrap/>
            <w:vAlign w:val="center"/>
          </w:tcPr>
          <w:p w14:paraId="7F80C40E" w14:textId="04882B8C" w:rsidR="00B23E10" w:rsidRPr="005D0129" w:rsidRDefault="00B23E10" w:rsidP="00CB1407">
            <w:pPr>
              <w:pStyle w:val="TableTextRight"/>
            </w:pPr>
            <w:r w:rsidRPr="005D0129">
              <w:t>48</w:t>
            </w:r>
          </w:p>
        </w:tc>
        <w:tc>
          <w:tcPr>
            <w:tcW w:w="1808" w:type="dxa"/>
            <w:tcBorders>
              <w:top w:val="nil"/>
              <w:left w:val="nil"/>
              <w:bottom w:val="nil"/>
              <w:right w:val="nil"/>
            </w:tcBorders>
            <w:noWrap/>
            <w:vAlign w:val="center"/>
          </w:tcPr>
          <w:p w14:paraId="09EE4C65" w14:textId="76FB3B33" w:rsidR="00B23E10" w:rsidRPr="005D0129" w:rsidRDefault="00B23E10" w:rsidP="00CB1407">
            <w:pPr>
              <w:pStyle w:val="TableTextRight"/>
            </w:pPr>
            <w:r w:rsidRPr="005D0129">
              <w:t>88.9%</w:t>
            </w:r>
          </w:p>
        </w:tc>
      </w:tr>
      <w:tr w:rsidR="00CB1407" w:rsidRPr="005D0129" w14:paraId="4D9D3D2B" w14:textId="77777777" w:rsidTr="00CB1407">
        <w:trPr>
          <w:trHeight w:hRule="exact" w:val="312"/>
        </w:trPr>
        <w:tc>
          <w:tcPr>
            <w:tcW w:w="1410" w:type="dxa"/>
            <w:tcBorders>
              <w:top w:val="nil"/>
              <w:left w:val="nil"/>
              <w:bottom w:val="nil"/>
              <w:right w:val="nil"/>
            </w:tcBorders>
            <w:shd w:val="clear" w:color="auto" w:fill="D9D9D9" w:themeFill="background1" w:themeFillShade="D9"/>
            <w:vAlign w:val="center"/>
          </w:tcPr>
          <w:p w14:paraId="220A2829"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shd w:val="clear" w:color="auto" w:fill="D9D9D9" w:themeFill="background1" w:themeFillShade="D9"/>
            <w:noWrap/>
            <w:vAlign w:val="center"/>
            <w:hideMark/>
          </w:tcPr>
          <w:p w14:paraId="7AB373C6" w14:textId="77777777" w:rsidR="000D5750" w:rsidRPr="005D0129" w:rsidRDefault="000D5750" w:rsidP="00CB1407">
            <w:pPr>
              <w:pStyle w:val="TableTextLeft"/>
            </w:pPr>
            <w:r w:rsidRPr="005D0129">
              <w:t>Defence Housing Australia</w:t>
            </w:r>
          </w:p>
        </w:tc>
        <w:tc>
          <w:tcPr>
            <w:tcW w:w="1871" w:type="dxa"/>
            <w:tcBorders>
              <w:top w:val="nil"/>
              <w:left w:val="nil"/>
              <w:bottom w:val="nil"/>
              <w:right w:val="nil"/>
            </w:tcBorders>
            <w:shd w:val="clear" w:color="auto" w:fill="D9D9D9" w:themeFill="background1" w:themeFillShade="D9"/>
            <w:noWrap/>
            <w:vAlign w:val="center"/>
            <w:hideMark/>
          </w:tcPr>
          <w:p w14:paraId="516D7830" w14:textId="77777777" w:rsidR="000D5750" w:rsidRPr="005D0129" w:rsidRDefault="000D5750" w:rsidP="00CB1407">
            <w:pPr>
              <w:pStyle w:val="TableTextRight"/>
            </w:pPr>
            <w:r w:rsidRPr="005D0129">
              <w:t>30</w:t>
            </w:r>
          </w:p>
        </w:tc>
        <w:tc>
          <w:tcPr>
            <w:tcW w:w="1740" w:type="dxa"/>
            <w:tcBorders>
              <w:top w:val="nil"/>
              <w:left w:val="nil"/>
              <w:bottom w:val="nil"/>
              <w:right w:val="nil"/>
            </w:tcBorders>
            <w:shd w:val="clear" w:color="auto" w:fill="D9D9D9" w:themeFill="background1" w:themeFillShade="D9"/>
            <w:noWrap/>
            <w:vAlign w:val="center"/>
            <w:hideMark/>
          </w:tcPr>
          <w:p w14:paraId="6FA8B867" w14:textId="77777777" w:rsidR="000D5750" w:rsidRPr="005D0129" w:rsidRDefault="000D5750" w:rsidP="00CB1407">
            <w:pPr>
              <w:pStyle w:val="TableTextRight"/>
            </w:pPr>
            <w:r w:rsidRPr="005D0129">
              <w:t>2.0</w:t>
            </w:r>
          </w:p>
        </w:tc>
        <w:tc>
          <w:tcPr>
            <w:tcW w:w="1808" w:type="dxa"/>
            <w:tcBorders>
              <w:top w:val="nil"/>
              <w:left w:val="nil"/>
              <w:bottom w:val="nil"/>
              <w:right w:val="nil"/>
            </w:tcBorders>
            <w:shd w:val="clear" w:color="auto" w:fill="D9D9D9" w:themeFill="background1" w:themeFillShade="D9"/>
            <w:noWrap/>
            <w:vAlign w:val="center"/>
            <w:hideMark/>
          </w:tcPr>
          <w:p w14:paraId="36B747FF" w14:textId="77777777" w:rsidR="000D5750" w:rsidRPr="005D0129" w:rsidRDefault="000D5750" w:rsidP="00CB1407">
            <w:pPr>
              <w:pStyle w:val="TableTextRight"/>
            </w:pPr>
            <w:r w:rsidRPr="005D0129">
              <w:t>5</w:t>
            </w:r>
          </w:p>
        </w:tc>
        <w:tc>
          <w:tcPr>
            <w:tcW w:w="1808" w:type="dxa"/>
            <w:tcBorders>
              <w:top w:val="nil"/>
              <w:left w:val="nil"/>
              <w:bottom w:val="nil"/>
              <w:right w:val="nil"/>
            </w:tcBorders>
            <w:shd w:val="clear" w:color="auto" w:fill="D9D9D9" w:themeFill="background1" w:themeFillShade="D9"/>
            <w:noWrap/>
            <w:vAlign w:val="center"/>
            <w:hideMark/>
          </w:tcPr>
          <w:p w14:paraId="3051CFCA" w14:textId="77777777" w:rsidR="000D5750" w:rsidRPr="005D0129" w:rsidRDefault="000D5750" w:rsidP="00CB1407">
            <w:pPr>
              <w:pStyle w:val="TableTextRight"/>
            </w:pPr>
            <w:r w:rsidRPr="005D0129">
              <w:t>79.0%</w:t>
            </w:r>
          </w:p>
        </w:tc>
      </w:tr>
      <w:tr w:rsidR="00CB1407" w:rsidRPr="005D0129" w14:paraId="1D82B3B1" w14:textId="77777777" w:rsidTr="00CB1407">
        <w:trPr>
          <w:trHeight w:hRule="exact" w:val="312"/>
        </w:trPr>
        <w:tc>
          <w:tcPr>
            <w:tcW w:w="1410" w:type="dxa"/>
            <w:tcBorders>
              <w:top w:val="nil"/>
              <w:left w:val="nil"/>
              <w:bottom w:val="nil"/>
              <w:right w:val="nil"/>
            </w:tcBorders>
            <w:vAlign w:val="center"/>
          </w:tcPr>
          <w:p w14:paraId="24406AB9"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noWrap/>
            <w:vAlign w:val="center"/>
            <w:hideMark/>
          </w:tcPr>
          <w:p w14:paraId="564AF55A" w14:textId="77777777" w:rsidR="000D5750" w:rsidRPr="005D0129" w:rsidRDefault="000D5750" w:rsidP="00CB1407">
            <w:pPr>
              <w:pStyle w:val="TableTextLeft"/>
            </w:pPr>
            <w:r w:rsidRPr="005D0129">
              <w:t>Director of National Parks</w:t>
            </w:r>
          </w:p>
        </w:tc>
        <w:tc>
          <w:tcPr>
            <w:tcW w:w="1871" w:type="dxa"/>
            <w:tcBorders>
              <w:top w:val="nil"/>
              <w:left w:val="nil"/>
              <w:bottom w:val="nil"/>
              <w:right w:val="nil"/>
            </w:tcBorders>
            <w:noWrap/>
            <w:vAlign w:val="center"/>
            <w:hideMark/>
          </w:tcPr>
          <w:p w14:paraId="14B355BD" w14:textId="77777777" w:rsidR="000D5750" w:rsidRPr="005D0129" w:rsidRDefault="000D5750" w:rsidP="00CB1407">
            <w:pPr>
              <w:pStyle w:val="TableTextRight"/>
            </w:pPr>
            <w:r w:rsidRPr="005D0129">
              <w:t>20</w:t>
            </w:r>
          </w:p>
        </w:tc>
        <w:tc>
          <w:tcPr>
            <w:tcW w:w="1740" w:type="dxa"/>
            <w:tcBorders>
              <w:top w:val="nil"/>
              <w:left w:val="nil"/>
              <w:bottom w:val="nil"/>
              <w:right w:val="nil"/>
            </w:tcBorders>
            <w:noWrap/>
            <w:vAlign w:val="center"/>
            <w:hideMark/>
          </w:tcPr>
          <w:p w14:paraId="3EECF78C" w14:textId="77777777" w:rsidR="000D5750" w:rsidRPr="005D0129" w:rsidRDefault="000D5750" w:rsidP="00CB1407">
            <w:pPr>
              <w:pStyle w:val="TableTextRight"/>
            </w:pPr>
            <w:r w:rsidRPr="005D0129">
              <w:t>10.2</w:t>
            </w:r>
          </w:p>
        </w:tc>
        <w:tc>
          <w:tcPr>
            <w:tcW w:w="1808" w:type="dxa"/>
            <w:tcBorders>
              <w:top w:val="nil"/>
              <w:left w:val="nil"/>
              <w:bottom w:val="nil"/>
              <w:right w:val="nil"/>
            </w:tcBorders>
            <w:noWrap/>
            <w:vAlign w:val="center"/>
            <w:hideMark/>
          </w:tcPr>
          <w:p w14:paraId="23E17F11" w14:textId="77777777" w:rsidR="000D5750" w:rsidRPr="005D0129" w:rsidRDefault="000D5750" w:rsidP="00CB1407">
            <w:pPr>
              <w:pStyle w:val="TableTextRight"/>
            </w:pPr>
            <w:r w:rsidRPr="005D0129">
              <w:t>28</w:t>
            </w:r>
          </w:p>
        </w:tc>
        <w:tc>
          <w:tcPr>
            <w:tcW w:w="1808" w:type="dxa"/>
            <w:tcBorders>
              <w:top w:val="nil"/>
              <w:left w:val="nil"/>
              <w:bottom w:val="nil"/>
              <w:right w:val="nil"/>
            </w:tcBorders>
            <w:noWrap/>
            <w:vAlign w:val="center"/>
            <w:hideMark/>
          </w:tcPr>
          <w:p w14:paraId="1CD47469" w14:textId="77777777" w:rsidR="000D5750" w:rsidRPr="005D0129" w:rsidRDefault="000D5750" w:rsidP="00CB1407">
            <w:pPr>
              <w:pStyle w:val="TableTextRight"/>
            </w:pPr>
            <w:r w:rsidRPr="005D0129">
              <w:t>90.9%</w:t>
            </w:r>
          </w:p>
        </w:tc>
      </w:tr>
      <w:tr w:rsidR="00CB1407" w:rsidRPr="005D0129" w14:paraId="55E98100" w14:textId="77777777" w:rsidTr="00CB1407">
        <w:trPr>
          <w:trHeight w:hRule="exact" w:val="312"/>
        </w:trPr>
        <w:tc>
          <w:tcPr>
            <w:tcW w:w="1410" w:type="dxa"/>
            <w:tcBorders>
              <w:top w:val="nil"/>
              <w:left w:val="nil"/>
              <w:bottom w:val="nil"/>
              <w:right w:val="nil"/>
            </w:tcBorders>
            <w:shd w:val="clear" w:color="auto" w:fill="D9D9D9" w:themeFill="background1" w:themeFillShade="D9"/>
            <w:vAlign w:val="center"/>
          </w:tcPr>
          <w:p w14:paraId="3A345515"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shd w:val="clear" w:color="auto" w:fill="D9D9D9" w:themeFill="background1" w:themeFillShade="D9"/>
            <w:noWrap/>
            <w:vAlign w:val="center"/>
            <w:hideMark/>
          </w:tcPr>
          <w:p w14:paraId="04B0E0EC" w14:textId="77777777" w:rsidR="000D5750" w:rsidRPr="005D0129" w:rsidRDefault="000D5750" w:rsidP="00CB1407">
            <w:pPr>
              <w:pStyle w:val="TableTextLeft"/>
            </w:pPr>
            <w:r w:rsidRPr="005D0129">
              <w:t>Export Finance and Insurance Corp</w:t>
            </w:r>
          </w:p>
        </w:tc>
        <w:tc>
          <w:tcPr>
            <w:tcW w:w="1871" w:type="dxa"/>
            <w:tcBorders>
              <w:top w:val="nil"/>
              <w:left w:val="nil"/>
              <w:bottom w:val="nil"/>
              <w:right w:val="nil"/>
            </w:tcBorders>
            <w:shd w:val="clear" w:color="auto" w:fill="D9D9D9" w:themeFill="background1" w:themeFillShade="D9"/>
            <w:noWrap/>
            <w:vAlign w:val="center"/>
            <w:hideMark/>
          </w:tcPr>
          <w:p w14:paraId="10B16C7E" w14:textId="77777777" w:rsidR="000D5750" w:rsidRPr="005D0129" w:rsidRDefault="000D5750" w:rsidP="00CB1407">
            <w:pPr>
              <w:pStyle w:val="TableTextRight"/>
            </w:pPr>
            <w:r w:rsidRPr="005D0129">
              <w:t>14</w:t>
            </w:r>
          </w:p>
        </w:tc>
        <w:tc>
          <w:tcPr>
            <w:tcW w:w="1740" w:type="dxa"/>
            <w:tcBorders>
              <w:top w:val="nil"/>
              <w:left w:val="nil"/>
              <w:bottom w:val="nil"/>
              <w:right w:val="nil"/>
            </w:tcBorders>
            <w:shd w:val="clear" w:color="auto" w:fill="D9D9D9" w:themeFill="background1" w:themeFillShade="D9"/>
            <w:noWrap/>
            <w:vAlign w:val="center"/>
            <w:hideMark/>
          </w:tcPr>
          <w:p w14:paraId="019BDE71" w14:textId="77777777" w:rsidR="000D5750" w:rsidRPr="005D0129" w:rsidRDefault="000D5750" w:rsidP="00CB1407">
            <w:pPr>
              <w:pStyle w:val="TableTextRight"/>
            </w:pPr>
            <w:r w:rsidRPr="005D0129">
              <w:t>14.0</w:t>
            </w:r>
          </w:p>
        </w:tc>
        <w:tc>
          <w:tcPr>
            <w:tcW w:w="1808" w:type="dxa"/>
            <w:tcBorders>
              <w:top w:val="nil"/>
              <w:left w:val="nil"/>
              <w:bottom w:val="nil"/>
              <w:right w:val="nil"/>
            </w:tcBorders>
            <w:shd w:val="clear" w:color="auto" w:fill="D9D9D9" w:themeFill="background1" w:themeFillShade="D9"/>
            <w:noWrap/>
            <w:vAlign w:val="center"/>
            <w:hideMark/>
          </w:tcPr>
          <w:p w14:paraId="53B13F29" w14:textId="77777777" w:rsidR="000D5750" w:rsidRPr="005D0129" w:rsidRDefault="000D5750" w:rsidP="00CB1407">
            <w:pPr>
              <w:pStyle w:val="TableTextRight"/>
            </w:pPr>
            <w:r w:rsidRPr="005D0129">
              <w:t>31</w:t>
            </w:r>
          </w:p>
        </w:tc>
        <w:tc>
          <w:tcPr>
            <w:tcW w:w="1808" w:type="dxa"/>
            <w:tcBorders>
              <w:top w:val="nil"/>
              <w:left w:val="nil"/>
              <w:bottom w:val="nil"/>
              <w:right w:val="nil"/>
            </w:tcBorders>
            <w:shd w:val="clear" w:color="auto" w:fill="D9D9D9" w:themeFill="background1" w:themeFillShade="D9"/>
            <w:noWrap/>
            <w:vAlign w:val="center"/>
            <w:hideMark/>
          </w:tcPr>
          <w:p w14:paraId="51D0E4E2" w14:textId="77777777" w:rsidR="000D5750" w:rsidRPr="005D0129" w:rsidRDefault="000D5750" w:rsidP="00CB1407">
            <w:pPr>
              <w:pStyle w:val="TableTextRight"/>
            </w:pPr>
            <w:r w:rsidRPr="005D0129">
              <w:t>57.9%</w:t>
            </w:r>
          </w:p>
        </w:tc>
      </w:tr>
      <w:tr w:rsidR="00CB1407" w:rsidRPr="005D0129" w14:paraId="44C4A6FA" w14:textId="77777777" w:rsidTr="00CB1407">
        <w:trPr>
          <w:trHeight w:hRule="exact" w:val="312"/>
        </w:trPr>
        <w:tc>
          <w:tcPr>
            <w:tcW w:w="1410" w:type="dxa"/>
            <w:tcBorders>
              <w:top w:val="nil"/>
              <w:left w:val="nil"/>
              <w:bottom w:val="nil"/>
              <w:right w:val="nil"/>
            </w:tcBorders>
            <w:vAlign w:val="center"/>
          </w:tcPr>
          <w:p w14:paraId="7A06C11A"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noWrap/>
            <w:vAlign w:val="center"/>
            <w:hideMark/>
          </w:tcPr>
          <w:p w14:paraId="702AF60F" w14:textId="77777777" w:rsidR="000D5750" w:rsidRPr="005D0129" w:rsidRDefault="000D5750" w:rsidP="00CB1407">
            <w:pPr>
              <w:pStyle w:val="TableTextLeft"/>
            </w:pPr>
            <w:r w:rsidRPr="005D0129">
              <w:t>Grains Research &amp; Development Corporation</w:t>
            </w:r>
          </w:p>
        </w:tc>
        <w:tc>
          <w:tcPr>
            <w:tcW w:w="1871" w:type="dxa"/>
            <w:tcBorders>
              <w:top w:val="nil"/>
              <w:left w:val="nil"/>
              <w:bottom w:val="nil"/>
              <w:right w:val="nil"/>
            </w:tcBorders>
            <w:noWrap/>
            <w:vAlign w:val="center"/>
            <w:hideMark/>
          </w:tcPr>
          <w:p w14:paraId="3B2E81C7" w14:textId="77777777" w:rsidR="000D5750" w:rsidRPr="005D0129" w:rsidRDefault="000D5750" w:rsidP="00CB1407">
            <w:pPr>
              <w:pStyle w:val="TableTextRight"/>
            </w:pPr>
            <w:r w:rsidRPr="005D0129">
              <w:t>30</w:t>
            </w:r>
          </w:p>
        </w:tc>
        <w:tc>
          <w:tcPr>
            <w:tcW w:w="1740" w:type="dxa"/>
            <w:tcBorders>
              <w:top w:val="nil"/>
              <w:left w:val="nil"/>
              <w:bottom w:val="nil"/>
              <w:right w:val="nil"/>
            </w:tcBorders>
            <w:noWrap/>
            <w:vAlign w:val="center"/>
            <w:hideMark/>
          </w:tcPr>
          <w:p w14:paraId="02359187" w14:textId="77777777" w:rsidR="000D5750" w:rsidRPr="005D0129" w:rsidRDefault="000D5750" w:rsidP="00CB1407">
            <w:pPr>
              <w:pStyle w:val="TableTextRight"/>
            </w:pPr>
            <w:r w:rsidRPr="005D0129">
              <w:t>15.0</w:t>
            </w:r>
          </w:p>
        </w:tc>
        <w:tc>
          <w:tcPr>
            <w:tcW w:w="1808" w:type="dxa"/>
            <w:tcBorders>
              <w:top w:val="nil"/>
              <w:left w:val="nil"/>
              <w:bottom w:val="nil"/>
              <w:right w:val="nil"/>
            </w:tcBorders>
            <w:noWrap/>
            <w:vAlign w:val="center"/>
            <w:hideMark/>
          </w:tcPr>
          <w:p w14:paraId="5C1CA08A" w14:textId="77777777" w:rsidR="000D5750" w:rsidRPr="005D0129" w:rsidRDefault="000D5750" w:rsidP="00CB1407">
            <w:pPr>
              <w:pStyle w:val="TableTextRight"/>
            </w:pPr>
            <w:r w:rsidRPr="005D0129">
              <w:t>47</w:t>
            </w:r>
          </w:p>
        </w:tc>
        <w:tc>
          <w:tcPr>
            <w:tcW w:w="1808" w:type="dxa"/>
            <w:tcBorders>
              <w:top w:val="nil"/>
              <w:left w:val="nil"/>
              <w:bottom w:val="nil"/>
              <w:right w:val="nil"/>
            </w:tcBorders>
            <w:noWrap/>
            <w:vAlign w:val="center"/>
            <w:hideMark/>
          </w:tcPr>
          <w:p w14:paraId="5147A653" w14:textId="77777777" w:rsidR="000D5750" w:rsidRPr="005D0129" w:rsidRDefault="000D5750" w:rsidP="00CB1407">
            <w:pPr>
              <w:pStyle w:val="TableTextRight"/>
            </w:pPr>
            <w:r w:rsidRPr="005D0129">
              <w:t>89.0%</w:t>
            </w:r>
          </w:p>
        </w:tc>
      </w:tr>
      <w:tr w:rsidR="00CB1407" w:rsidRPr="005D0129" w14:paraId="7A371FDC" w14:textId="77777777" w:rsidTr="00CB1407">
        <w:trPr>
          <w:trHeight w:hRule="exact" w:val="312"/>
        </w:trPr>
        <w:tc>
          <w:tcPr>
            <w:tcW w:w="1410" w:type="dxa"/>
            <w:tcBorders>
              <w:top w:val="nil"/>
              <w:left w:val="nil"/>
              <w:bottom w:val="nil"/>
              <w:right w:val="nil"/>
            </w:tcBorders>
            <w:shd w:val="clear" w:color="auto" w:fill="D9D9D9" w:themeFill="background1" w:themeFillShade="D9"/>
            <w:vAlign w:val="center"/>
          </w:tcPr>
          <w:p w14:paraId="4746A314"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shd w:val="clear" w:color="auto" w:fill="D9D9D9" w:themeFill="background1" w:themeFillShade="D9"/>
            <w:noWrap/>
            <w:vAlign w:val="center"/>
            <w:hideMark/>
          </w:tcPr>
          <w:p w14:paraId="7BEB236F" w14:textId="77777777" w:rsidR="000D5750" w:rsidRPr="005D0129" w:rsidRDefault="000D5750" w:rsidP="00CB1407">
            <w:pPr>
              <w:pStyle w:val="TableTextLeft"/>
            </w:pPr>
            <w:r w:rsidRPr="005D0129">
              <w:t>Housing Australia</w:t>
            </w:r>
          </w:p>
        </w:tc>
        <w:tc>
          <w:tcPr>
            <w:tcW w:w="1871" w:type="dxa"/>
            <w:tcBorders>
              <w:top w:val="nil"/>
              <w:left w:val="nil"/>
              <w:bottom w:val="nil"/>
              <w:right w:val="nil"/>
            </w:tcBorders>
            <w:shd w:val="clear" w:color="auto" w:fill="D9D9D9" w:themeFill="background1" w:themeFillShade="D9"/>
            <w:noWrap/>
            <w:vAlign w:val="center"/>
            <w:hideMark/>
          </w:tcPr>
          <w:p w14:paraId="06BB4C1E" w14:textId="77777777" w:rsidR="000D5750" w:rsidRPr="005D0129" w:rsidRDefault="000D5750" w:rsidP="00CB1407">
            <w:pPr>
              <w:pStyle w:val="TableTextRight"/>
            </w:pPr>
            <w:r w:rsidRPr="005D0129">
              <w:t>14</w:t>
            </w:r>
          </w:p>
        </w:tc>
        <w:tc>
          <w:tcPr>
            <w:tcW w:w="1740" w:type="dxa"/>
            <w:tcBorders>
              <w:top w:val="nil"/>
              <w:left w:val="nil"/>
              <w:bottom w:val="nil"/>
              <w:right w:val="nil"/>
            </w:tcBorders>
            <w:shd w:val="clear" w:color="auto" w:fill="D9D9D9" w:themeFill="background1" w:themeFillShade="D9"/>
            <w:noWrap/>
            <w:vAlign w:val="center"/>
            <w:hideMark/>
          </w:tcPr>
          <w:p w14:paraId="5A63D8DD" w14:textId="77777777" w:rsidR="000D5750" w:rsidRPr="005D0129" w:rsidRDefault="000D5750" w:rsidP="00CB1407">
            <w:pPr>
              <w:pStyle w:val="TableTextRight"/>
            </w:pPr>
            <w:r w:rsidRPr="005D0129">
              <w:t>17.4</w:t>
            </w:r>
          </w:p>
        </w:tc>
        <w:tc>
          <w:tcPr>
            <w:tcW w:w="1808" w:type="dxa"/>
            <w:tcBorders>
              <w:top w:val="nil"/>
              <w:left w:val="nil"/>
              <w:bottom w:val="nil"/>
              <w:right w:val="nil"/>
            </w:tcBorders>
            <w:shd w:val="clear" w:color="auto" w:fill="D9D9D9" w:themeFill="background1" w:themeFillShade="D9"/>
            <w:noWrap/>
            <w:vAlign w:val="center"/>
            <w:hideMark/>
          </w:tcPr>
          <w:p w14:paraId="43837871" w14:textId="77777777" w:rsidR="000D5750" w:rsidRPr="005D0129" w:rsidRDefault="000D5750" w:rsidP="00CB1407">
            <w:pPr>
              <w:pStyle w:val="TableTextRight"/>
            </w:pPr>
            <w:r w:rsidRPr="005D0129">
              <w:t>39</w:t>
            </w:r>
          </w:p>
        </w:tc>
        <w:tc>
          <w:tcPr>
            <w:tcW w:w="1808" w:type="dxa"/>
            <w:tcBorders>
              <w:top w:val="nil"/>
              <w:left w:val="nil"/>
              <w:bottom w:val="nil"/>
              <w:right w:val="nil"/>
            </w:tcBorders>
            <w:shd w:val="clear" w:color="auto" w:fill="D9D9D9" w:themeFill="background1" w:themeFillShade="D9"/>
            <w:noWrap/>
            <w:vAlign w:val="center"/>
            <w:hideMark/>
          </w:tcPr>
          <w:p w14:paraId="25B05EF2" w14:textId="77777777" w:rsidR="000D5750" w:rsidRPr="005D0129" w:rsidRDefault="000D5750" w:rsidP="00CB1407">
            <w:pPr>
              <w:pStyle w:val="TableTextRight"/>
            </w:pPr>
            <w:r w:rsidRPr="005D0129">
              <w:t>72.7%</w:t>
            </w:r>
          </w:p>
        </w:tc>
      </w:tr>
      <w:tr w:rsidR="00CB1407" w:rsidRPr="005D0129" w14:paraId="0DF2FFFB" w14:textId="77777777" w:rsidTr="00CB1407">
        <w:trPr>
          <w:trHeight w:hRule="exact" w:val="312"/>
        </w:trPr>
        <w:tc>
          <w:tcPr>
            <w:tcW w:w="1410" w:type="dxa"/>
            <w:tcBorders>
              <w:top w:val="nil"/>
              <w:left w:val="nil"/>
              <w:bottom w:val="nil"/>
              <w:right w:val="nil"/>
            </w:tcBorders>
            <w:vAlign w:val="center"/>
          </w:tcPr>
          <w:p w14:paraId="2FCE32BC"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noWrap/>
            <w:vAlign w:val="center"/>
            <w:hideMark/>
          </w:tcPr>
          <w:p w14:paraId="147D1ADC" w14:textId="77777777" w:rsidR="000D5750" w:rsidRPr="005D0129" w:rsidRDefault="000D5750" w:rsidP="00CB1407">
            <w:pPr>
              <w:pStyle w:val="TableTextLeft"/>
            </w:pPr>
            <w:r w:rsidRPr="005D0129">
              <w:t>Murray-Darling Basin Authority</w:t>
            </w:r>
          </w:p>
        </w:tc>
        <w:tc>
          <w:tcPr>
            <w:tcW w:w="1871" w:type="dxa"/>
            <w:tcBorders>
              <w:top w:val="nil"/>
              <w:left w:val="nil"/>
              <w:bottom w:val="nil"/>
              <w:right w:val="nil"/>
            </w:tcBorders>
            <w:noWrap/>
            <w:vAlign w:val="center"/>
            <w:hideMark/>
          </w:tcPr>
          <w:p w14:paraId="1E7C251E" w14:textId="77777777" w:rsidR="000D5750" w:rsidRPr="005D0129" w:rsidRDefault="000D5750" w:rsidP="00CB1407">
            <w:pPr>
              <w:pStyle w:val="TableTextRight"/>
            </w:pPr>
            <w:r w:rsidRPr="005D0129">
              <w:t>20</w:t>
            </w:r>
          </w:p>
        </w:tc>
        <w:tc>
          <w:tcPr>
            <w:tcW w:w="1740" w:type="dxa"/>
            <w:tcBorders>
              <w:top w:val="nil"/>
              <w:left w:val="nil"/>
              <w:bottom w:val="nil"/>
              <w:right w:val="nil"/>
            </w:tcBorders>
            <w:noWrap/>
            <w:vAlign w:val="center"/>
            <w:hideMark/>
          </w:tcPr>
          <w:p w14:paraId="1BA8B669" w14:textId="77777777" w:rsidR="000D5750" w:rsidRPr="005D0129" w:rsidRDefault="000D5750" w:rsidP="00CB1407">
            <w:pPr>
              <w:pStyle w:val="TableTextRight"/>
            </w:pPr>
            <w:r w:rsidRPr="005D0129">
              <w:t>9.4</w:t>
            </w:r>
          </w:p>
        </w:tc>
        <w:tc>
          <w:tcPr>
            <w:tcW w:w="1808" w:type="dxa"/>
            <w:tcBorders>
              <w:top w:val="nil"/>
              <w:left w:val="nil"/>
              <w:bottom w:val="nil"/>
              <w:right w:val="nil"/>
            </w:tcBorders>
            <w:noWrap/>
            <w:vAlign w:val="center"/>
            <w:hideMark/>
          </w:tcPr>
          <w:p w14:paraId="326A8AB3" w14:textId="77777777" w:rsidR="000D5750" w:rsidRPr="005D0129" w:rsidRDefault="000D5750" w:rsidP="00CB1407">
            <w:pPr>
              <w:pStyle w:val="TableTextRight"/>
            </w:pPr>
            <w:r w:rsidRPr="005D0129">
              <w:t>30</w:t>
            </w:r>
          </w:p>
        </w:tc>
        <w:tc>
          <w:tcPr>
            <w:tcW w:w="1808" w:type="dxa"/>
            <w:tcBorders>
              <w:top w:val="nil"/>
              <w:left w:val="nil"/>
              <w:bottom w:val="nil"/>
              <w:right w:val="nil"/>
            </w:tcBorders>
            <w:noWrap/>
            <w:vAlign w:val="center"/>
            <w:hideMark/>
          </w:tcPr>
          <w:p w14:paraId="3C57C37A" w14:textId="77777777" w:rsidR="000D5750" w:rsidRPr="005D0129" w:rsidRDefault="000D5750" w:rsidP="00CB1407">
            <w:pPr>
              <w:pStyle w:val="TableTextRight"/>
            </w:pPr>
            <w:r w:rsidRPr="005D0129">
              <w:t>87.1%</w:t>
            </w:r>
          </w:p>
        </w:tc>
      </w:tr>
      <w:tr w:rsidR="00CB1407" w:rsidRPr="005D0129" w14:paraId="4DD4BCC5" w14:textId="77777777" w:rsidTr="00CB1407">
        <w:trPr>
          <w:trHeight w:hRule="exact" w:val="312"/>
        </w:trPr>
        <w:tc>
          <w:tcPr>
            <w:tcW w:w="1410" w:type="dxa"/>
            <w:tcBorders>
              <w:top w:val="nil"/>
              <w:left w:val="nil"/>
              <w:bottom w:val="nil"/>
              <w:right w:val="nil"/>
            </w:tcBorders>
            <w:shd w:val="clear" w:color="auto" w:fill="D9D9D9" w:themeFill="background1" w:themeFillShade="D9"/>
            <w:vAlign w:val="center"/>
          </w:tcPr>
          <w:p w14:paraId="3E52FFCC"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shd w:val="clear" w:color="auto" w:fill="D9D9D9" w:themeFill="background1" w:themeFillShade="D9"/>
            <w:noWrap/>
            <w:vAlign w:val="center"/>
            <w:hideMark/>
          </w:tcPr>
          <w:p w14:paraId="112C171E" w14:textId="77777777" w:rsidR="000D5750" w:rsidRPr="005D0129" w:rsidRDefault="000D5750" w:rsidP="00CB1407">
            <w:pPr>
              <w:pStyle w:val="TableTextLeft"/>
            </w:pPr>
            <w:r w:rsidRPr="005D0129">
              <w:t>National Disability Insurance Agency</w:t>
            </w:r>
          </w:p>
        </w:tc>
        <w:tc>
          <w:tcPr>
            <w:tcW w:w="1871" w:type="dxa"/>
            <w:tcBorders>
              <w:top w:val="nil"/>
              <w:left w:val="nil"/>
              <w:bottom w:val="nil"/>
              <w:right w:val="nil"/>
            </w:tcBorders>
            <w:shd w:val="clear" w:color="auto" w:fill="D9D9D9" w:themeFill="background1" w:themeFillShade="D9"/>
            <w:noWrap/>
            <w:vAlign w:val="center"/>
            <w:hideMark/>
          </w:tcPr>
          <w:p w14:paraId="637FA3DA" w14:textId="77777777" w:rsidR="000D5750" w:rsidRPr="005D0129" w:rsidRDefault="000D5750" w:rsidP="00CB1407">
            <w:pPr>
              <w:pStyle w:val="TableTextRight"/>
            </w:pPr>
            <w:r w:rsidRPr="005D0129">
              <w:t>20</w:t>
            </w:r>
          </w:p>
        </w:tc>
        <w:tc>
          <w:tcPr>
            <w:tcW w:w="1740" w:type="dxa"/>
            <w:tcBorders>
              <w:top w:val="nil"/>
              <w:left w:val="nil"/>
              <w:bottom w:val="nil"/>
              <w:right w:val="nil"/>
            </w:tcBorders>
            <w:shd w:val="clear" w:color="auto" w:fill="D9D9D9" w:themeFill="background1" w:themeFillShade="D9"/>
            <w:noWrap/>
            <w:vAlign w:val="center"/>
            <w:hideMark/>
          </w:tcPr>
          <w:p w14:paraId="32BDC6C0" w14:textId="77777777" w:rsidR="000D5750" w:rsidRPr="005D0129" w:rsidRDefault="000D5750" w:rsidP="00CB1407">
            <w:pPr>
              <w:pStyle w:val="TableTextRight"/>
            </w:pPr>
            <w:r w:rsidRPr="005D0129">
              <w:t>20.0</w:t>
            </w:r>
          </w:p>
        </w:tc>
        <w:tc>
          <w:tcPr>
            <w:tcW w:w="1808" w:type="dxa"/>
            <w:tcBorders>
              <w:top w:val="nil"/>
              <w:left w:val="nil"/>
              <w:bottom w:val="nil"/>
              <w:right w:val="nil"/>
            </w:tcBorders>
            <w:shd w:val="clear" w:color="auto" w:fill="D9D9D9" w:themeFill="background1" w:themeFillShade="D9"/>
            <w:noWrap/>
            <w:vAlign w:val="center"/>
            <w:hideMark/>
          </w:tcPr>
          <w:p w14:paraId="357E8473" w14:textId="77777777" w:rsidR="000D5750" w:rsidRPr="005D0129" w:rsidRDefault="000D5750" w:rsidP="00CB1407">
            <w:pPr>
              <w:pStyle w:val="TableTextRight"/>
            </w:pPr>
            <w:r w:rsidRPr="005D0129">
              <w:t>31</w:t>
            </w:r>
          </w:p>
        </w:tc>
        <w:tc>
          <w:tcPr>
            <w:tcW w:w="1808" w:type="dxa"/>
            <w:tcBorders>
              <w:top w:val="nil"/>
              <w:left w:val="nil"/>
              <w:bottom w:val="nil"/>
              <w:right w:val="nil"/>
            </w:tcBorders>
            <w:shd w:val="clear" w:color="auto" w:fill="D9D9D9" w:themeFill="background1" w:themeFillShade="D9"/>
            <w:noWrap/>
            <w:vAlign w:val="center"/>
            <w:hideMark/>
          </w:tcPr>
          <w:p w14:paraId="51ABFB4E" w14:textId="77777777" w:rsidR="000D5750" w:rsidRPr="005D0129" w:rsidRDefault="000D5750" w:rsidP="00CB1407">
            <w:pPr>
              <w:pStyle w:val="TableTextRight"/>
            </w:pPr>
            <w:r w:rsidRPr="005D0129">
              <w:t>86.1%</w:t>
            </w:r>
          </w:p>
        </w:tc>
      </w:tr>
      <w:tr w:rsidR="00CB1407" w:rsidRPr="005D0129" w14:paraId="469C64B9" w14:textId="77777777" w:rsidTr="00CB1407">
        <w:trPr>
          <w:trHeight w:hRule="exact" w:val="312"/>
        </w:trPr>
        <w:tc>
          <w:tcPr>
            <w:tcW w:w="1410" w:type="dxa"/>
            <w:tcBorders>
              <w:top w:val="nil"/>
              <w:left w:val="nil"/>
              <w:bottom w:val="nil"/>
              <w:right w:val="nil"/>
            </w:tcBorders>
            <w:vAlign w:val="center"/>
          </w:tcPr>
          <w:p w14:paraId="755ABECF"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noWrap/>
            <w:vAlign w:val="center"/>
            <w:hideMark/>
          </w:tcPr>
          <w:p w14:paraId="355704F5" w14:textId="77777777" w:rsidR="000D5750" w:rsidRPr="005D0129" w:rsidRDefault="000D5750" w:rsidP="00CB1407">
            <w:pPr>
              <w:pStyle w:val="TableTextLeft"/>
            </w:pPr>
            <w:r w:rsidRPr="005D0129">
              <w:t>National Gallery of Australia</w:t>
            </w:r>
          </w:p>
        </w:tc>
        <w:tc>
          <w:tcPr>
            <w:tcW w:w="1871" w:type="dxa"/>
            <w:tcBorders>
              <w:top w:val="nil"/>
              <w:left w:val="nil"/>
              <w:bottom w:val="nil"/>
              <w:right w:val="nil"/>
            </w:tcBorders>
            <w:noWrap/>
            <w:vAlign w:val="center"/>
            <w:hideMark/>
          </w:tcPr>
          <w:p w14:paraId="66660B49" w14:textId="77777777" w:rsidR="000D5750" w:rsidRPr="005D0129" w:rsidRDefault="000D5750" w:rsidP="00CB1407">
            <w:pPr>
              <w:pStyle w:val="TableTextRight"/>
            </w:pPr>
            <w:r w:rsidRPr="005D0129">
              <w:t>20</w:t>
            </w:r>
          </w:p>
        </w:tc>
        <w:tc>
          <w:tcPr>
            <w:tcW w:w="1740" w:type="dxa"/>
            <w:tcBorders>
              <w:top w:val="nil"/>
              <w:left w:val="nil"/>
              <w:bottom w:val="nil"/>
              <w:right w:val="nil"/>
            </w:tcBorders>
            <w:noWrap/>
            <w:vAlign w:val="center"/>
            <w:hideMark/>
          </w:tcPr>
          <w:p w14:paraId="73CBD904" w14:textId="77777777" w:rsidR="000D5750" w:rsidRPr="005D0129" w:rsidRDefault="000D5750" w:rsidP="00CB1407">
            <w:pPr>
              <w:pStyle w:val="TableTextRight"/>
            </w:pPr>
            <w:r w:rsidRPr="005D0129">
              <w:t>4.3</w:t>
            </w:r>
          </w:p>
        </w:tc>
        <w:tc>
          <w:tcPr>
            <w:tcW w:w="1808" w:type="dxa"/>
            <w:tcBorders>
              <w:top w:val="nil"/>
              <w:left w:val="nil"/>
              <w:bottom w:val="nil"/>
              <w:right w:val="nil"/>
            </w:tcBorders>
            <w:noWrap/>
            <w:vAlign w:val="center"/>
            <w:hideMark/>
          </w:tcPr>
          <w:p w14:paraId="6E516510" w14:textId="77777777" w:rsidR="000D5750" w:rsidRPr="005D0129" w:rsidRDefault="000D5750" w:rsidP="00CB1407">
            <w:pPr>
              <w:pStyle w:val="TableTextRight"/>
            </w:pPr>
            <w:r w:rsidRPr="005D0129">
              <w:t>16</w:t>
            </w:r>
          </w:p>
        </w:tc>
        <w:tc>
          <w:tcPr>
            <w:tcW w:w="1808" w:type="dxa"/>
            <w:tcBorders>
              <w:top w:val="nil"/>
              <w:left w:val="nil"/>
              <w:bottom w:val="nil"/>
              <w:right w:val="nil"/>
            </w:tcBorders>
            <w:noWrap/>
            <w:vAlign w:val="center"/>
            <w:hideMark/>
          </w:tcPr>
          <w:p w14:paraId="439F0555" w14:textId="77777777" w:rsidR="000D5750" w:rsidRPr="005D0129" w:rsidRDefault="000D5750" w:rsidP="00CB1407">
            <w:pPr>
              <w:pStyle w:val="TableTextRight"/>
            </w:pPr>
            <w:r w:rsidRPr="005D0129">
              <w:t>91.2%</w:t>
            </w:r>
          </w:p>
        </w:tc>
      </w:tr>
      <w:tr w:rsidR="00CB1407" w:rsidRPr="005D0129" w14:paraId="0DF8665D" w14:textId="77777777" w:rsidTr="00CB1407">
        <w:trPr>
          <w:trHeight w:hRule="exact" w:val="312"/>
        </w:trPr>
        <w:tc>
          <w:tcPr>
            <w:tcW w:w="1410" w:type="dxa"/>
            <w:tcBorders>
              <w:top w:val="nil"/>
              <w:left w:val="nil"/>
              <w:bottom w:val="nil"/>
              <w:right w:val="nil"/>
            </w:tcBorders>
            <w:shd w:val="clear" w:color="auto" w:fill="D9D9D9" w:themeFill="background1" w:themeFillShade="D9"/>
            <w:vAlign w:val="center"/>
          </w:tcPr>
          <w:p w14:paraId="78D0D4AF" w14:textId="77777777" w:rsidR="000D5750" w:rsidRPr="005D0129" w:rsidRDefault="000D5750" w:rsidP="00CB1407">
            <w:pPr>
              <w:pStyle w:val="TableTextLeft"/>
              <w:rPr>
                <w:rFonts w:cs="Calibri"/>
              </w:rPr>
            </w:pPr>
            <w:r w:rsidRPr="005D0129">
              <w:t>CC</w:t>
            </w:r>
          </w:p>
        </w:tc>
        <w:tc>
          <w:tcPr>
            <w:tcW w:w="5368" w:type="dxa"/>
            <w:tcBorders>
              <w:top w:val="nil"/>
              <w:left w:val="nil"/>
              <w:bottom w:val="nil"/>
              <w:right w:val="nil"/>
            </w:tcBorders>
            <w:shd w:val="clear" w:color="auto" w:fill="D9D9D9" w:themeFill="background1" w:themeFillShade="D9"/>
            <w:noWrap/>
            <w:vAlign w:val="center"/>
            <w:hideMark/>
          </w:tcPr>
          <w:p w14:paraId="7E7C48B6" w14:textId="77777777" w:rsidR="000D5750" w:rsidRPr="005D0129" w:rsidRDefault="000D5750" w:rsidP="00CB1407">
            <w:pPr>
              <w:pStyle w:val="TableTextLeft"/>
            </w:pPr>
            <w:r w:rsidRPr="005D0129">
              <w:t>NBN Co Limited</w:t>
            </w:r>
          </w:p>
        </w:tc>
        <w:tc>
          <w:tcPr>
            <w:tcW w:w="1871" w:type="dxa"/>
            <w:tcBorders>
              <w:top w:val="nil"/>
              <w:left w:val="nil"/>
              <w:bottom w:val="nil"/>
              <w:right w:val="nil"/>
            </w:tcBorders>
            <w:shd w:val="clear" w:color="auto" w:fill="D9D9D9" w:themeFill="background1" w:themeFillShade="D9"/>
            <w:noWrap/>
            <w:vAlign w:val="center"/>
            <w:hideMark/>
          </w:tcPr>
          <w:p w14:paraId="00FE7A2A" w14:textId="77777777" w:rsidR="000D5750" w:rsidRPr="005D0129" w:rsidRDefault="000D5750" w:rsidP="00CB1407">
            <w:pPr>
              <w:pStyle w:val="TableTextRight"/>
            </w:pPr>
            <w:r w:rsidRPr="005D0129">
              <w:t>20</w:t>
            </w:r>
          </w:p>
        </w:tc>
        <w:tc>
          <w:tcPr>
            <w:tcW w:w="1740" w:type="dxa"/>
            <w:tcBorders>
              <w:top w:val="nil"/>
              <w:left w:val="nil"/>
              <w:bottom w:val="nil"/>
              <w:right w:val="nil"/>
            </w:tcBorders>
            <w:shd w:val="clear" w:color="auto" w:fill="D9D9D9" w:themeFill="background1" w:themeFillShade="D9"/>
            <w:noWrap/>
            <w:vAlign w:val="center"/>
            <w:hideMark/>
          </w:tcPr>
          <w:p w14:paraId="3DA13D1A" w14:textId="77777777" w:rsidR="000D5750" w:rsidRPr="005D0129" w:rsidRDefault="000D5750" w:rsidP="00CB1407">
            <w:pPr>
              <w:pStyle w:val="TableTextRight"/>
            </w:pPr>
            <w:r w:rsidRPr="005D0129">
              <w:t>23.4</w:t>
            </w:r>
          </w:p>
        </w:tc>
        <w:tc>
          <w:tcPr>
            <w:tcW w:w="1808" w:type="dxa"/>
            <w:tcBorders>
              <w:top w:val="nil"/>
              <w:left w:val="nil"/>
              <w:bottom w:val="nil"/>
              <w:right w:val="nil"/>
            </w:tcBorders>
            <w:shd w:val="clear" w:color="auto" w:fill="D9D9D9" w:themeFill="background1" w:themeFillShade="D9"/>
            <w:noWrap/>
            <w:vAlign w:val="center"/>
            <w:hideMark/>
          </w:tcPr>
          <w:p w14:paraId="6DB1EFDA" w14:textId="77777777" w:rsidR="000D5750" w:rsidRPr="005D0129" w:rsidRDefault="000D5750" w:rsidP="00CB1407">
            <w:pPr>
              <w:pStyle w:val="TableTextRight"/>
            </w:pPr>
            <w:r w:rsidRPr="005D0129">
              <w:t>58</w:t>
            </w:r>
          </w:p>
        </w:tc>
        <w:tc>
          <w:tcPr>
            <w:tcW w:w="1808" w:type="dxa"/>
            <w:tcBorders>
              <w:top w:val="nil"/>
              <w:left w:val="nil"/>
              <w:bottom w:val="nil"/>
              <w:right w:val="nil"/>
            </w:tcBorders>
            <w:shd w:val="clear" w:color="auto" w:fill="D9D9D9" w:themeFill="background1" w:themeFillShade="D9"/>
            <w:noWrap/>
            <w:vAlign w:val="center"/>
            <w:hideMark/>
          </w:tcPr>
          <w:p w14:paraId="5E4B6898" w14:textId="77777777" w:rsidR="000D5750" w:rsidRPr="005D0129" w:rsidRDefault="000D5750" w:rsidP="00CB1407">
            <w:pPr>
              <w:pStyle w:val="TableTextRight"/>
            </w:pPr>
            <w:r w:rsidRPr="005D0129">
              <w:t>87.0%</w:t>
            </w:r>
          </w:p>
        </w:tc>
      </w:tr>
      <w:tr w:rsidR="00CB1407" w:rsidRPr="005D0129" w14:paraId="0B7A93B4" w14:textId="77777777" w:rsidTr="00CB1407">
        <w:trPr>
          <w:trHeight w:hRule="exact" w:val="312"/>
        </w:trPr>
        <w:tc>
          <w:tcPr>
            <w:tcW w:w="1410" w:type="dxa"/>
            <w:tcBorders>
              <w:top w:val="nil"/>
              <w:left w:val="nil"/>
              <w:bottom w:val="nil"/>
              <w:right w:val="nil"/>
            </w:tcBorders>
            <w:vAlign w:val="center"/>
          </w:tcPr>
          <w:p w14:paraId="0D7BBAC8"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noWrap/>
            <w:vAlign w:val="center"/>
            <w:hideMark/>
          </w:tcPr>
          <w:p w14:paraId="5EB93896" w14:textId="77777777" w:rsidR="000D5750" w:rsidRPr="005D0129" w:rsidRDefault="000D5750" w:rsidP="00CB1407">
            <w:pPr>
              <w:pStyle w:val="TableTextLeft"/>
            </w:pPr>
            <w:r w:rsidRPr="005D0129">
              <w:t>Reserve Bank of Australia</w:t>
            </w:r>
          </w:p>
        </w:tc>
        <w:tc>
          <w:tcPr>
            <w:tcW w:w="1871" w:type="dxa"/>
            <w:tcBorders>
              <w:top w:val="nil"/>
              <w:left w:val="nil"/>
              <w:bottom w:val="nil"/>
              <w:right w:val="nil"/>
            </w:tcBorders>
            <w:noWrap/>
            <w:vAlign w:val="center"/>
            <w:hideMark/>
          </w:tcPr>
          <w:p w14:paraId="02BCB999" w14:textId="77777777" w:rsidR="000D5750" w:rsidRPr="005D0129" w:rsidRDefault="000D5750" w:rsidP="00CB1407">
            <w:pPr>
              <w:pStyle w:val="TableTextRight"/>
            </w:pPr>
            <w:r w:rsidRPr="005D0129">
              <w:t>20</w:t>
            </w:r>
          </w:p>
        </w:tc>
        <w:tc>
          <w:tcPr>
            <w:tcW w:w="1740" w:type="dxa"/>
            <w:tcBorders>
              <w:top w:val="nil"/>
              <w:left w:val="nil"/>
              <w:bottom w:val="nil"/>
              <w:right w:val="nil"/>
            </w:tcBorders>
            <w:noWrap/>
            <w:vAlign w:val="center"/>
            <w:hideMark/>
          </w:tcPr>
          <w:p w14:paraId="1D28D3AA" w14:textId="77777777" w:rsidR="000D5750" w:rsidRPr="005D0129" w:rsidRDefault="000D5750" w:rsidP="00CB1407">
            <w:pPr>
              <w:pStyle w:val="TableTextRight"/>
            </w:pPr>
            <w:r w:rsidRPr="005D0129">
              <w:t>9.2</w:t>
            </w:r>
          </w:p>
        </w:tc>
        <w:tc>
          <w:tcPr>
            <w:tcW w:w="1808" w:type="dxa"/>
            <w:tcBorders>
              <w:top w:val="nil"/>
              <w:left w:val="nil"/>
              <w:bottom w:val="nil"/>
              <w:right w:val="nil"/>
            </w:tcBorders>
            <w:noWrap/>
            <w:vAlign w:val="center"/>
            <w:hideMark/>
          </w:tcPr>
          <w:p w14:paraId="424CD343" w14:textId="77777777" w:rsidR="000D5750" w:rsidRPr="005D0129" w:rsidRDefault="000D5750" w:rsidP="00CB1407">
            <w:pPr>
              <w:pStyle w:val="TableTextRight"/>
            </w:pPr>
            <w:r w:rsidRPr="005D0129">
              <w:t>29</w:t>
            </w:r>
          </w:p>
        </w:tc>
        <w:tc>
          <w:tcPr>
            <w:tcW w:w="1808" w:type="dxa"/>
            <w:tcBorders>
              <w:top w:val="nil"/>
              <w:left w:val="nil"/>
              <w:bottom w:val="nil"/>
              <w:right w:val="nil"/>
            </w:tcBorders>
            <w:noWrap/>
            <w:vAlign w:val="center"/>
            <w:hideMark/>
          </w:tcPr>
          <w:p w14:paraId="18518C28" w14:textId="77777777" w:rsidR="000D5750" w:rsidRPr="005D0129" w:rsidRDefault="000D5750" w:rsidP="00CB1407">
            <w:pPr>
              <w:pStyle w:val="TableTextRight"/>
            </w:pPr>
            <w:r w:rsidRPr="005D0129">
              <w:t>86.2%</w:t>
            </w:r>
          </w:p>
        </w:tc>
      </w:tr>
      <w:tr w:rsidR="00CB1407" w:rsidRPr="005D0129" w14:paraId="3F189F3F" w14:textId="77777777" w:rsidTr="00CB1407">
        <w:trPr>
          <w:trHeight w:hRule="exact" w:val="312"/>
        </w:trPr>
        <w:tc>
          <w:tcPr>
            <w:tcW w:w="1410" w:type="dxa"/>
            <w:tcBorders>
              <w:top w:val="nil"/>
              <w:left w:val="nil"/>
              <w:bottom w:val="nil"/>
              <w:right w:val="nil"/>
            </w:tcBorders>
            <w:shd w:val="clear" w:color="auto" w:fill="D9D9D9" w:themeFill="background1" w:themeFillShade="D9"/>
            <w:vAlign w:val="center"/>
          </w:tcPr>
          <w:p w14:paraId="78812A91" w14:textId="77777777" w:rsidR="000D5750" w:rsidRPr="005D0129" w:rsidRDefault="000D5750" w:rsidP="00CB1407">
            <w:pPr>
              <w:pStyle w:val="TableTextLeft"/>
              <w:rPr>
                <w:rFonts w:cs="Calibri"/>
              </w:rPr>
            </w:pPr>
            <w:r w:rsidRPr="005D0129">
              <w:t>CC</w:t>
            </w:r>
          </w:p>
        </w:tc>
        <w:tc>
          <w:tcPr>
            <w:tcW w:w="5368" w:type="dxa"/>
            <w:tcBorders>
              <w:top w:val="nil"/>
              <w:left w:val="nil"/>
              <w:bottom w:val="nil"/>
              <w:right w:val="nil"/>
            </w:tcBorders>
            <w:shd w:val="clear" w:color="auto" w:fill="D9D9D9" w:themeFill="background1" w:themeFillShade="D9"/>
            <w:noWrap/>
            <w:vAlign w:val="center"/>
            <w:hideMark/>
          </w:tcPr>
          <w:p w14:paraId="0E4AF623" w14:textId="77777777" w:rsidR="000D5750" w:rsidRPr="005D0129" w:rsidRDefault="000D5750" w:rsidP="00CB1407">
            <w:pPr>
              <w:pStyle w:val="TableTextLeft"/>
            </w:pPr>
            <w:r w:rsidRPr="005D0129">
              <w:t>Snowy Hydro Limited</w:t>
            </w:r>
          </w:p>
        </w:tc>
        <w:tc>
          <w:tcPr>
            <w:tcW w:w="1871" w:type="dxa"/>
            <w:tcBorders>
              <w:top w:val="nil"/>
              <w:left w:val="nil"/>
              <w:right w:val="nil"/>
            </w:tcBorders>
            <w:shd w:val="clear" w:color="auto" w:fill="D9D9D9" w:themeFill="background1" w:themeFillShade="D9"/>
            <w:noWrap/>
            <w:vAlign w:val="center"/>
            <w:hideMark/>
          </w:tcPr>
          <w:p w14:paraId="6CD1611F" w14:textId="77777777" w:rsidR="000D5750" w:rsidRPr="005D0129" w:rsidRDefault="000D5750" w:rsidP="00CB1407">
            <w:pPr>
              <w:pStyle w:val="TableTextRight"/>
            </w:pPr>
            <w:r w:rsidRPr="005D0129">
              <w:t>7</w:t>
            </w:r>
          </w:p>
        </w:tc>
        <w:tc>
          <w:tcPr>
            <w:tcW w:w="1740" w:type="dxa"/>
            <w:tcBorders>
              <w:top w:val="nil"/>
              <w:left w:val="nil"/>
              <w:right w:val="nil"/>
            </w:tcBorders>
            <w:shd w:val="clear" w:color="auto" w:fill="D9D9D9" w:themeFill="background1" w:themeFillShade="D9"/>
            <w:noWrap/>
            <w:vAlign w:val="center"/>
            <w:hideMark/>
          </w:tcPr>
          <w:p w14:paraId="3787DC3F" w14:textId="77777777" w:rsidR="000D5750" w:rsidRPr="005D0129" w:rsidRDefault="000D5750" w:rsidP="00CB1407">
            <w:pPr>
              <w:pStyle w:val="TableTextRight"/>
            </w:pPr>
            <w:r w:rsidRPr="005D0129">
              <w:t>14.4</w:t>
            </w:r>
          </w:p>
        </w:tc>
        <w:tc>
          <w:tcPr>
            <w:tcW w:w="1808" w:type="dxa"/>
            <w:tcBorders>
              <w:top w:val="nil"/>
              <w:left w:val="nil"/>
              <w:right w:val="nil"/>
            </w:tcBorders>
            <w:shd w:val="clear" w:color="auto" w:fill="D9D9D9" w:themeFill="background1" w:themeFillShade="D9"/>
            <w:noWrap/>
            <w:vAlign w:val="center"/>
            <w:hideMark/>
          </w:tcPr>
          <w:p w14:paraId="72192BA2" w14:textId="77777777" w:rsidR="000D5750" w:rsidRPr="005D0129" w:rsidRDefault="000D5750" w:rsidP="00CB1407">
            <w:pPr>
              <w:pStyle w:val="TableTextRight"/>
            </w:pPr>
            <w:r w:rsidRPr="005D0129">
              <w:t>35</w:t>
            </w:r>
          </w:p>
        </w:tc>
        <w:tc>
          <w:tcPr>
            <w:tcW w:w="1808" w:type="dxa"/>
            <w:tcBorders>
              <w:top w:val="nil"/>
              <w:left w:val="nil"/>
              <w:right w:val="nil"/>
            </w:tcBorders>
            <w:shd w:val="clear" w:color="auto" w:fill="D9D9D9" w:themeFill="background1" w:themeFillShade="D9"/>
            <w:noWrap/>
            <w:vAlign w:val="center"/>
            <w:hideMark/>
          </w:tcPr>
          <w:p w14:paraId="4AABE262" w14:textId="77777777" w:rsidR="000D5750" w:rsidRPr="005D0129" w:rsidRDefault="000D5750" w:rsidP="00CB1407">
            <w:pPr>
              <w:pStyle w:val="TableTextRight"/>
            </w:pPr>
            <w:r w:rsidRPr="005D0129">
              <w:t>75.8%</w:t>
            </w:r>
          </w:p>
        </w:tc>
      </w:tr>
      <w:tr w:rsidR="00CB1407" w:rsidRPr="005D0129" w14:paraId="0777A0FC" w14:textId="77777777" w:rsidTr="00CB1407">
        <w:trPr>
          <w:trHeight w:hRule="exact" w:val="312"/>
        </w:trPr>
        <w:tc>
          <w:tcPr>
            <w:tcW w:w="1410" w:type="dxa"/>
            <w:tcBorders>
              <w:top w:val="nil"/>
              <w:left w:val="nil"/>
              <w:bottom w:val="nil"/>
              <w:right w:val="nil"/>
            </w:tcBorders>
            <w:vAlign w:val="center"/>
          </w:tcPr>
          <w:p w14:paraId="2EA1FEF7" w14:textId="77777777" w:rsidR="000D5750" w:rsidRPr="005D0129" w:rsidRDefault="000D5750" w:rsidP="00CB1407">
            <w:pPr>
              <w:pStyle w:val="TableTextLeft"/>
              <w:rPr>
                <w:rFonts w:cs="Calibri"/>
              </w:rPr>
            </w:pPr>
            <w:r w:rsidRPr="005D0129">
              <w:t>CCE</w:t>
            </w:r>
          </w:p>
        </w:tc>
        <w:tc>
          <w:tcPr>
            <w:tcW w:w="5368" w:type="dxa"/>
            <w:tcBorders>
              <w:top w:val="nil"/>
              <w:left w:val="nil"/>
              <w:bottom w:val="nil"/>
              <w:right w:val="nil"/>
            </w:tcBorders>
            <w:noWrap/>
            <w:vAlign w:val="center"/>
            <w:hideMark/>
          </w:tcPr>
          <w:p w14:paraId="17BF23B9" w14:textId="77777777" w:rsidR="000D5750" w:rsidRPr="005D0129" w:rsidRDefault="000D5750" w:rsidP="00CB1407">
            <w:pPr>
              <w:pStyle w:val="TableTextLeft"/>
            </w:pPr>
            <w:r w:rsidRPr="005D0129">
              <w:t>Special Broadcasting Service Corporation</w:t>
            </w:r>
          </w:p>
        </w:tc>
        <w:tc>
          <w:tcPr>
            <w:tcW w:w="1871" w:type="dxa"/>
            <w:tcBorders>
              <w:top w:val="nil"/>
              <w:left w:val="nil"/>
              <w:right w:val="nil"/>
            </w:tcBorders>
            <w:noWrap/>
            <w:vAlign w:val="center"/>
            <w:hideMark/>
          </w:tcPr>
          <w:p w14:paraId="1ACA2974" w14:textId="77777777" w:rsidR="000D5750" w:rsidRPr="005D0129" w:rsidRDefault="000D5750" w:rsidP="00CB1407">
            <w:pPr>
              <w:pStyle w:val="TableTextRight"/>
            </w:pPr>
            <w:r w:rsidRPr="005D0129">
              <w:t>7</w:t>
            </w:r>
          </w:p>
        </w:tc>
        <w:tc>
          <w:tcPr>
            <w:tcW w:w="1740" w:type="dxa"/>
            <w:tcBorders>
              <w:top w:val="nil"/>
              <w:left w:val="nil"/>
              <w:right w:val="nil"/>
            </w:tcBorders>
            <w:noWrap/>
            <w:vAlign w:val="center"/>
            <w:hideMark/>
          </w:tcPr>
          <w:p w14:paraId="58A51849" w14:textId="77777777" w:rsidR="000D5750" w:rsidRPr="005D0129" w:rsidRDefault="000D5750" w:rsidP="00CB1407">
            <w:pPr>
              <w:pStyle w:val="TableTextRight"/>
            </w:pPr>
            <w:r w:rsidRPr="005D0129">
              <w:t>9.8</w:t>
            </w:r>
          </w:p>
        </w:tc>
        <w:tc>
          <w:tcPr>
            <w:tcW w:w="1808" w:type="dxa"/>
            <w:tcBorders>
              <w:top w:val="nil"/>
              <w:left w:val="nil"/>
              <w:right w:val="nil"/>
            </w:tcBorders>
            <w:noWrap/>
            <w:vAlign w:val="center"/>
            <w:hideMark/>
          </w:tcPr>
          <w:p w14:paraId="50A19DDB" w14:textId="77777777" w:rsidR="000D5750" w:rsidRPr="005D0129" w:rsidRDefault="000D5750" w:rsidP="00CB1407">
            <w:pPr>
              <w:pStyle w:val="TableTextRight"/>
            </w:pPr>
            <w:r w:rsidRPr="005D0129">
              <w:t>27</w:t>
            </w:r>
          </w:p>
        </w:tc>
        <w:tc>
          <w:tcPr>
            <w:tcW w:w="1808" w:type="dxa"/>
            <w:tcBorders>
              <w:top w:val="nil"/>
              <w:left w:val="nil"/>
              <w:right w:val="nil"/>
            </w:tcBorders>
            <w:noWrap/>
            <w:vAlign w:val="center"/>
            <w:hideMark/>
          </w:tcPr>
          <w:p w14:paraId="6331C5A1" w14:textId="77777777" w:rsidR="000D5750" w:rsidRPr="005D0129" w:rsidRDefault="000D5750" w:rsidP="00CB1407">
            <w:pPr>
              <w:pStyle w:val="TableTextRight"/>
            </w:pPr>
            <w:r w:rsidRPr="005D0129">
              <w:t>47.6%</w:t>
            </w:r>
          </w:p>
        </w:tc>
      </w:tr>
      <w:tr w:rsidR="00CB1407" w:rsidRPr="005D0129" w14:paraId="356FBE13" w14:textId="77777777" w:rsidTr="00CB1407">
        <w:trPr>
          <w:trHeight w:hRule="exact" w:val="312"/>
        </w:trPr>
        <w:tc>
          <w:tcPr>
            <w:tcW w:w="1410" w:type="dxa"/>
            <w:tcBorders>
              <w:top w:val="nil"/>
              <w:left w:val="nil"/>
              <w:right w:val="nil"/>
            </w:tcBorders>
            <w:shd w:val="clear" w:color="auto" w:fill="D9D9D9" w:themeFill="background1" w:themeFillShade="D9"/>
            <w:vAlign w:val="center"/>
          </w:tcPr>
          <w:p w14:paraId="1367A1D1" w14:textId="77777777" w:rsidR="000D5750" w:rsidRPr="005D0129" w:rsidRDefault="000D5750" w:rsidP="00CB1407">
            <w:pPr>
              <w:pStyle w:val="TableTextLeft"/>
              <w:rPr>
                <w:rFonts w:cs="Calibri"/>
              </w:rPr>
            </w:pPr>
            <w:r w:rsidRPr="005D0129">
              <w:t>CCE</w:t>
            </w:r>
          </w:p>
        </w:tc>
        <w:tc>
          <w:tcPr>
            <w:tcW w:w="5368" w:type="dxa"/>
            <w:tcBorders>
              <w:top w:val="nil"/>
              <w:left w:val="nil"/>
              <w:right w:val="nil"/>
            </w:tcBorders>
            <w:shd w:val="clear" w:color="auto" w:fill="D9D9D9" w:themeFill="background1" w:themeFillShade="D9"/>
            <w:noWrap/>
            <w:vAlign w:val="center"/>
          </w:tcPr>
          <w:p w14:paraId="09B7803B" w14:textId="77777777" w:rsidR="000D5750" w:rsidRPr="005D0129" w:rsidRDefault="000D5750" w:rsidP="00CB1407">
            <w:pPr>
              <w:pStyle w:val="TableTextLeft"/>
            </w:pPr>
            <w:r w:rsidRPr="005D0129">
              <w:t>Tourism Australia</w:t>
            </w:r>
          </w:p>
        </w:tc>
        <w:tc>
          <w:tcPr>
            <w:tcW w:w="1871" w:type="dxa"/>
            <w:tcBorders>
              <w:top w:val="nil"/>
              <w:left w:val="nil"/>
              <w:right w:val="nil"/>
            </w:tcBorders>
            <w:shd w:val="clear" w:color="auto" w:fill="D9D9D9" w:themeFill="background1" w:themeFillShade="D9"/>
            <w:noWrap/>
            <w:vAlign w:val="center"/>
          </w:tcPr>
          <w:p w14:paraId="5FBF1ED7" w14:textId="77777777" w:rsidR="000D5750" w:rsidRPr="005D0129" w:rsidRDefault="000D5750" w:rsidP="00CB1407">
            <w:pPr>
              <w:pStyle w:val="TableTextRight"/>
            </w:pPr>
            <w:r w:rsidRPr="005D0129">
              <w:t>30</w:t>
            </w:r>
          </w:p>
        </w:tc>
        <w:tc>
          <w:tcPr>
            <w:tcW w:w="1740" w:type="dxa"/>
            <w:tcBorders>
              <w:top w:val="nil"/>
              <w:left w:val="nil"/>
              <w:right w:val="nil"/>
            </w:tcBorders>
            <w:shd w:val="clear" w:color="auto" w:fill="D9D9D9" w:themeFill="background1" w:themeFillShade="D9"/>
            <w:noWrap/>
            <w:vAlign w:val="center"/>
          </w:tcPr>
          <w:p w14:paraId="420EFBEA" w14:textId="77777777" w:rsidR="000D5750" w:rsidRPr="005D0129" w:rsidRDefault="000D5750" w:rsidP="00CB1407">
            <w:pPr>
              <w:pStyle w:val="TableTextRight"/>
            </w:pPr>
            <w:r w:rsidRPr="005D0129">
              <w:t>11.6</w:t>
            </w:r>
          </w:p>
        </w:tc>
        <w:tc>
          <w:tcPr>
            <w:tcW w:w="1808" w:type="dxa"/>
            <w:tcBorders>
              <w:top w:val="nil"/>
              <w:left w:val="nil"/>
              <w:right w:val="nil"/>
            </w:tcBorders>
            <w:shd w:val="clear" w:color="auto" w:fill="D9D9D9" w:themeFill="background1" w:themeFillShade="D9"/>
            <w:noWrap/>
            <w:vAlign w:val="center"/>
          </w:tcPr>
          <w:p w14:paraId="53E329BB" w14:textId="77777777" w:rsidR="000D5750" w:rsidRPr="005D0129" w:rsidRDefault="000D5750" w:rsidP="00CB1407">
            <w:pPr>
              <w:pStyle w:val="TableTextRight"/>
            </w:pPr>
            <w:r w:rsidRPr="005D0129">
              <w:t>27</w:t>
            </w:r>
          </w:p>
        </w:tc>
        <w:tc>
          <w:tcPr>
            <w:tcW w:w="1808" w:type="dxa"/>
            <w:tcBorders>
              <w:top w:val="nil"/>
              <w:left w:val="nil"/>
              <w:right w:val="nil"/>
            </w:tcBorders>
            <w:shd w:val="clear" w:color="auto" w:fill="D9D9D9" w:themeFill="background1" w:themeFillShade="D9"/>
            <w:noWrap/>
            <w:vAlign w:val="center"/>
          </w:tcPr>
          <w:p w14:paraId="4CC4D016" w14:textId="77777777" w:rsidR="000D5750" w:rsidRPr="005D0129" w:rsidRDefault="000D5750" w:rsidP="00CB1407">
            <w:pPr>
              <w:pStyle w:val="TableTextRight"/>
            </w:pPr>
            <w:r w:rsidRPr="005D0129">
              <w:t>82.0%</w:t>
            </w:r>
          </w:p>
        </w:tc>
      </w:tr>
      <w:tr w:rsidR="00B23E10" w:rsidRPr="005D0129" w14:paraId="72522AB7" w14:textId="77777777" w:rsidTr="00CB1407">
        <w:trPr>
          <w:trHeight w:hRule="exact" w:val="312"/>
        </w:trPr>
        <w:tc>
          <w:tcPr>
            <w:tcW w:w="1410" w:type="dxa"/>
            <w:tcBorders>
              <w:left w:val="nil"/>
              <w:bottom w:val="single" w:sz="4" w:space="0" w:color="808080" w:themeColor="background1" w:themeShade="80"/>
              <w:right w:val="nil"/>
            </w:tcBorders>
            <w:shd w:val="clear" w:color="auto" w:fill="FFFFFF" w:themeFill="background1"/>
            <w:vAlign w:val="center"/>
          </w:tcPr>
          <w:p w14:paraId="1ADBAFD4" w14:textId="77777777" w:rsidR="000D5750" w:rsidRPr="005D0129" w:rsidRDefault="000D5750" w:rsidP="00CB1407">
            <w:pPr>
              <w:pStyle w:val="TableTextLeft"/>
              <w:rPr>
                <w:rFonts w:cs="Calibri"/>
                <w:b/>
                <w:bCs/>
              </w:rPr>
            </w:pPr>
          </w:p>
        </w:tc>
        <w:tc>
          <w:tcPr>
            <w:tcW w:w="5368" w:type="dxa"/>
            <w:tcBorders>
              <w:left w:val="nil"/>
              <w:bottom w:val="single" w:sz="4" w:space="0" w:color="808080" w:themeColor="background1" w:themeShade="80"/>
              <w:right w:val="nil"/>
            </w:tcBorders>
            <w:shd w:val="clear" w:color="auto" w:fill="FFFFFF" w:themeFill="background1"/>
            <w:noWrap/>
            <w:vAlign w:val="center"/>
            <w:hideMark/>
          </w:tcPr>
          <w:p w14:paraId="78F51215" w14:textId="6888A0C9" w:rsidR="000D5750" w:rsidRPr="005D0129" w:rsidRDefault="000D5750" w:rsidP="00CB1407">
            <w:pPr>
              <w:pStyle w:val="TableTextLeft"/>
              <w:rPr>
                <w:rStyle w:val="Strong"/>
              </w:rPr>
            </w:pPr>
            <w:r w:rsidRPr="005D0129">
              <w:rPr>
                <w:rStyle w:val="Strong"/>
              </w:rPr>
              <w:t xml:space="preserve">All Commonwealth </w:t>
            </w:r>
            <w:r w:rsidR="0051625B">
              <w:rPr>
                <w:rStyle w:val="Strong"/>
              </w:rPr>
              <w:t>e</w:t>
            </w:r>
            <w:r w:rsidRPr="005D0129">
              <w:rPr>
                <w:rStyle w:val="Strong"/>
              </w:rPr>
              <w:t>ntities</w:t>
            </w:r>
          </w:p>
        </w:tc>
        <w:tc>
          <w:tcPr>
            <w:tcW w:w="1871" w:type="dxa"/>
            <w:tcBorders>
              <w:left w:val="nil"/>
              <w:bottom w:val="single" w:sz="4" w:space="0" w:color="808080" w:themeColor="background1" w:themeShade="80"/>
              <w:right w:val="nil"/>
            </w:tcBorders>
            <w:shd w:val="clear" w:color="auto" w:fill="FFFFFF" w:themeFill="background1"/>
            <w:noWrap/>
            <w:vAlign w:val="center"/>
            <w:hideMark/>
          </w:tcPr>
          <w:p w14:paraId="6CC3A710" w14:textId="77777777" w:rsidR="000D5750" w:rsidRPr="005D0129" w:rsidRDefault="000D5750" w:rsidP="00CB1407">
            <w:pPr>
              <w:pStyle w:val="TableTextRight"/>
              <w:rPr>
                <w:rStyle w:val="Strong"/>
              </w:rPr>
            </w:pPr>
            <w:r w:rsidRPr="005D0129">
              <w:rPr>
                <w:rStyle w:val="Strong"/>
              </w:rPr>
              <w:t>19.6</w:t>
            </w:r>
          </w:p>
        </w:tc>
        <w:tc>
          <w:tcPr>
            <w:tcW w:w="1740" w:type="dxa"/>
            <w:tcBorders>
              <w:left w:val="nil"/>
              <w:bottom w:val="single" w:sz="4" w:space="0" w:color="808080" w:themeColor="background1" w:themeShade="80"/>
              <w:right w:val="nil"/>
            </w:tcBorders>
            <w:shd w:val="clear" w:color="auto" w:fill="FFFFFF" w:themeFill="background1"/>
            <w:noWrap/>
            <w:vAlign w:val="center"/>
            <w:hideMark/>
          </w:tcPr>
          <w:p w14:paraId="28ECFF55" w14:textId="77777777" w:rsidR="000D5750" w:rsidRPr="005D0129" w:rsidRDefault="000D5750" w:rsidP="00CB1407">
            <w:pPr>
              <w:pStyle w:val="TableTextRight"/>
              <w:rPr>
                <w:rStyle w:val="Strong"/>
              </w:rPr>
            </w:pPr>
            <w:r w:rsidRPr="005D0129">
              <w:rPr>
                <w:rStyle w:val="Strong"/>
              </w:rPr>
              <w:t>16.4</w:t>
            </w:r>
          </w:p>
        </w:tc>
        <w:tc>
          <w:tcPr>
            <w:tcW w:w="1808" w:type="dxa"/>
            <w:tcBorders>
              <w:left w:val="nil"/>
              <w:bottom w:val="single" w:sz="4" w:space="0" w:color="808080" w:themeColor="background1" w:themeShade="80"/>
              <w:right w:val="nil"/>
            </w:tcBorders>
            <w:shd w:val="clear" w:color="auto" w:fill="FFFFFF" w:themeFill="background1"/>
            <w:noWrap/>
            <w:vAlign w:val="center"/>
            <w:hideMark/>
          </w:tcPr>
          <w:p w14:paraId="270C36B9" w14:textId="77777777" w:rsidR="000D5750" w:rsidRPr="005D0129" w:rsidRDefault="000D5750" w:rsidP="00CB1407">
            <w:pPr>
              <w:pStyle w:val="TableTextRight"/>
              <w:rPr>
                <w:rStyle w:val="Strong"/>
              </w:rPr>
            </w:pPr>
            <w:r w:rsidRPr="005D0129">
              <w:rPr>
                <w:rStyle w:val="Strong"/>
              </w:rPr>
              <w:t>40</w:t>
            </w:r>
          </w:p>
        </w:tc>
        <w:tc>
          <w:tcPr>
            <w:tcW w:w="1808" w:type="dxa"/>
            <w:tcBorders>
              <w:left w:val="nil"/>
              <w:bottom w:val="single" w:sz="4" w:space="0" w:color="808080" w:themeColor="background1" w:themeShade="80"/>
              <w:right w:val="nil"/>
            </w:tcBorders>
            <w:shd w:val="clear" w:color="auto" w:fill="FFFFFF" w:themeFill="background1"/>
            <w:noWrap/>
            <w:vAlign w:val="center"/>
            <w:hideMark/>
          </w:tcPr>
          <w:p w14:paraId="1A9C1EB1" w14:textId="77777777" w:rsidR="000D5750" w:rsidRPr="005D0129" w:rsidRDefault="000D5750" w:rsidP="00CB1407">
            <w:pPr>
              <w:pStyle w:val="TableTextRight"/>
              <w:rPr>
                <w:rStyle w:val="Strong"/>
              </w:rPr>
            </w:pPr>
            <w:r w:rsidRPr="005D0129">
              <w:rPr>
                <w:rStyle w:val="Strong"/>
              </w:rPr>
              <w:t>74.3%</w:t>
            </w:r>
          </w:p>
        </w:tc>
      </w:tr>
    </w:tbl>
    <w:p w14:paraId="0F5DA622" w14:textId="0DF45AB8" w:rsidR="0092424C" w:rsidRPr="0066793C" w:rsidRDefault="00BD6344" w:rsidP="0066793C">
      <w:pPr>
        <w:pStyle w:val="ChartorTableNote"/>
      </w:pPr>
      <w:r w:rsidRPr="0066793C">
        <w:rPr>
          <w:b/>
          <w:bCs/>
        </w:rPr>
        <w:t>Legend</w:t>
      </w:r>
      <w:r w:rsidR="0092424C" w:rsidRPr="0066793C">
        <w:rPr>
          <w:b/>
          <w:bCs/>
        </w:rPr>
        <w:t>:</w:t>
      </w:r>
      <w:r w:rsidR="006D630B" w:rsidRPr="0066793C">
        <w:t xml:space="preserve"> </w:t>
      </w:r>
      <w:r w:rsidR="0066793C">
        <w:tab/>
      </w:r>
      <w:r w:rsidR="0092424C" w:rsidRPr="0066793C">
        <w:t>CCE: Corporate Commonwealth entity – a Commonwealth entity that is a body corporate.</w:t>
      </w:r>
    </w:p>
    <w:p w14:paraId="37DE4DB5" w14:textId="77777777" w:rsidR="006D630B" w:rsidRPr="0066793C" w:rsidRDefault="0092424C" w:rsidP="0066793C">
      <w:pPr>
        <w:pStyle w:val="ChartorTableNote"/>
        <w:ind w:firstLine="737"/>
      </w:pPr>
      <w:r w:rsidRPr="0066793C">
        <w:t xml:space="preserve">CC: Commonwealth company – a </w:t>
      </w:r>
      <w:r w:rsidRPr="0051625B">
        <w:rPr>
          <w:i/>
          <w:iCs/>
        </w:rPr>
        <w:t>Corporations Act 2001</w:t>
      </w:r>
      <w:r w:rsidRPr="0066793C">
        <w:t xml:space="preserve"> company that the Commonwealth controls.</w:t>
      </w:r>
    </w:p>
    <w:p w14:paraId="6518C7A9" w14:textId="77777777" w:rsidR="0066793C" w:rsidRPr="0066793C" w:rsidRDefault="0066793C" w:rsidP="0066793C">
      <w:pPr>
        <w:pStyle w:val="SingleParagraph"/>
        <w:rPr>
          <w:lang w:eastAsia="en-AU"/>
        </w:rPr>
      </w:pPr>
    </w:p>
    <w:p w14:paraId="767895A7" w14:textId="77777777" w:rsidR="006D630B" w:rsidRDefault="006D630B" w:rsidP="0009204A">
      <w:pPr>
        <w:pStyle w:val="ChartorTableNote"/>
      </w:pPr>
    </w:p>
    <w:p w14:paraId="43150125" w14:textId="77777777" w:rsidR="006D630B" w:rsidRDefault="006D630B" w:rsidP="0009204A">
      <w:pPr>
        <w:pStyle w:val="ChartorTableNote"/>
        <w:sectPr w:rsidR="006D630B" w:rsidSect="006D630B">
          <w:headerReference w:type="even" r:id="rId80"/>
          <w:headerReference w:type="default" r:id="rId81"/>
          <w:footerReference w:type="even" r:id="rId82"/>
          <w:footerReference w:type="default" r:id="rId83"/>
          <w:headerReference w:type="first" r:id="rId84"/>
          <w:footerReference w:type="first" r:id="rId85"/>
          <w:pgSz w:w="16838" w:h="11906" w:orient="landscape" w:code="9"/>
          <w:pgMar w:top="1701" w:right="1418" w:bottom="1701" w:left="1418" w:header="709" w:footer="709" w:gutter="0"/>
          <w:cols w:space="708"/>
          <w:docGrid w:linePitch="360"/>
        </w:sectPr>
      </w:pPr>
    </w:p>
    <w:p w14:paraId="51631445" w14:textId="41D3E0F1" w:rsidR="0079798E" w:rsidRPr="002F5F97" w:rsidRDefault="00BA219A" w:rsidP="006D630B">
      <w:pPr>
        <w:pStyle w:val="Heading2"/>
        <w:spacing w:before="0"/>
      </w:pPr>
      <w:r w:rsidRPr="002F5F97">
        <w:lastRenderedPageBreak/>
        <w:t>Commonwealth entities</w:t>
      </w:r>
      <w:r w:rsidR="005D0129">
        <w:t xml:space="preserve"> – </w:t>
      </w:r>
      <w:r w:rsidR="00485994" w:rsidRPr="002F5F97">
        <w:t>o</w:t>
      </w:r>
      <w:r w:rsidRPr="002F5F97">
        <w:t>pportunities for improvement</w:t>
      </w:r>
    </w:p>
    <w:p w14:paraId="610D755A" w14:textId="7AB16B48" w:rsidR="0079798E" w:rsidRPr="002F5F97" w:rsidRDefault="00EF4C3D" w:rsidP="0079798E">
      <w:pPr>
        <w:pStyle w:val="Heading3"/>
        <w:rPr>
          <w:rFonts w:cs="Times New Roman"/>
          <w:iCs/>
          <w:color w:val="auto"/>
          <w:kern w:val="0"/>
          <w:sz w:val="22"/>
          <w:szCs w:val="20"/>
        </w:rPr>
      </w:pPr>
      <w:r w:rsidRPr="002F5F97">
        <w:t>95</w:t>
      </w:r>
      <w:r>
        <w:t>th</w:t>
      </w:r>
      <w:r w:rsidRPr="002F5F97">
        <w:t xml:space="preserve"> percentile payment time</w:t>
      </w:r>
    </w:p>
    <w:p w14:paraId="03AA51A4" w14:textId="252C0125" w:rsidR="00841FA2" w:rsidRPr="002F5F97" w:rsidRDefault="00841FA2" w:rsidP="00841FA2">
      <w:r w:rsidRPr="002F5F97">
        <w:t>The 95</w:t>
      </w:r>
      <w:r w:rsidRPr="00813346">
        <w:t>th</w:t>
      </w:r>
      <w:r w:rsidRPr="002F5F97">
        <w:t xml:space="preserve"> percentile payment time provides a clearer picture of when small businesses can expect to be paid</w:t>
      </w:r>
      <w:r w:rsidR="008B3B64">
        <w:t>,</w:t>
      </w:r>
      <w:r w:rsidRPr="002F5F97">
        <w:t xml:space="preserve"> as it excludes extreme outliers and reflects typical payment behaviour.</w:t>
      </w:r>
    </w:p>
    <w:p w14:paraId="380AA5BE" w14:textId="302A387B" w:rsidR="00841FA2" w:rsidRPr="002F5F97" w:rsidRDefault="00841FA2" w:rsidP="00841FA2">
      <w:r w:rsidRPr="002F5F97">
        <w:t>For Commonwealth entities, this measure shows 95</w:t>
      </w:r>
      <w:r w:rsidR="00813346">
        <w:t> </w:t>
      </w:r>
      <w:r w:rsidRPr="002F5F97">
        <w:t>per</w:t>
      </w:r>
      <w:r w:rsidR="00813346">
        <w:t> </w:t>
      </w:r>
      <w:r w:rsidRPr="002F5F97">
        <w:t>cent of small business invoices are paid within an average of 40</w:t>
      </w:r>
      <w:r w:rsidR="00813346">
        <w:t> </w:t>
      </w:r>
      <w:r w:rsidRPr="002F5F97">
        <w:t>days, with individual entity results ranging from 5</w:t>
      </w:r>
      <w:r w:rsidR="00813346">
        <w:t> </w:t>
      </w:r>
      <w:r w:rsidR="009B1848" w:rsidRPr="002F5F97">
        <w:t>days</w:t>
      </w:r>
      <w:r w:rsidRPr="002F5F97">
        <w:t xml:space="preserve"> to 76</w:t>
      </w:r>
      <w:r w:rsidR="009B1848" w:rsidRPr="002F5F97">
        <w:t> </w:t>
      </w:r>
      <w:r w:rsidRPr="002F5F97">
        <w:t>days.</w:t>
      </w:r>
    </w:p>
    <w:p w14:paraId="68935CA8" w14:textId="6B40D6A0" w:rsidR="0079798E" w:rsidRPr="002F5F97" w:rsidRDefault="00841FA2" w:rsidP="00841FA2">
      <w:r w:rsidRPr="002F5F97">
        <w:t>This means a small business could wait up to 56.4</w:t>
      </w:r>
      <w:r w:rsidR="00813346">
        <w:t> </w:t>
      </w:r>
      <w:r w:rsidRPr="002F5F97">
        <w:t>days longer than the average common payment term of 19.6</w:t>
      </w:r>
      <w:r w:rsidR="00813346">
        <w:t> </w:t>
      </w:r>
      <w:r w:rsidRPr="002F5F97">
        <w:t xml:space="preserve">days </w:t>
      </w:r>
      <w:r w:rsidR="0001045F" w:rsidRPr="002F5F97">
        <w:t>to be paid by</w:t>
      </w:r>
      <w:r w:rsidRPr="002F5F97">
        <w:t xml:space="preserve"> a Commonwealth entity, highlighting the gap that can exist between agreed terms and actual payment </w:t>
      </w:r>
      <w:r w:rsidR="00180EF0" w:rsidRPr="002F5F97">
        <w:t>times</w:t>
      </w:r>
      <w:r w:rsidRPr="002F5F97">
        <w:t xml:space="preserve"> for Commonwealth entities.</w:t>
      </w:r>
    </w:p>
    <w:p w14:paraId="0421055B" w14:textId="5C666B48" w:rsidR="00A46258" w:rsidRPr="002F5F97" w:rsidRDefault="00A46258" w:rsidP="00A46258">
      <w:pPr>
        <w:pStyle w:val="Heading3"/>
        <w:rPr>
          <w:rFonts w:cs="Times New Roman"/>
          <w:iCs/>
          <w:color w:val="auto"/>
          <w:kern w:val="0"/>
          <w:sz w:val="22"/>
          <w:szCs w:val="20"/>
        </w:rPr>
      </w:pPr>
      <w:r w:rsidRPr="002F5F97">
        <w:t>Percentage of invoices paid on time (within payment terms)</w:t>
      </w:r>
    </w:p>
    <w:p w14:paraId="03358B35" w14:textId="62E01D46" w:rsidR="004C14AD" w:rsidRPr="002F5F97" w:rsidRDefault="001D2823" w:rsidP="004C14AD">
      <w:r w:rsidRPr="002F5F97">
        <w:rPr>
          <w:noProof/>
        </w:rPr>
        <w:drawing>
          <wp:anchor distT="0" distB="0" distL="114300" distR="114300" simplePos="0" relativeHeight="251658247" behindDoc="1" locked="0" layoutInCell="1" allowOverlap="1" wp14:anchorId="4ACFFD44" wp14:editId="6BEC725A">
            <wp:simplePos x="0" y="0"/>
            <wp:positionH relativeFrom="column">
              <wp:posOffset>1270</wp:posOffset>
            </wp:positionH>
            <wp:positionV relativeFrom="paragraph">
              <wp:posOffset>42545</wp:posOffset>
            </wp:positionV>
            <wp:extent cx="900000" cy="900000"/>
            <wp:effectExtent l="0" t="0" r="0" b="0"/>
            <wp:wrapSquare wrapText="bothSides"/>
            <wp:docPr id="2570406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40663" name="Picture 1">
                      <a:extLst>
                        <a:ext uri="{C183D7F6-B498-43B3-948B-1728B52AA6E4}">
                          <adec:decorative xmlns:adec="http://schemas.microsoft.com/office/drawing/2017/decorative" val="1"/>
                        </a:ext>
                      </a:extLst>
                    </pic:cNvPr>
                    <pic:cNvPicPr/>
                  </pic:nvPicPr>
                  <pic:blipFill>
                    <a:blip r:embed="rId86">
                      <a:extLst>
                        <a:ext uri="{96DAC541-7B7A-43D3-8B79-37D633B846F1}">
                          <asvg:svgBlip xmlns:asvg="http://schemas.microsoft.com/office/drawing/2016/SVG/main" r:embed="rId87"/>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4C14AD" w:rsidRPr="002F5F97">
        <w:t>This measure reflects whether Commonwealth entities meet the payment terms agreed with their small business suppliers and is a strong indicator of payment reliability.</w:t>
      </w:r>
    </w:p>
    <w:p w14:paraId="4595187E" w14:textId="01C323A6" w:rsidR="004C14AD" w:rsidRPr="002F5F97" w:rsidRDefault="004C14AD" w:rsidP="004C14AD">
      <w:r w:rsidRPr="002F5F97">
        <w:t>On average, Commonwealth entities pay small business suppliers on time 74.3</w:t>
      </w:r>
      <w:r w:rsidR="001D2823">
        <w:t> </w:t>
      </w:r>
      <w:r w:rsidRPr="002F5F97">
        <w:t>per cent of the time, outperforming the all</w:t>
      </w:r>
      <w:r w:rsidR="005D0129">
        <w:noBreakHyphen/>
      </w:r>
      <w:r w:rsidRPr="002F5F97">
        <w:t>industry average of 66.5</w:t>
      </w:r>
      <w:r w:rsidR="00625EC9" w:rsidRPr="002F5F97">
        <w:t> </w:t>
      </w:r>
      <w:r w:rsidRPr="002F5F97">
        <w:t>per</w:t>
      </w:r>
      <w:r w:rsidR="00445314" w:rsidRPr="002F5F97">
        <w:t> </w:t>
      </w:r>
      <w:r w:rsidRPr="002F5F97">
        <w:t>cent.</w:t>
      </w:r>
    </w:p>
    <w:p w14:paraId="01D72C55" w14:textId="543D7E7F" w:rsidR="00A46258" w:rsidRPr="002F5F97" w:rsidRDefault="004C14AD" w:rsidP="00A46258">
      <w:r w:rsidRPr="002F5F97">
        <w:t>However, performance varies significantly even among Commonwealth entities. The best</w:t>
      </w:r>
      <w:r w:rsidR="005D0129">
        <w:noBreakHyphen/>
      </w:r>
      <w:r w:rsidRPr="002F5F97">
        <w:t>performing Commonwealth entity exceed</w:t>
      </w:r>
      <w:r w:rsidR="00041161">
        <w:t>ed</w:t>
      </w:r>
      <w:r w:rsidRPr="002F5F97">
        <w:t xml:space="preserve"> their slower paying peers by around 53</w:t>
      </w:r>
      <w:r w:rsidR="00625EC9" w:rsidRPr="002F5F97">
        <w:t> </w:t>
      </w:r>
      <w:r w:rsidRPr="002F5F97">
        <w:t>percentage points, while at the other end of the scale, some entities pay only 4</w:t>
      </w:r>
      <w:r w:rsidR="001D2823">
        <w:t> </w:t>
      </w:r>
      <w:r w:rsidRPr="002F5F97">
        <w:t>out</w:t>
      </w:r>
      <w:r w:rsidR="001D2823">
        <w:t> </w:t>
      </w:r>
      <w:r w:rsidRPr="002F5F97">
        <w:t>of</w:t>
      </w:r>
      <w:r w:rsidR="001D2823">
        <w:t> </w:t>
      </w:r>
      <w:r w:rsidRPr="002F5F97">
        <w:t>every 10 invoices on time</w:t>
      </w:r>
      <w:r w:rsidR="00353FF6">
        <w:t xml:space="preserve"> – </w:t>
      </w:r>
      <w:r w:rsidRPr="002F5F97">
        <w:t>leaving 6</w:t>
      </w:r>
      <w:r w:rsidR="001D2823">
        <w:t> </w:t>
      </w:r>
      <w:r w:rsidRPr="002F5F97">
        <w:t>out</w:t>
      </w:r>
      <w:r w:rsidR="001D2823">
        <w:t> </w:t>
      </w:r>
      <w:r w:rsidRPr="002F5F97">
        <w:t>of</w:t>
      </w:r>
      <w:r w:rsidR="001D2823">
        <w:t> </w:t>
      </w:r>
      <w:r w:rsidRPr="002F5F97">
        <w:t>10</w:t>
      </w:r>
      <w:r w:rsidR="001D2823">
        <w:t> </w:t>
      </w:r>
      <w:r w:rsidRPr="002F5F97">
        <w:t>invoices paid late.</w:t>
      </w:r>
    </w:p>
    <w:p w14:paraId="4A5AB5EC" w14:textId="0E9929A6" w:rsidR="00A46258" w:rsidRPr="002F5F97" w:rsidRDefault="00A46258" w:rsidP="00A46258">
      <w:pPr>
        <w:pStyle w:val="Heading3"/>
        <w:rPr>
          <w:rFonts w:cs="Times New Roman"/>
          <w:iCs/>
          <w:color w:val="auto"/>
          <w:kern w:val="0"/>
          <w:sz w:val="22"/>
          <w:szCs w:val="20"/>
        </w:rPr>
      </w:pPr>
      <w:r w:rsidRPr="002F5F97">
        <w:t>Performance of Commonwealth entities remains a focus area for the Regulator</w:t>
      </w:r>
    </w:p>
    <w:p w14:paraId="1502095C" w14:textId="61D34447" w:rsidR="00A46258" w:rsidRDefault="004B156D" w:rsidP="00A46258">
      <w:r w:rsidRPr="002F5F97">
        <w:t>Commonwealth entities are more reliable in paying invoices on time</w:t>
      </w:r>
      <w:r w:rsidR="006B06AC" w:rsidRPr="002F5F97">
        <w:t>.</w:t>
      </w:r>
    </w:p>
    <w:p w14:paraId="04745996" w14:textId="3E515CEB" w:rsidR="002269B7" w:rsidRDefault="002269B7" w:rsidP="00A46258">
      <w:r>
        <w:rPr>
          <w:noProof/>
        </w:rPr>
        <w:drawing>
          <wp:inline distT="0" distB="0" distL="0" distR="0" wp14:anchorId="114FFDC4" wp14:editId="5CC62CDC">
            <wp:extent cx="5392037" cy="1105200"/>
            <wp:effectExtent l="0" t="0" r="0" b="0"/>
            <wp:docPr id="1649238089" name="Picture 5" descr="Commonwealth pays 74.3% invoices on time. All-industry average: 66.5% invoices are paid o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38089" name="Picture 5" descr="Commonwealth pays 74.3% invoices on time. All-industry average: 66.5% invoices are paid on ti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92037" cy="1105200"/>
                    </a:xfrm>
                    <a:prstGeom prst="rect">
                      <a:avLst/>
                    </a:prstGeom>
                  </pic:spPr>
                </pic:pic>
              </a:graphicData>
            </a:graphic>
          </wp:inline>
        </w:drawing>
      </w:r>
    </w:p>
    <w:p w14:paraId="53F953DD" w14:textId="10405ED3" w:rsidR="008A1007" w:rsidRPr="002F5F97" w:rsidRDefault="008A1007" w:rsidP="008A1007">
      <w:r w:rsidRPr="002F5F97">
        <w:t>When it comes to being paid on time, small businesses can expect greater reliability from Commonwealth entities. While 74.3</w:t>
      </w:r>
      <w:r w:rsidR="002269B7">
        <w:t> </w:t>
      </w:r>
      <w:r w:rsidRPr="002F5F97">
        <w:t>per cent of invoices are paid on time, delays of up to 76</w:t>
      </w:r>
      <w:r w:rsidR="002269B7">
        <w:t> </w:t>
      </w:r>
      <w:r w:rsidRPr="002F5F97">
        <w:t>days still occur.</w:t>
      </w:r>
    </w:p>
    <w:p w14:paraId="1F1336E1" w14:textId="77777777" w:rsidR="008A1007" w:rsidRPr="002F5F97" w:rsidRDefault="008A1007" w:rsidP="008A1007">
      <w:r w:rsidRPr="002F5F97">
        <w:t>The Australian Government expects Commonwealth entities to lead by example by paying small businesses promptly.</w:t>
      </w:r>
    </w:p>
    <w:p w14:paraId="1E9FBA21" w14:textId="4BA44827" w:rsidR="00B5141A" w:rsidRPr="002F5F97" w:rsidRDefault="008A1007" w:rsidP="0009204A">
      <w:r w:rsidRPr="002F5F97">
        <w:t xml:space="preserve">The Regulator strongly urges </w:t>
      </w:r>
      <w:r w:rsidR="00407924">
        <w:t xml:space="preserve">Commonwealth </w:t>
      </w:r>
      <w:r w:rsidRPr="002F5F97">
        <w:t>entities to take action by actively monitoring performance, addressing bottlenecks, and implementing business improvements to ensure all payments meet agreed terms.</w:t>
      </w:r>
      <w:r w:rsidR="00B5141A" w:rsidRPr="002F5F97">
        <w:br w:type="page"/>
      </w:r>
    </w:p>
    <w:p w14:paraId="12BB639E" w14:textId="6D3CDAE4" w:rsidR="00B5141A" w:rsidRPr="002F5F97" w:rsidRDefault="00B5141A" w:rsidP="00B5141A">
      <w:pPr>
        <w:pStyle w:val="ChapterHeading1"/>
      </w:pPr>
      <w:bookmarkStart w:id="23" w:name="_Toc220068371"/>
      <w:r w:rsidRPr="002F5F97">
        <w:lastRenderedPageBreak/>
        <w:t>Industry insights</w:t>
      </w:r>
      <w:bookmarkEnd w:id="23"/>
    </w:p>
    <w:p w14:paraId="39E95015" w14:textId="73277CE3" w:rsidR="00B5141A" w:rsidRPr="002F5F97" w:rsidRDefault="00B407AA" w:rsidP="00B5141A">
      <w:pPr>
        <w:pStyle w:val="Heading2"/>
        <w:rPr>
          <w:rFonts w:cs="Times New Roman"/>
          <w:color w:val="auto"/>
          <w:sz w:val="22"/>
          <w:szCs w:val="20"/>
        </w:rPr>
      </w:pPr>
      <w:r w:rsidRPr="002F5F97">
        <w:t>Payment times reporting applies to all industries</w:t>
      </w:r>
    </w:p>
    <w:p w14:paraId="5B025DE3" w14:textId="20675F87" w:rsidR="00B5141A" w:rsidRDefault="008901B5" w:rsidP="00B5141A">
      <w:r w:rsidRPr="002F5F97">
        <w:t xml:space="preserve">In Reporting Cycle 9, </w:t>
      </w:r>
      <w:r w:rsidRPr="002F5F97">
        <w:rPr>
          <w:b/>
          <w:bCs/>
        </w:rPr>
        <w:t>3,098 reporting entities</w:t>
      </w:r>
      <w:r w:rsidRPr="002F5F97">
        <w:t xml:space="preserve"> submitted reports across all 19</w:t>
      </w:r>
      <w:r w:rsidR="003078EF">
        <w:t> </w:t>
      </w:r>
      <w:r w:rsidR="00832FEE">
        <w:t xml:space="preserve">of the </w:t>
      </w:r>
      <w:r w:rsidRPr="002F5F97">
        <w:t>Australian</w:t>
      </w:r>
      <w:r w:rsidR="003078EF">
        <w:t> </w:t>
      </w:r>
      <w:r w:rsidRPr="002F5F97">
        <w:t>and New</w:t>
      </w:r>
      <w:r w:rsidR="003078EF">
        <w:t> </w:t>
      </w:r>
      <w:r w:rsidRPr="002F5F97">
        <w:t xml:space="preserve">Zealand Standard Industrial Classification (ANZSIC) Divisions (ANZSIC 2006 </w:t>
      </w:r>
      <w:r w:rsidR="003078EF">
        <w:t>–</w:t>
      </w:r>
      <w:r w:rsidRPr="002F5F97">
        <w:t xml:space="preserve"> ABS 2013).</w:t>
      </w:r>
    </w:p>
    <w:p w14:paraId="30DDF0D6" w14:textId="77777777" w:rsidR="006A2C9C" w:rsidRPr="002F5F97" w:rsidRDefault="006A2C9C" w:rsidP="006A2C9C">
      <w:pPr>
        <w:pStyle w:val="SingleParagraph"/>
      </w:pPr>
    </w:p>
    <w:p w14:paraId="516AA19F" w14:textId="50F52231" w:rsidR="00B407AA" w:rsidRPr="002F5F97" w:rsidRDefault="002F73B5" w:rsidP="00263008">
      <w:pPr>
        <w:pStyle w:val="ChartMainHeading"/>
        <w:jc w:val="left"/>
      </w:pPr>
      <w:r w:rsidRPr="002F5F97">
        <w:t xml:space="preserve">Figure </w:t>
      </w:r>
      <w:r w:rsidR="00B43EA4">
        <w:t>10</w:t>
      </w:r>
      <w:r w:rsidRPr="002F5F97">
        <w:t xml:space="preserve">: </w:t>
      </w:r>
      <w:bookmarkStart w:id="24" w:name="_Hlk219302014"/>
      <w:r w:rsidRPr="002F5F97">
        <w:t>Number of reporting entities by ANZSIC Division, Reporting</w:t>
      </w:r>
      <w:r w:rsidR="00B43EA4">
        <w:t> </w:t>
      </w:r>
      <w:r w:rsidRPr="002F5F97">
        <w:t>Cycle</w:t>
      </w:r>
      <w:r w:rsidR="00B43EA4">
        <w:t> </w:t>
      </w:r>
      <w:r w:rsidRPr="002F5F97">
        <w:t>9</w:t>
      </w:r>
    </w:p>
    <w:bookmarkEnd w:id="24"/>
    <w:p w14:paraId="2D7832AC" w14:textId="77777777" w:rsidR="00CF2FAC" w:rsidRPr="002F5F97" w:rsidRDefault="00CF2FAC" w:rsidP="003078EF">
      <w:pPr>
        <w:pStyle w:val="SingleParagraph"/>
      </w:pPr>
    </w:p>
    <w:p w14:paraId="5C63CC5A" w14:textId="23DA32AE" w:rsidR="003421D2" w:rsidRPr="002F5F97" w:rsidRDefault="00CF2FAC" w:rsidP="00B5141A">
      <w:pPr>
        <w:spacing w:before="0" w:after="160" w:line="259" w:lineRule="auto"/>
      </w:pPr>
      <w:r>
        <w:rPr>
          <w:noProof/>
        </w:rPr>
        <w:drawing>
          <wp:inline distT="0" distB="0" distL="0" distR="0" wp14:anchorId="04D710D6" wp14:editId="521BE22E">
            <wp:extent cx="5067300" cy="3638550"/>
            <wp:effectExtent l="0" t="0" r="0" b="0"/>
            <wp:docPr id="694275156" name="Graphic 1" descr="This pie chart shows the number of reporting entities by ANZSIC Division in Reporting Cycle 9.  &#10;• Manufacturing: 415 reporting entities.&#10;• Financial and Insurance Services: 413 reporting entities.&#10;• Wholesale Trade: 407 reporting entities.&#10;• Construction: 266 reporting entities.&#10;• Retail Trade: 260 reporting entities.&#10;• Professional, Scientific and Technical Services: 236 reporting entities&#10;• Mining: 212 reporting entities&#10;• Transport, Postal and Warehousing: 176 reporting entities&#10;• Health Care and Social Assistance: 112 reporting entities&#10;• Electricity, Gas, Water and Waste Services:105 reporting entities&#10;• Agriculture, Forestry and Fishing:100 reporting entities&#10;• Information Media and Telecommunications: 81 reporting entities&#10;• Rental, Hiring and Real Estate Services: 74 reporting entities&#10;• Administrative and Support Services: 64 reporting entities&#10;• Other industries: 177 reporting ent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75156" name="Graphic 1" descr="This pie chart shows the number of reporting entities by ANZSIC Division in Reporting Cycle 9.  &#10;• Manufacturing: 415 reporting entities.&#10;• Financial and Insurance Services: 413 reporting entities.&#10;• Wholesale Trade: 407 reporting entities.&#10;• Construction: 266 reporting entities.&#10;• Retail Trade: 260 reporting entities.&#10;• Professional, Scientific and Technical Services: 236 reporting entities&#10;• Mining: 212 reporting entities&#10;• Transport, Postal and Warehousing: 176 reporting entities&#10;• Health Care and Social Assistance: 112 reporting entities&#10;• Electricity, Gas, Water and Waste Services:105 reporting entities&#10;• Agriculture, Forestry and Fishing:100 reporting entities&#10;• Information Media and Telecommunications: 81 reporting entities&#10;• Rental, Hiring and Real Estate Services: 74 reporting entities&#10;• Administrative and Support Services: 64 reporting entities&#10;• Other industries: 177 reporting entities &#10;"/>
                    <pic:cNvPicPr/>
                  </pic:nvPicPr>
                  <pic:blipFill>
                    <a:blip r:embed="rId89">
                      <a:extLst>
                        <a:ext uri="{96DAC541-7B7A-43D3-8B79-37D633B846F1}">
                          <asvg:svgBlip xmlns:asvg="http://schemas.microsoft.com/office/drawing/2016/SVG/main" r:embed="rId90"/>
                        </a:ext>
                      </a:extLst>
                    </a:blip>
                    <a:stretch>
                      <a:fillRect/>
                    </a:stretch>
                  </pic:blipFill>
                  <pic:spPr>
                    <a:xfrm>
                      <a:off x="0" y="0"/>
                      <a:ext cx="5067300" cy="3638550"/>
                    </a:xfrm>
                    <a:prstGeom prst="rect">
                      <a:avLst/>
                    </a:prstGeom>
                  </pic:spPr>
                </pic:pic>
              </a:graphicData>
            </a:graphic>
          </wp:inline>
        </w:drawing>
      </w:r>
    </w:p>
    <w:p w14:paraId="231AAFF0" w14:textId="1A6B2D2A" w:rsidR="003421D2" w:rsidRPr="005F3885" w:rsidRDefault="002D5BEE" w:rsidP="005F3885">
      <w:pPr>
        <w:pStyle w:val="ChartorTableNote"/>
        <w:rPr>
          <w:b/>
          <w:bCs/>
        </w:rPr>
      </w:pPr>
      <w:r w:rsidRPr="005F3885">
        <w:rPr>
          <w:b/>
          <w:bCs/>
        </w:rPr>
        <w:t>Notes</w:t>
      </w:r>
      <w:r w:rsidR="005F3885">
        <w:rPr>
          <w:b/>
          <w:bCs/>
        </w:rPr>
        <w:t>:</w:t>
      </w:r>
    </w:p>
    <w:p w14:paraId="7A2969BD" w14:textId="2D25F66E" w:rsidR="00517F30" w:rsidRPr="00263008" w:rsidRDefault="00517F30" w:rsidP="00263008">
      <w:pPr>
        <w:pStyle w:val="ChartandTableFootnoteAlpha"/>
      </w:pPr>
      <w:r w:rsidRPr="00263008">
        <w:t>Industry insights for this cycle are based on the ANZSIC subdivision given by each reporting entity</w:t>
      </w:r>
      <w:r w:rsidR="00A503A6">
        <w:t xml:space="preserve"> in the </w:t>
      </w:r>
      <w:r w:rsidR="00A503A6" w:rsidRPr="00263008">
        <w:t>Entity Information</w:t>
      </w:r>
      <w:r w:rsidR="00A503A6">
        <w:t xml:space="preserve"> form in the portal</w:t>
      </w:r>
      <w:r w:rsidRPr="00263008">
        <w:t>. The ANZSIC subdivision reflects the reporting entity</w:t>
      </w:r>
      <w:r w:rsidR="005D0129">
        <w:t>’</w:t>
      </w:r>
      <w:r w:rsidRPr="00263008">
        <w:t>s self</w:t>
      </w:r>
      <w:r w:rsidR="005D0129">
        <w:noBreakHyphen/>
      </w:r>
      <w:r w:rsidRPr="00263008">
        <w:t>assessed primary business activity.</w:t>
      </w:r>
    </w:p>
    <w:p w14:paraId="0E53C6E7" w14:textId="60BCED34" w:rsidR="00055779" w:rsidRPr="00263008" w:rsidRDefault="005D0129" w:rsidP="00263008">
      <w:pPr>
        <w:pStyle w:val="ChartandTableFootnoteAlpha"/>
      </w:pPr>
      <w:r>
        <w:t>‘</w:t>
      </w:r>
      <w:r w:rsidR="00B447BB" w:rsidRPr="00263008">
        <w:t>Other industries</w:t>
      </w:r>
      <w:r>
        <w:t>’</w:t>
      </w:r>
      <w:r w:rsidR="00B447BB" w:rsidRPr="00263008">
        <w:t xml:space="preserve"> include reporting entities where the industry proportion reflected less than 2</w:t>
      </w:r>
      <w:r w:rsidR="00263008" w:rsidRPr="00263008">
        <w:t> </w:t>
      </w:r>
      <w:r w:rsidR="00F67212" w:rsidRPr="00263008">
        <w:t>per</w:t>
      </w:r>
      <w:r w:rsidR="00263008" w:rsidRPr="00263008">
        <w:t> </w:t>
      </w:r>
      <w:r w:rsidR="00F67212" w:rsidRPr="00263008">
        <w:t>cent</w:t>
      </w:r>
      <w:r w:rsidR="00B447BB" w:rsidRPr="00263008">
        <w:t>. Data</w:t>
      </w:r>
      <w:r w:rsidR="00263008" w:rsidRPr="00263008">
        <w:t> </w:t>
      </w:r>
      <w:r w:rsidR="00B447BB" w:rsidRPr="00263008">
        <w:t>for</w:t>
      </w:r>
      <w:r w:rsidR="00263008" w:rsidRPr="00263008">
        <w:t> </w:t>
      </w:r>
      <w:r w:rsidR="00B447BB" w:rsidRPr="00263008">
        <w:t>all industries is provided in Table 3, Appendix B.</w:t>
      </w:r>
    </w:p>
    <w:p w14:paraId="481394E1" w14:textId="2994AF77" w:rsidR="003421D2" w:rsidRPr="00263008" w:rsidRDefault="003421D2" w:rsidP="00263008">
      <w:r w:rsidRPr="002F5F97">
        <w:br w:type="page"/>
      </w:r>
    </w:p>
    <w:p w14:paraId="7AC7941B" w14:textId="0C0381B2" w:rsidR="00B407AA" w:rsidRPr="002F5F97" w:rsidRDefault="00882259" w:rsidP="00B407AA">
      <w:pPr>
        <w:pStyle w:val="Heading2"/>
        <w:rPr>
          <w:rFonts w:cs="Times New Roman"/>
          <w:color w:val="auto"/>
          <w:sz w:val="22"/>
          <w:szCs w:val="20"/>
        </w:rPr>
      </w:pPr>
      <w:bookmarkStart w:id="25" w:name="_Hlk218857814"/>
      <w:r>
        <w:lastRenderedPageBreak/>
        <w:t xml:space="preserve"> </w:t>
      </w:r>
      <w:r w:rsidR="00B407AA" w:rsidRPr="002F5F97">
        <w:t>Payment terms vary across industries</w:t>
      </w:r>
    </w:p>
    <w:p w14:paraId="3EA70E0E" w14:textId="6FB75B8B" w:rsidR="001734D0" w:rsidRPr="002F5F97" w:rsidRDefault="00F66B0C" w:rsidP="005B4E34">
      <w:r w:rsidRPr="002F5F97">
        <w:t xml:space="preserve">At an industry level, the average common payment terms vary across industries, ranging from </w:t>
      </w:r>
      <w:r w:rsidRPr="002F5F97">
        <w:rPr>
          <w:b/>
          <w:bCs/>
        </w:rPr>
        <w:t>20</w:t>
      </w:r>
      <w:r w:rsidR="00E15842">
        <w:rPr>
          <w:b/>
          <w:bCs/>
        </w:rPr>
        <w:t> </w:t>
      </w:r>
      <w:r w:rsidRPr="002F5F97">
        <w:rPr>
          <w:b/>
          <w:bCs/>
        </w:rPr>
        <w:t>days</w:t>
      </w:r>
      <w:r w:rsidRPr="002F5F97">
        <w:t xml:space="preserve"> in the </w:t>
      </w:r>
      <w:r w:rsidR="00683D38">
        <w:rPr>
          <w:b/>
          <w:bCs/>
        </w:rPr>
        <w:t>E</w:t>
      </w:r>
      <w:r w:rsidRPr="002F5F97">
        <w:rPr>
          <w:b/>
          <w:bCs/>
        </w:rPr>
        <w:t xml:space="preserve">ducation and </w:t>
      </w:r>
      <w:r w:rsidR="00683D38">
        <w:rPr>
          <w:b/>
          <w:bCs/>
        </w:rPr>
        <w:t>T</w:t>
      </w:r>
      <w:r w:rsidRPr="002F5F97">
        <w:rPr>
          <w:b/>
          <w:bCs/>
        </w:rPr>
        <w:t>raining</w:t>
      </w:r>
      <w:r w:rsidRPr="002F5F97">
        <w:t xml:space="preserve"> industry to </w:t>
      </w:r>
      <w:r w:rsidRPr="002F5F97">
        <w:rPr>
          <w:b/>
          <w:bCs/>
        </w:rPr>
        <w:t>35</w:t>
      </w:r>
      <w:r w:rsidR="00E15842">
        <w:rPr>
          <w:b/>
          <w:bCs/>
        </w:rPr>
        <w:t> </w:t>
      </w:r>
      <w:r w:rsidRPr="002F5F97">
        <w:rPr>
          <w:b/>
          <w:bCs/>
        </w:rPr>
        <w:t>days</w:t>
      </w:r>
      <w:r w:rsidRPr="002F5F97">
        <w:t xml:space="preserve"> in the </w:t>
      </w:r>
      <w:r w:rsidR="00E14D93">
        <w:rPr>
          <w:b/>
          <w:bCs/>
        </w:rPr>
        <w:t>M</w:t>
      </w:r>
      <w:r w:rsidRPr="002F5F97">
        <w:rPr>
          <w:b/>
          <w:bCs/>
        </w:rPr>
        <w:t xml:space="preserve">anufacturing </w:t>
      </w:r>
      <w:r w:rsidRPr="002F5F97">
        <w:t xml:space="preserve">industry. </w:t>
      </w:r>
    </w:p>
    <w:p w14:paraId="5589C0A6" w14:textId="4719ECD3" w:rsidR="00B407AA" w:rsidRDefault="00F66B0C" w:rsidP="005B4E34">
      <w:r w:rsidRPr="002F5F97">
        <w:t xml:space="preserve">Across all industries, the average common payment term is </w:t>
      </w:r>
      <w:r w:rsidRPr="005A1950">
        <w:rPr>
          <w:b/>
          <w:bCs/>
        </w:rPr>
        <w:t>29</w:t>
      </w:r>
      <w:r w:rsidR="00E15842" w:rsidRPr="005A1950">
        <w:rPr>
          <w:b/>
          <w:bCs/>
        </w:rPr>
        <w:t> </w:t>
      </w:r>
      <w:r w:rsidRPr="005A1950">
        <w:rPr>
          <w:b/>
          <w:bCs/>
        </w:rPr>
        <w:t>days</w:t>
      </w:r>
      <w:r w:rsidR="00646A91">
        <w:t>.</w:t>
      </w:r>
      <w:r w:rsidRPr="002F5F97">
        <w:t xml:space="preserve"> (see</w:t>
      </w:r>
      <w:r w:rsidR="00E15842">
        <w:t> </w:t>
      </w:r>
      <w:r w:rsidRPr="002F5F97">
        <w:t>Table</w:t>
      </w:r>
      <w:r w:rsidR="00E15842">
        <w:t> </w:t>
      </w:r>
      <w:r w:rsidRPr="002F5F97">
        <w:t>3,</w:t>
      </w:r>
      <w:r w:rsidR="00E15842">
        <w:t> </w:t>
      </w:r>
      <w:r w:rsidRPr="002F5F97">
        <w:t>Appendix B for full industry data).</w:t>
      </w:r>
    </w:p>
    <w:p w14:paraId="135050A9" w14:textId="42BACD0A" w:rsidR="005217E7" w:rsidRDefault="005217E7" w:rsidP="005B4E34">
      <w:r>
        <w:rPr>
          <w:noProof/>
        </w:rPr>
        <w:drawing>
          <wp:inline distT="0" distB="0" distL="0" distR="0" wp14:anchorId="1358CA3C" wp14:editId="6DBE1E91">
            <wp:extent cx="5081026" cy="1106426"/>
            <wp:effectExtent l="0" t="0" r="5715" b="0"/>
            <wp:docPr id="1721763223" name="Picture 1" descr="Shortest payment term: 20 days for the education and training indus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63223" name="Picture 1" descr="Shortest payment term: 20 days for the education and training industry&#1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7DD6D21D" w14:textId="77777777" w:rsidR="005217E7" w:rsidRDefault="005217E7" w:rsidP="005217E7">
      <w:pPr>
        <w:pStyle w:val="SingleParagraph"/>
      </w:pPr>
    </w:p>
    <w:p w14:paraId="276B94D1" w14:textId="27A580CF" w:rsidR="005217E7" w:rsidRDefault="005217E7" w:rsidP="005B4E34">
      <w:r>
        <w:rPr>
          <w:noProof/>
        </w:rPr>
        <w:drawing>
          <wp:inline distT="0" distB="0" distL="0" distR="0" wp14:anchorId="134B420B" wp14:editId="03FBCB97">
            <wp:extent cx="5081026" cy="1106426"/>
            <wp:effectExtent l="0" t="0" r="5715" b="0"/>
            <wp:docPr id="776401004" name="Picture 2" descr="Longest payment term: 35 days for the manufactur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01004" name="Picture 2" descr="Longest payment term: 35 days for the manufacturing industry"/>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66425855" w14:textId="77777777" w:rsidR="005217E7" w:rsidRDefault="005217E7" w:rsidP="005217E7">
      <w:pPr>
        <w:pStyle w:val="SingleParagraph"/>
      </w:pPr>
    </w:p>
    <w:p w14:paraId="729EA7B0" w14:textId="4CA8A24A" w:rsidR="00B17DFC" w:rsidRPr="002F5F97" w:rsidRDefault="0011587D" w:rsidP="00263008">
      <w:pPr>
        <w:pStyle w:val="ChartMainHeading"/>
        <w:jc w:val="left"/>
      </w:pPr>
      <w:r w:rsidRPr="002F5F97">
        <w:t>Figure 1</w:t>
      </w:r>
      <w:r w:rsidR="00B43EA4">
        <w:t>1</w:t>
      </w:r>
      <w:r w:rsidRPr="002F5F97">
        <w:t xml:space="preserve">: </w:t>
      </w:r>
      <w:bookmarkStart w:id="26" w:name="_Hlk219302189"/>
      <w:r w:rsidRPr="002F5F97">
        <w:t xml:space="preserve">Average common payment term </w:t>
      </w:r>
      <w:r w:rsidR="005A1950" w:rsidRPr="002F5F97">
        <w:t xml:space="preserve">by industry </w:t>
      </w:r>
      <w:r w:rsidR="005A1950">
        <w:t>(</w:t>
      </w:r>
      <w:r w:rsidRPr="002F5F97">
        <w:t>days</w:t>
      </w:r>
      <w:r w:rsidR="005A1950">
        <w:t>) for</w:t>
      </w:r>
      <w:r w:rsidRPr="002F5F97">
        <w:t xml:space="preserve"> </w:t>
      </w:r>
      <w:bookmarkEnd w:id="26"/>
      <w:r w:rsidRPr="002F5F97">
        <w:t>Reporting</w:t>
      </w:r>
      <w:r w:rsidR="00263008">
        <w:t> </w:t>
      </w:r>
      <w:r w:rsidRPr="002F5F97">
        <w:t>Cycle 9 (see Table 3, Appendix B)</w:t>
      </w:r>
    </w:p>
    <w:bookmarkEnd w:id="25"/>
    <w:p w14:paraId="79603F55" w14:textId="77777777" w:rsidR="00286A29" w:rsidRDefault="00CE5D0E" w:rsidP="00BE7BC5">
      <w:pPr>
        <w:pStyle w:val="ChartGraphic"/>
        <w:spacing w:before="120"/>
      </w:pPr>
      <w:r w:rsidRPr="00BE7BC5">
        <w:rPr>
          <w:noProof/>
        </w:rPr>
        <w:drawing>
          <wp:inline distT="0" distB="0" distL="0" distR="0" wp14:anchorId="782A13A7" wp14:editId="355A5D52">
            <wp:extent cx="5400040" cy="2735580"/>
            <wp:effectExtent l="0" t="0" r="0" b="7620"/>
            <wp:docPr id="178170039" name="Graphic 1" descr="This vertical bar chart shows average common payment terms by industry (in days) ordered from shortest to longest.&#10;• Education and Training: 20 days.&#10;• Financial and Insurance services: 21 days.&#10;• Public Administration and Safety: 23 days.&#10;• Agriculture, Forestry and Fishing: 24 days.&#10;• Administrative and support services: 25 days&#10;• Accommodation and Food Services: 25 days&#10;• Arts and Recreation Services: 25 days&#10;• Electricity, Gas, Water and Waste Services: 26 days&#10;• Health Care and Social Assistance:26 days&#10;• Other Services: 26 days &#10;• Rental, Hiring and Real Estate Services: 27 days&#10;• Professional, Scientific and Technical Services: 28 days&#10;• Information Media and Telecommunications: 29 days&#10;• All industries Average: 29 days.&#10;• Transport, Postal and Warehousing: 30 days&#10;• Retail Trade: 31 days&#10;• Mining: 32 days&#10;• Wholesale Trade: 33 days&#10;• Construction 34 days&#10;• Manufacturing 3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039" name="Graphic 1" descr="This vertical bar chart shows average common payment terms by industry (in days) ordered from shortest to longest.&#10;• Education and Training: 20 days.&#10;• Financial and Insurance services: 21 days.&#10;• Public Administration and Safety: 23 days.&#10;• Agriculture, Forestry and Fishing: 24 days.&#10;• Administrative and support services: 25 days&#10;• Accommodation and Food Services: 25 days&#10;• Arts and Recreation Services: 25 days&#10;• Electricity, Gas, Water and Waste Services: 26 days&#10;• Health Care and Social Assistance:26 days&#10;• Other Services: 26 days &#10;• Rental, Hiring and Real Estate Services: 27 days&#10;• Professional, Scientific and Technical Services: 28 days&#10;• Information Media and Telecommunications: 29 days&#10;• All industries Average: 29 days.&#10;• Transport, Postal and Warehousing: 30 days&#10;• Retail Trade: 31 days&#10;• Mining: 32 days&#10;• Wholesale Trade: 33 days&#10;• Construction 34 days&#10;• Manufacturing 35 days"/>
                    <pic:cNvPicPr/>
                  </pic:nvPicPr>
                  <pic:blipFill>
                    <a:blip r:embed="rId93">
                      <a:extLst>
                        <a:ext uri="{96DAC541-7B7A-43D3-8B79-37D633B846F1}">
                          <asvg:svgBlip xmlns:asvg="http://schemas.microsoft.com/office/drawing/2016/SVG/main" r:embed="rId94"/>
                        </a:ext>
                      </a:extLst>
                    </a:blip>
                    <a:stretch>
                      <a:fillRect/>
                    </a:stretch>
                  </pic:blipFill>
                  <pic:spPr>
                    <a:xfrm>
                      <a:off x="0" y="0"/>
                      <a:ext cx="5400040" cy="2735580"/>
                    </a:xfrm>
                    <a:prstGeom prst="rect">
                      <a:avLst/>
                    </a:prstGeom>
                  </pic:spPr>
                </pic:pic>
              </a:graphicData>
            </a:graphic>
          </wp:inline>
        </w:drawing>
      </w:r>
    </w:p>
    <w:p w14:paraId="7DA24DEC" w14:textId="015A1EE7" w:rsidR="003421D2" w:rsidRPr="002F5F97" w:rsidRDefault="003421D2" w:rsidP="00286A29">
      <w:r w:rsidRPr="002F5F97">
        <w:br w:type="page"/>
      </w:r>
    </w:p>
    <w:p w14:paraId="470D01E9" w14:textId="7A09AA1F" w:rsidR="00B17DFC" w:rsidRPr="002F5F97" w:rsidRDefault="00B17DFC" w:rsidP="00B17DFC">
      <w:pPr>
        <w:pStyle w:val="Heading2"/>
        <w:rPr>
          <w:rFonts w:cs="Times New Roman"/>
          <w:color w:val="auto"/>
          <w:sz w:val="22"/>
          <w:szCs w:val="20"/>
        </w:rPr>
      </w:pPr>
      <w:r w:rsidRPr="002F5F97">
        <w:lastRenderedPageBreak/>
        <w:t>On</w:t>
      </w:r>
      <w:r w:rsidR="005D0129">
        <w:noBreakHyphen/>
      </w:r>
      <w:r w:rsidRPr="002F5F97">
        <w:t>time payment performance by industry</w:t>
      </w:r>
    </w:p>
    <w:p w14:paraId="77293DE4" w14:textId="1E5CE505" w:rsidR="003520AA" w:rsidRPr="00BC03F5" w:rsidRDefault="003520AA" w:rsidP="00BC03F5">
      <w:r w:rsidRPr="00BC03F5">
        <w:t xml:space="preserve">In Reporting Cycle 9, the </w:t>
      </w:r>
      <w:r w:rsidRPr="00BC03F5">
        <w:rPr>
          <w:rStyle w:val="Strong"/>
        </w:rPr>
        <w:t>Agriculture, Forestry and Fishing</w:t>
      </w:r>
      <w:r w:rsidRPr="00BC03F5">
        <w:t xml:space="preserve"> industry reported the highest proportion of small business payments on time at </w:t>
      </w:r>
      <w:r w:rsidRPr="00BC03F5">
        <w:rPr>
          <w:rStyle w:val="Strong"/>
        </w:rPr>
        <w:t>73.4</w:t>
      </w:r>
      <w:r w:rsidR="00BC03F5">
        <w:rPr>
          <w:rStyle w:val="Strong"/>
        </w:rPr>
        <w:t> </w:t>
      </w:r>
      <w:r w:rsidRPr="00BC03F5">
        <w:rPr>
          <w:rStyle w:val="Strong"/>
        </w:rPr>
        <w:t>per</w:t>
      </w:r>
      <w:r w:rsidR="00BC03F5">
        <w:rPr>
          <w:rStyle w:val="Strong"/>
        </w:rPr>
        <w:t> </w:t>
      </w:r>
      <w:r w:rsidRPr="00BC03F5">
        <w:rPr>
          <w:rStyle w:val="Strong"/>
        </w:rPr>
        <w:t>cent</w:t>
      </w:r>
      <w:r w:rsidRPr="00BC03F5">
        <w:t xml:space="preserve">, while the </w:t>
      </w:r>
      <w:r w:rsidRPr="00BC03F5">
        <w:rPr>
          <w:rStyle w:val="Strong"/>
        </w:rPr>
        <w:t>Health Care and Social Assistance</w:t>
      </w:r>
      <w:r w:rsidRPr="00BC03F5">
        <w:t xml:space="preserve"> industry reported the lowest at </w:t>
      </w:r>
      <w:r w:rsidRPr="00BC03F5">
        <w:rPr>
          <w:rStyle w:val="Strong"/>
        </w:rPr>
        <w:t>60.3</w:t>
      </w:r>
      <w:r w:rsidR="00BC03F5">
        <w:rPr>
          <w:rStyle w:val="Strong"/>
        </w:rPr>
        <w:t> </w:t>
      </w:r>
      <w:r w:rsidRPr="00BC03F5">
        <w:rPr>
          <w:rStyle w:val="Strong"/>
        </w:rPr>
        <w:t>per</w:t>
      </w:r>
      <w:r w:rsidR="00BC03F5">
        <w:rPr>
          <w:rStyle w:val="Strong"/>
        </w:rPr>
        <w:t> </w:t>
      </w:r>
      <w:r w:rsidRPr="00BC03F5">
        <w:rPr>
          <w:rStyle w:val="Strong"/>
        </w:rPr>
        <w:t>cent</w:t>
      </w:r>
      <w:r w:rsidRPr="00BC03F5">
        <w:t>.</w:t>
      </w:r>
    </w:p>
    <w:p w14:paraId="590F308B" w14:textId="4CF74CBD" w:rsidR="00B17DFC" w:rsidRDefault="003520AA" w:rsidP="00BC03F5">
      <w:r w:rsidRPr="00BC03F5">
        <w:t xml:space="preserve">By comparison, in Reporting Cycle 8, the </w:t>
      </w:r>
      <w:r w:rsidR="00EB121C" w:rsidRPr="00B81529">
        <w:rPr>
          <w:rStyle w:val="Strong"/>
        </w:rPr>
        <w:t>R</w:t>
      </w:r>
      <w:r w:rsidRPr="00B81529">
        <w:rPr>
          <w:rStyle w:val="Strong"/>
        </w:rPr>
        <w:t xml:space="preserve">ental, </w:t>
      </w:r>
      <w:r w:rsidR="00EB121C" w:rsidRPr="00B81529">
        <w:rPr>
          <w:rStyle w:val="Strong"/>
        </w:rPr>
        <w:t>H</w:t>
      </w:r>
      <w:r w:rsidRPr="00B81529">
        <w:rPr>
          <w:rStyle w:val="Strong"/>
        </w:rPr>
        <w:t xml:space="preserve">iring and </w:t>
      </w:r>
      <w:r w:rsidR="00EB121C" w:rsidRPr="00B81529">
        <w:rPr>
          <w:rStyle w:val="Strong"/>
        </w:rPr>
        <w:t>R</w:t>
      </w:r>
      <w:r w:rsidRPr="00B81529">
        <w:rPr>
          <w:rStyle w:val="Strong"/>
        </w:rPr>
        <w:t xml:space="preserve">eal </w:t>
      </w:r>
      <w:r w:rsidR="004778B1" w:rsidRPr="00B81529">
        <w:rPr>
          <w:rStyle w:val="Strong"/>
        </w:rPr>
        <w:t>E</w:t>
      </w:r>
      <w:r w:rsidRPr="00B81529">
        <w:rPr>
          <w:rStyle w:val="Strong"/>
        </w:rPr>
        <w:t>state</w:t>
      </w:r>
      <w:r w:rsidR="005C7A49" w:rsidRPr="00B81529">
        <w:rPr>
          <w:rStyle w:val="Strong"/>
        </w:rPr>
        <w:t xml:space="preserve"> Services</w:t>
      </w:r>
      <w:r w:rsidRPr="00BC03F5">
        <w:t xml:space="preserve"> </w:t>
      </w:r>
      <w:r w:rsidR="00361ACB" w:rsidRPr="00BC03F5">
        <w:t>i</w:t>
      </w:r>
      <w:r w:rsidRPr="00BC03F5">
        <w:t>ndustry had the highest proportion of small business payment</w:t>
      </w:r>
      <w:r w:rsidR="00B059F0" w:rsidRPr="00BC03F5">
        <w:t>s</w:t>
      </w:r>
      <w:r w:rsidRPr="00BC03F5">
        <w:t xml:space="preserve"> made on time at </w:t>
      </w:r>
      <w:r w:rsidRPr="00B81529">
        <w:rPr>
          <w:rStyle w:val="Strong"/>
        </w:rPr>
        <w:t>72.5</w:t>
      </w:r>
      <w:r w:rsidR="00B81529" w:rsidRPr="00B81529">
        <w:rPr>
          <w:rStyle w:val="Strong"/>
        </w:rPr>
        <w:t> </w:t>
      </w:r>
      <w:r w:rsidRPr="00B81529">
        <w:rPr>
          <w:rStyle w:val="Strong"/>
        </w:rPr>
        <w:t>per</w:t>
      </w:r>
      <w:r w:rsidR="00B81529" w:rsidRPr="00B81529">
        <w:rPr>
          <w:rStyle w:val="Strong"/>
        </w:rPr>
        <w:t> </w:t>
      </w:r>
      <w:r w:rsidRPr="00B81529">
        <w:rPr>
          <w:rStyle w:val="Strong"/>
        </w:rPr>
        <w:t>cent</w:t>
      </w:r>
      <w:r w:rsidRPr="00BC03F5">
        <w:t xml:space="preserve">, while the </w:t>
      </w:r>
      <w:r w:rsidR="00A962E2" w:rsidRPr="00B81529">
        <w:rPr>
          <w:rStyle w:val="Strong"/>
        </w:rPr>
        <w:t>A</w:t>
      </w:r>
      <w:r w:rsidRPr="00B81529">
        <w:rPr>
          <w:rStyle w:val="Strong"/>
        </w:rPr>
        <w:t xml:space="preserve">ccommodation and </w:t>
      </w:r>
      <w:r w:rsidR="00A962E2" w:rsidRPr="00B81529">
        <w:rPr>
          <w:rStyle w:val="Strong"/>
        </w:rPr>
        <w:t>F</w:t>
      </w:r>
      <w:r w:rsidRPr="00B81529">
        <w:rPr>
          <w:rStyle w:val="Strong"/>
        </w:rPr>
        <w:t xml:space="preserve">ood </w:t>
      </w:r>
      <w:r w:rsidR="0058214B" w:rsidRPr="00B81529">
        <w:rPr>
          <w:rStyle w:val="Strong"/>
        </w:rPr>
        <w:t>S</w:t>
      </w:r>
      <w:r w:rsidRPr="00B81529">
        <w:rPr>
          <w:rStyle w:val="Strong"/>
        </w:rPr>
        <w:t>ervice</w:t>
      </w:r>
      <w:r w:rsidR="004B0EE4" w:rsidRPr="00B81529">
        <w:rPr>
          <w:rStyle w:val="Strong"/>
        </w:rPr>
        <w:t>s</w:t>
      </w:r>
      <w:r w:rsidRPr="00BC03F5">
        <w:t xml:space="preserve"> industry had the lowest proportion at </w:t>
      </w:r>
      <w:r w:rsidRPr="00B81529">
        <w:rPr>
          <w:rStyle w:val="Strong"/>
        </w:rPr>
        <w:t>58.6</w:t>
      </w:r>
      <w:r w:rsidR="00B81529" w:rsidRPr="00B81529">
        <w:rPr>
          <w:rStyle w:val="Strong"/>
        </w:rPr>
        <w:t> </w:t>
      </w:r>
      <w:r w:rsidRPr="00B81529">
        <w:rPr>
          <w:rStyle w:val="Strong"/>
        </w:rPr>
        <w:t>per</w:t>
      </w:r>
      <w:r w:rsidR="00B81529" w:rsidRPr="00B81529">
        <w:rPr>
          <w:rStyle w:val="Strong"/>
        </w:rPr>
        <w:t> </w:t>
      </w:r>
      <w:r w:rsidRPr="00B81529">
        <w:rPr>
          <w:rStyle w:val="Strong"/>
        </w:rPr>
        <w:t>cent</w:t>
      </w:r>
      <w:r w:rsidR="00295092" w:rsidRPr="00BC03F5">
        <w:t>.</w:t>
      </w:r>
      <w:r w:rsidR="008446BB" w:rsidRPr="00BC03F5">
        <w:t xml:space="preserve"> </w:t>
      </w:r>
    </w:p>
    <w:p w14:paraId="0328137B" w14:textId="30A846C6" w:rsidR="00864090" w:rsidRDefault="00950B39" w:rsidP="00950B39">
      <w:pPr>
        <w:pStyle w:val="BoxHeading"/>
      </w:pPr>
      <w:r w:rsidRPr="002F5F97">
        <w:t>Reporting Cycle 9</w:t>
      </w:r>
    </w:p>
    <w:p w14:paraId="1C422D0B" w14:textId="230E3BA6" w:rsidR="00E61236" w:rsidRDefault="00E61236" w:rsidP="00E61236">
      <w:r>
        <w:rPr>
          <w:noProof/>
        </w:rPr>
        <w:drawing>
          <wp:inline distT="0" distB="0" distL="0" distR="0" wp14:anchorId="741322D9" wp14:editId="301D2584">
            <wp:extent cx="5081026" cy="1106426"/>
            <wp:effectExtent l="0" t="0" r="5715" b="0"/>
            <wp:docPr id="181655710" name="Picture 1" descr="Highest proportion of on-time payments: agriculture, forestry and fishing industry 7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5710" name="Picture 1" descr="Highest proportion of on-time payments: agriculture, forestry and fishing industry 73.4%&#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37BD90FD" w14:textId="77777777" w:rsidR="00E61236" w:rsidRPr="005C29B6" w:rsidRDefault="00E61236" w:rsidP="005C29B6">
      <w:pPr>
        <w:pStyle w:val="SingleParagraph"/>
      </w:pPr>
    </w:p>
    <w:p w14:paraId="591CD604" w14:textId="37CA75D5" w:rsidR="00E61236" w:rsidRPr="00E61236" w:rsidRDefault="00E61236" w:rsidP="00E61236">
      <w:r>
        <w:rPr>
          <w:noProof/>
        </w:rPr>
        <w:drawing>
          <wp:inline distT="0" distB="0" distL="0" distR="0" wp14:anchorId="6D172D31" wp14:editId="15F69775">
            <wp:extent cx="5081026" cy="1106426"/>
            <wp:effectExtent l="0" t="0" r="5715" b="0"/>
            <wp:docPr id="1168588782" name="Picture 2" descr="Lowest proportion of on-time payments: health care and social assistance industry 60.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88782" name="Picture 2" descr="Lowest proportion of on-time payments: health care and social assistance industry 60.3%&#10;&#1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4704D415" w14:textId="77777777" w:rsidR="00A74D6B" w:rsidRDefault="00A74D6B" w:rsidP="004725D3"/>
    <w:p w14:paraId="67DE001E" w14:textId="49B53025" w:rsidR="003421D2" w:rsidRPr="002F5F97" w:rsidRDefault="003421D2" w:rsidP="003421D2">
      <w:pPr>
        <w:pStyle w:val="BoxHeading"/>
      </w:pPr>
      <w:r w:rsidRPr="002F5F97">
        <w:t>Reporting Cycle 8</w:t>
      </w:r>
    </w:p>
    <w:p w14:paraId="2799A9F3" w14:textId="3BBC3AAF" w:rsidR="005C29B6" w:rsidRDefault="005C29B6">
      <w:pPr>
        <w:spacing w:before="0" w:after="160" w:line="259" w:lineRule="auto"/>
      </w:pPr>
      <w:r>
        <w:rPr>
          <w:noProof/>
        </w:rPr>
        <w:drawing>
          <wp:inline distT="0" distB="0" distL="0" distR="0" wp14:anchorId="3F242111" wp14:editId="3E5F0B19">
            <wp:extent cx="5081026" cy="1106426"/>
            <wp:effectExtent l="0" t="0" r="5715" b="0"/>
            <wp:docPr id="1444198564" name="Picture 5" descr="Highest proportion of on-time payments: rental, hiring and real estate services industry 72.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98564" name="Picture 5" descr="Highest proportion of on-time payments: rental, hiring and real estate services industry 72.5%&#10;&#1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6BF9946C" w14:textId="77777777" w:rsidR="00E61236" w:rsidRDefault="00E61236" w:rsidP="005C29B6">
      <w:pPr>
        <w:pStyle w:val="SingleParagraph"/>
      </w:pPr>
    </w:p>
    <w:p w14:paraId="35F7A1E2" w14:textId="67925B29" w:rsidR="00E61236" w:rsidRPr="002F5F97" w:rsidRDefault="00E61236">
      <w:pPr>
        <w:spacing w:before="0" w:after="160" w:line="259" w:lineRule="auto"/>
      </w:pPr>
      <w:r>
        <w:rPr>
          <w:noProof/>
        </w:rPr>
        <w:drawing>
          <wp:inline distT="0" distB="0" distL="0" distR="0" wp14:anchorId="74C01719" wp14:editId="17042B1C">
            <wp:extent cx="5081026" cy="1106426"/>
            <wp:effectExtent l="0" t="0" r="5715" b="0"/>
            <wp:docPr id="1393023347" name="Picture 3" descr="Lowest proportion of on-time payments: accommodation and food services industry 58.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3347" name="Picture 3" descr="Lowest proportion of on-time payments: accommodation and food services industry 58.6%&#10;&#1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5444B4B1" w14:textId="77777777" w:rsidR="003E6330" w:rsidRDefault="003E6330">
      <w:pPr>
        <w:spacing w:before="0" w:after="160" w:line="259" w:lineRule="auto"/>
      </w:pPr>
      <w:r>
        <w:br w:type="page"/>
      </w:r>
    </w:p>
    <w:p w14:paraId="012527CF" w14:textId="143D37D5" w:rsidR="0052628D" w:rsidRDefault="00714F19" w:rsidP="0058741E">
      <w:r w:rsidRPr="002F5F97">
        <w:lastRenderedPageBreak/>
        <w:t>In Reporting Cycle 9, 12 industries recorded on</w:t>
      </w:r>
      <w:r w:rsidR="005D0129">
        <w:noBreakHyphen/>
      </w:r>
      <w:r w:rsidRPr="002F5F97">
        <w:t>time payment rates above the all</w:t>
      </w:r>
      <w:r w:rsidR="005D0129">
        <w:noBreakHyphen/>
      </w:r>
      <w:r w:rsidRPr="002F5F97">
        <w:t>industry average of 66.5 per cent (see Figure 1</w:t>
      </w:r>
      <w:r w:rsidR="005755B5">
        <w:t>2</w:t>
      </w:r>
      <w:r w:rsidRPr="002F5F97">
        <w:t>).</w:t>
      </w:r>
    </w:p>
    <w:p w14:paraId="178F8B38" w14:textId="77777777" w:rsidR="006A2C9C" w:rsidRPr="006A2C9C" w:rsidRDefault="006A2C9C" w:rsidP="006A2C9C">
      <w:pPr>
        <w:pStyle w:val="SingleParagraph"/>
      </w:pPr>
    </w:p>
    <w:p w14:paraId="2C1ED0AC" w14:textId="78C1B15D" w:rsidR="0052628D" w:rsidRPr="002F5F97" w:rsidRDefault="004561C5" w:rsidP="006A2C9C">
      <w:pPr>
        <w:pStyle w:val="ChartMainHeading"/>
        <w:jc w:val="left"/>
      </w:pPr>
      <w:r w:rsidRPr="002F5F97">
        <w:t>Figure 1</w:t>
      </w:r>
      <w:r w:rsidR="002241FC">
        <w:t>2</w:t>
      </w:r>
      <w:r w:rsidRPr="002F5F97">
        <w:t xml:space="preserve">: </w:t>
      </w:r>
      <w:bookmarkStart w:id="27" w:name="_Hlk219302524"/>
      <w:r w:rsidRPr="002F5F97">
        <w:t>Proportion of payments paid on time by industry</w:t>
      </w:r>
      <w:r w:rsidR="004725D3">
        <w:t xml:space="preserve"> for</w:t>
      </w:r>
      <w:r w:rsidRPr="002F5F97">
        <w:t xml:space="preserve"> </w:t>
      </w:r>
      <w:bookmarkEnd w:id="27"/>
      <w:r w:rsidRPr="002F5F97">
        <w:t>Reporting</w:t>
      </w:r>
      <w:r w:rsidR="006A2C9C">
        <w:t> </w:t>
      </w:r>
      <w:r w:rsidRPr="002F5F97">
        <w:t>Cycle</w:t>
      </w:r>
      <w:r w:rsidR="006A2C9C">
        <w:t> </w:t>
      </w:r>
      <w:r w:rsidRPr="002F5F97">
        <w:t>9 (see Table 9, Appendix B)</w:t>
      </w:r>
    </w:p>
    <w:p w14:paraId="65849ADE" w14:textId="137955F1" w:rsidR="008F2304" w:rsidRPr="002F5F97" w:rsidRDefault="008F2304" w:rsidP="006A2C9C">
      <w:pPr>
        <w:pStyle w:val="ChartGraphic"/>
        <w:spacing w:before="120"/>
      </w:pPr>
      <w:r>
        <w:rPr>
          <w:noProof/>
        </w:rPr>
        <w:drawing>
          <wp:inline distT="0" distB="0" distL="0" distR="0" wp14:anchorId="30E2B121" wp14:editId="0A326EF2">
            <wp:extent cx="5400040" cy="5373370"/>
            <wp:effectExtent l="0" t="0" r="0" b="0"/>
            <wp:docPr id="1598166922" name="Graphic 1" descr="This funnel chart shows the proportion made on time by industries in Reporting Cycle 9, values range from highest to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66922" name="Graphic 1" descr="This funnel chart shows the proportion made on time by industries in Reporting Cycle 9, values range from highest to lowest."/>
                    <pic:cNvPicPr/>
                  </pic:nvPicPr>
                  <pic:blipFill>
                    <a:blip r:embed="rId99">
                      <a:extLst>
                        <a:ext uri="{96DAC541-7B7A-43D3-8B79-37D633B846F1}">
                          <asvg:svgBlip xmlns:asvg="http://schemas.microsoft.com/office/drawing/2016/SVG/main" r:embed="rId100"/>
                        </a:ext>
                      </a:extLst>
                    </a:blip>
                    <a:stretch>
                      <a:fillRect/>
                    </a:stretch>
                  </pic:blipFill>
                  <pic:spPr>
                    <a:xfrm>
                      <a:off x="0" y="0"/>
                      <a:ext cx="5400040" cy="5373370"/>
                    </a:xfrm>
                    <a:prstGeom prst="rect">
                      <a:avLst/>
                    </a:prstGeom>
                  </pic:spPr>
                </pic:pic>
              </a:graphicData>
            </a:graphic>
          </wp:inline>
        </w:drawing>
      </w:r>
    </w:p>
    <w:p w14:paraId="595A0AAF" w14:textId="52100CA2" w:rsidR="004F2006" w:rsidRPr="002F5F97" w:rsidRDefault="004F2006">
      <w:pPr>
        <w:spacing w:before="0" w:after="160" w:line="259" w:lineRule="auto"/>
      </w:pPr>
      <w:r w:rsidRPr="002F5F97">
        <w:br w:type="page"/>
      </w:r>
    </w:p>
    <w:p w14:paraId="7C28A22D" w14:textId="3C33CDC2" w:rsidR="0052628D" w:rsidRPr="002F5F97" w:rsidRDefault="0052628D" w:rsidP="0052628D">
      <w:pPr>
        <w:pStyle w:val="ChapterHeading1"/>
      </w:pPr>
      <w:bookmarkStart w:id="28" w:name="_Toc220068372"/>
      <w:r w:rsidRPr="002F5F97">
        <w:lastRenderedPageBreak/>
        <w:t>Industry focus</w:t>
      </w:r>
      <w:bookmarkEnd w:id="28"/>
    </w:p>
    <w:p w14:paraId="3D70456D" w14:textId="6B586317" w:rsidR="0052628D" w:rsidRPr="002F5F97" w:rsidRDefault="00D26973" w:rsidP="00437A26">
      <w:pPr>
        <w:pStyle w:val="Heading2"/>
      </w:pPr>
      <w:r w:rsidRPr="00437A26">
        <w:t>Regional</w:t>
      </w:r>
      <w:r w:rsidRPr="002F5F97">
        <w:t xml:space="preserve"> series spotlight: the </w:t>
      </w:r>
      <w:bookmarkStart w:id="29" w:name="_Hlk219989180"/>
      <w:r w:rsidR="00E14D93">
        <w:t>T</w:t>
      </w:r>
      <w:r w:rsidRPr="002F5F97">
        <w:t xml:space="preserve">ransport, </w:t>
      </w:r>
      <w:r w:rsidR="00A96E8E">
        <w:t>P</w:t>
      </w:r>
      <w:r w:rsidRPr="002F5F97">
        <w:t>ostal</w:t>
      </w:r>
      <w:r w:rsidR="007648A4">
        <w:t> </w:t>
      </w:r>
      <w:r w:rsidRPr="002F5F97">
        <w:t>and</w:t>
      </w:r>
      <w:r w:rsidR="00EC11A9">
        <w:t> </w:t>
      </w:r>
      <w:r w:rsidR="00A96E8E">
        <w:t>W</w:t>
      </w:r>
      <w:r w:rsidRPr="002F5F97">
        <w:t>arehousing industry</w:t>
      </w:r>
    </w:p>
    <w:bookmarkEnd w:id="29"/>
    <w:p w14:paraId="71099410" w14:textId="5D992B8A" w:rsidR="00D26973" w:rsidRPr="002F5F97" w:rsidRDefault="000C3CCF" w:rsidP="00D26973">
      <w:r w:rsidRPr="002F5F97">
        <w:t>Australia</w:t>
      </w:r>
      <w:r w:rsidR="005D0129">
        <w:t>’</w:t>
      </w:r>
      <w:r w:rsidRPr="002F5F97">
        <w:t>s siz</w:t>
      </w:r>
      <w:r w:rsidR="00F9759D">
        <w:t>e</w:t>
      </w:r>
      <w:r w:rsidRPr="002F5F97">
        <w:t xml:space="preserve"> and relative isolation make the </w:t>
      </w:r>
      <w:r w:rsidR="00A96E8E" w:rsidRPr="00293D84">
        <w:rPr>
          <w:b/>
          <w:bCs/>
        </w:rPr>
        <w:t>T</w:t>
      </w:r>
      <w:r w:rsidRPr="00293D84">
        <w:rPr>
          <w:b/>
          <w:bCs/>
        </w:rPr>
        <w:t xml:space="preserve">ransport, </w:t>
      </w:r>
      <w:r w:rsidR="00A96E8E" w:rsidRPr="00293D84">
        <w:rPr>
          <w:b/>
          <w:bCs/>
        </w:rPr>
        <w:t>P</w:t>
      </w:r>
      <w:r w:rsidRPr="00293D84">
        <w:rPr>
          <w:b/>
          <w:bCs/>
        </w:rPr>
        <w:t xml:space="preserve">ostal and </w:t>
      </w:r>
      <w:r w:rsidR="00A96E8E" w:rsidRPr="00293D84">
        <w:rPr>
          <w:b/>
          <w:bCs/>
        </w:rPr>
        <w:t>W</w:t>
      </w:r>
      <w:r w:rsidRPr="00293D84">
        <w:rPr>
          <w:b/>
          <w:bCs/>
        </w:rPr>
        <w:t>arehousing</w:t>
      </w:r>
      <w:r w:rsidRPr="002F5F97">
        <w:t xml:space="preserve"> industry a critical enabler of national economic activity, particularly for regional and remote communities. This industry connects people and goods, supports e</w:t>
      </w:r>
      <w:r w:rsidR="005D0129">
        <w:noBreakHyphen/>
      </w:r>
      <w:r w:rsidRPr="002F5F97">
        <w:t>commerce and delivery services and underpins supply chains across all states and territories. It is also a major employer and a</w:t>
      </w:r>
      <w:r w:rsidR="00ED495D" w:rsidRPr="002F5F97">
        <w:t>n industry</w:t>
      </w:r>
      <w:r w:rsidRPr="002F5F97">
        <w:t xml:space="preserve"> with wide small</w:t>
      </w:r>
      <w:r w:rsidR="005D0129">
        <w:noBreakHyphen/>
      </w:r>
      <w:r w:rsidRPr="002F5F97">
        <w:t>business exposure. Reporting entities in this industry engaged with approximately 297,962</w:t>
      </w:r>
      <w:r w:rsidR="00437A26">
        <w:t> </w:t>
      </w:r>
      <w:r w:rsidRPr="002F5F97">
        <w:t>small</w:t>
      </w:r>
      <w:r w:rsidR="005D0129">
        <w:noBreakHyphen/>
      </w:r>
      <w:r w:rsidRPr="002F5F97">
        <w:t>business suppliers</w:t>
      </w:r>
      <w:r w:rsidR="00BE4192" w:rsidRPr="002F5F97">
        <w:rPr>
          <w:rStyle w:val="FootnoteReference"/>
        </w:rPr>
        <w:footnoteReference w:id="4"/>
      </w:r>
      <w:r w:rsidRPr="002F5F97">
        <w:t xml:space="preserve"> in</w:t>
      </w:r>
      <w:r w:rsidR="00437A26">
        <w:t> </w:t>
      </w:r>
      <w:r w:rsidRPr="002F5F97">
        <w:t>2024.</w:t>
      </w:r>
    </w:p>
    <w:p w14:paraId="1309551C" w14:textId="11F7CEC0" w:rsidR="00293343" w:rsidRPr="002F5F97" w:rsidRDefault="00293343" w:rsidP="0022751A">
      <w:pPr>
        <w:pStyle w:val="DoubleDot"/>
        <w:numPr>
          <w:ilvl w:val="0"/>
          <w:numId w:val="0"/>
        </w:numPr>
      </w:pPr>
      <w:r>
        <w:rPr>
          <w:noProof/>
        </w:rPr>
        <w:drawing>
          <wp:inline distT="0" distB="0" distL="0" distR="0" wp14:anchorId="223188F1" wp14:editId="4B7DF3C8">
            <wp:extent cx="5419890" cy="1454400"/>
            <wp:effectExtent l="0" t="0" r="0" b="0"/>
            <wp:docPr id="1253068478" name="Picture 2" descr="In the Transport, Postal and Warehousing industry: Reporting entities that submitted payment-time&#10;information to the Regulator -176 and controlled entities covered through&#10;consolidated reporting - 67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68478" name="Picture 2" descr="In the Transport, Postal and Warehousing industry: Reporting entities that submitted payment-time&#10;information to the Regulator -176 and controlled entities covered through&#10;consolidated reporting - 672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19890" cy="1454400"/>
                    </a:xfrm>
                    <a:prstGeom prst="rect">
                      <a:avLst/>
                    </a:prstGeom>
                  </pic:spPr>
                </pic:pic>
              </a:graphicData>
            </a:graphic>
          </wp:inline>
        </w:drawing>
      </w:r>
    </w:p>
    <w:p w14:paraId="517603DB" w14:textId="4396F62C" w:rsidR="005460E7" w:rsidRDefault="00DB6B1C" w:rsidP="00357E66">
      <w:pPr>
        <w:pStyle w:val="SingleParagraph"/>
      </w:pPr>
      <w:r>
        <w:rPr>
          <w:noProof/>
        </w:rPr>
        <w:drawing>
          <wp:inline distT="0" distB="0" distL="0" distR="0" wp14:anchorId="116ED226" wp14:editId="20D5EADD">
            <wp:extent cx="5400040" cy="3089042"/>
            <wp:effectExtent l="0" t="0" r="0" b="0"/>
            <wp:docPr id="596947667" name="Picture 4" descr="This image about the Transport, Postal and Warehousing industry shows common payments terms, payment times, paid on time and the percent of procurement from small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47667" name="Picture 4" descr="This image about the Transport, Postal and Warehousing industry shows common payments terms, payment times, paid on time and the percent of procurement from small businesses."/>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400040" cy="3089042"/>
                    </a:xfrm>
                    <a:prstGeom prst="rect">
                      <a:avLst/>
                    </a:prstGeom>
                  </pic:spPr>
                </pic:pic>
              </a:graphicData>
            </a:graphic>
          </wp:inline>
        </w:drawing>
      </w:r>
    </w:p>
    <w:p w14:paraId="159089A6" w14:textId="3BE9C257" w:rsidR="00DB6B1C" w:rsidRDefault="00DB6B1C">
      <w:pPr>
        <w:spacing w:before="0" w:after="160" w:line="259" w:lineRule="auto"/>
      </w:pPr>
      <w:r>
        <w:br w:type="page"/>
      </w:r>
    </w:p>
    <w:p w14:paraId="46A85FBA" w14:textId="17BD3E87" w:rsidR="00D36442" w:rsidRPr="002F5F97" w:rsidRDefault="00D36442" w:rsidP="00D36442">
      <w:pPr>
        <w:spacing w:before="0" w:after="160" w:line="259" w:lineRule="auto"/>
      </w:pPr>
      <w:r w:rsidRPr="002F5F97">
        <w:lastRenderedPageBreak/>
        <w:t>Although on average th</w:t>
      </w:r>
      <w:r w:rsidR="001922B8">
        <w:t>is</w:t>
      </w:r>
      <w:r w:rsidRPr="002F5F97">
        <w:t xml:space="preserve"> industry offers a common payment term of around 30</w:t>
      </w:r>
      <w:r w:rsidR="00EC11A9">
        <w:t> </w:t>
      </w:r>
      <w:r w:rsidRPr="002F5F97">
        <w:t>days, a</w:t>
      </w:r>
      <w:r w:rsidR="00ED4074">
        <w:t xml:space="preserve"> </w:t>
      </w:r>
      <w:r w:rsidRPr="002F5F97">
        <w:t>substantial proportion of payments fall outside these terms, with 38.1</w:t>
      </w:r>
      <w:r w:rsidR="00EC11A9">
        <w:t> </w:t>
      </w:r>
      <w:r w:rsidRPr="002F5F97">
        <w:t>per</w:t>
      </w:r>
      <w:r w:rsidR="00EC11A9">
        <w:t> </w:t>
      </w:r>
      <w:r w:rsidRPr="002F5F97">
        <w:t>cent of invoices paid late. For small business suppliers, the impact can be significant, with average 80</w:t>
      </w:r>
      <w:r w:rsidRPr="00A31FE8">
        <w:t>th</w:t>
      </w:r>
      <w:r w:rsidRPr="002F5F97">
        <w:t xml:space="preserve"> and 95</w:t>
      </w:r>
      <w:r w:rsidRPr="00A31FE8">
        <w:t>th</w:t>
      </w:r>
      <w:r w:rsidRPr="002F5F97">
        <w:t xml:space="preserve"> percentile payment times of 41</w:t>
      </w:r>
      <w:r w:rsidR="00EC11A9">
        <w:t> </w:t>
      </w:r>
      <w:r w:rsidRPr="002F5F97">
        <w:t>and 62</w:t>
      </w:r>
      <w:r w:rsidR="00EC11A9">
        <w:t> </w:t>
      </w:r>
      <w:r w:rsidRPr="002F5F97">
        <w:t xml:space="preserve">days respectively </w:t>
      </w:r>
      <w:r w:rsidR="001922B8">
        <w:t xml:space="preserve">for this </w:t>
      </w:r>
      <w:r w:rsidR="001922B8" w:rsidRPr="002F5F97">
        <w:t>industry</w:t>
      </w:r>
      <w:r w:rsidR="0099309F">
        <w:t>,</w:t>
      </w:r>
      <w:r w:rsidRPr="002F5F97">
        <w:t xml:space="preserve"> meaning most small businesses are waiting twice as long to receive payment.</w:t>
      </w:r>
    </w:p>
    <w:p w14:paraId="00BE0610" w14:textId="79CD5F73" w:rsidR="00D36442" w:rsidRPr="002F5F97" w:rsidRDefault="00D36442" w:rsidP="00D36442">
      <w:pPr>
        <w:spacing w:before="0" w:after="160" w:line="259" w:lineRule="auto"/>
      </w:pPr>
      <w:r w:rsidRPr="002F5F97">
        <w:t>The analysis for Figure 1</w:t>
      </w:r>
      <w:r w:rsidR="00F53081">
        <w:t>3</w:t>
      </w:r>
      <w:r w:rsidRPr="002F5F97">
        <w:t xml:space="preserve"> uses the Australian Bureau of Statistics (ABS) Remoteness Areas framework to classify locations based on the registered address of small businesses. This approach ensures consistency in defining major cities versus regional and remote areas. Using data from the Australian</w:t>
      </w:r>
      <w:r w:rsidR="00AD7FC5" w:rsidRPr="002F5F97">
        <w:t xml:space="preserve"> Business Register, 228,955</w:t>
      </w:r>
      <w:r w:rsidR="00ED4074">
        <w:t xml:space="preserve"> </w:t>
      </w:r>
      <w:r w:rsidR="00AD7FC5" w:rsidRPr="002F5F97">
        <w:t>(or</w:t>
      </w:r>
      <w:r w:rsidR="00ED4074">
        <w:t> </w:t>
      </w:r>
      <w:r w:rsidR="00AD7FC5" w:rsidRPr="002F5F97">
        <w:t>76.84</w:t>
      </w:r>
      <w:r w:rsidR="008E509E">
        <w:t> </w:t>
      </w:r>
      <w:r w:rsidR="00E57023" w:rsidRPr="002F5F97">
        <w:t>per</w:t>
      </w:r>
      <w:r w:rsidR="006D7DC3">
        <w:t> </w:t>
      </w:r>
      <w:r w:rsidR="00E57023" w:rsidRPr="002F5F97">
        <w:t>cent</w:t>
      </w:r>
      <w:r w:rsidR="00AD7FC5" w:rsidRPr="002F5F97">
        <w:t xml:space="preserve">) </w:t>
      </w:r>
      <w:r w:rsidR="0099309F">
        <w:t xml:space="preserve">of </w:t>
      </w:r>
      <w:r w:rsidR="00AD7FC5" w:rsidRPr="002F5F97">
        <w:t xml:space="preserve">small businesses </w:t>
      </w:r>
      <w:r w:rsidR="000D6D10">
        <w:t xml:space="preserve">that </w:t>
      </w:r>
      <w:r w:rsidR="00E14AE4">
        <w:t>supplie</w:t>
      </w:r>
      <w:r w:rsidR="00AD7FC5" w:rsidRPr="002F5F97">
        <w:t>d th</w:t>
      </w:r>
      <w:r w:rsidR="00E15BCF">
        <w:t>is</w:t>
      </w:r>
      <w:r w:rsidR="00AD7FC5" w:rsidRPr="002F5F97">
        <w:t xml:space="preserve"> industry are located in major cities</w:t>
      </w:r>
      <w:r w:rsidR="00951399">
        <w:t> </w:t>
      </w:r>
      <w:r w:rsidR="00AD7FC5" w:rsidRPr="002F5F97">
        <w:t>of</w:t>
      </w:r>
      <w:r w:rsidR="00ED4074">
        <w:t> </w:t>
      </w:r>
      <w:r w:rsidR="00AD7FC5" w:rsidRPr="002F5F97">
        <w:t>Australia, while 69,007</w:t>
      </w:r>
      <w:r w:rsidR="008E509E">
        <w:t> </w:t>
      </w:r>
      <w:r w:rsidR="00AD7FC5" w:rsidRPr="002F5F97">
        <w:t>(or 23.16</w:t>
      </w:r>
      <w:r w:rsidR="008E509E">
        <w:t> </w:t>
      </w:r>
      <w:r w:rsidR="00E57023" w:rsidRPr="002F5F97">
        <w:t>per</w:t>
      </w:r>
      <w:r w:rsidR="008E509E">
        <w:t> </w:t>
      </w:r>
      <w:r w:rsidR="00E57023" w:rsidRPr="002F5F97">
        <w:t>cent</w:t>
      </w:r>
      <w:r w:rsidR="00AD7FC5" w:rsidRPr="002F5F97">
        <w:t>) are in regional and remote Australia.</w:t>
      </w:r>
    </w:p>
    <w:p w14:paraId="6A1E835E" w14:textId="38927F1D" w:rsidR="003B1CAE" w:rsidRDefault="00C211C5" w:rsidP="003B1CAE">
      <w:pPr>
        <w:pStyle w:val="ChartMainHeading"/>
        <w:jc w:val="left"/>
      </w:pPr>
      <w:r w:rsidRPr="002F5F97">
        <w:t>Figure 1</w:t>
      </w:r>
      <w:r w:rsidR="002241FC">
        <w:t>3</w:t>
      </w:r>
      <w:r w:rsidRPr="002F5F97">
        <w:t xml:space="preserve">: </w:t>
      </w:r>
      <w:r w:rsidR="00EA015B">
        <w:t>Number and p</w:t>
      </w:r>
      <w:r w:rsidRPr="002F5F97">
        <w:t>ercent</w:t>
      </w:r>
      <w:r w:rsidR="007048B4">
        <w:t>age</w:t>
      </w:r>
      <w:r w:rsidRPr="002F5F97">
        <w:t xml:space="preserve"> of small business</w:t>
      </w:r>
      <w:r w:rsidR="004D214B">
        <w:t xml:space="preserve"> </w:t>
      </w:r>
      <w:r w:rsidR="007048B4">
        <w:t>suppl</w:t>
      </w:r>
      <w:r w:rsidR="004D214B">
        <w:t>ying</w:t>
      </w:r>
      <w:r w:rsidR="007048B4">
        <w:t xml:space="preserve"> </w:t>
      </w:r>
      <w:r w:rsidR="007048B4" w:rsidRPr="002F5F97">
        <w:t>reporting entitie</w:t>
      </w:r>
      <w:r w:rsidR="007048B4">
        <w:t>s</w:t>
      </w:r>
      <w:r w:rsidR="007048B4" w:rsidRPr="002F5F97">
        <w:t xml:space="preserve"> </w:t>
      </w:r>
      <w:r w:rsidR="007048B4">
        <w:t xml:space="preserve">in this </w:t>
      </w:r>
      <w:r w:rsidRPr="002F5F97">
        <w:t>industry, by remoteness area</w:t>
      </w:r>
      <w:r w:rsidR="007F2C31" w:rsidRPr="002F5F97">
        <w:rPr>
          <w:rStyle w:val="FootnoteReference"/>
        </w:rPr>
        <w:footnoteReference w:id="5"/>
      </w:r>
      <w:r w:rsidR="001E1936" w:rsidRPr="002F5F97">
        <w:t xml:space="preserve"> </w:t>
      </w:r>
    </w:p>
    <w:p w14:paraId="7CD212B9" w14:textId="30E63318" w:rsidR="0043249E" w:rsidRDefault="00C465F6" w:rsidP="003B1CAE">
      <w:pPr>
        <w:pStyle w:val="ChartGraphic"/>
        <w:spacing w:before="120"/>
      </w:pPr>
      <w:r>
        <w:rPr>
          <w:noProof/>
        </w:rPr>
        <w:drawing>
          <wp:inline distT="0" distB="0" distL="0" distR="0" wp14:anchorId="0A42FA3C" wp14:editId="10BA90B8">
            <wp:extent cx="5400040" cy="1742870"/>
            <wp:effectExtent l="0" t="0" r="0" b="0"/>
            <wp:docPr id="1384582325" name="Graphic 1" descr="A stacked horizontal bar graph showing the percentage of small businesses that industry reporting entities procure from, by remoteness area. &#10;• 228,955 or 76.84% of small businesses procured by the industry are located in major cities of Australia.&#10;• 69,007 or 23.16% are in regional and remot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82325" name="Graphic 1" descr="A stacked horizontal bar graph showing the percentage of small businesses that industry reporting entities procure from, by remoteness area. &#10;• 228,955 or 76.84% of small businesses procured by the industry are located in major cities of Australia.&#10;• 69,007 or 23.16% are in regional and remote Australia."/>
                    <pic:cNvPicPr/>
                  </pic:nvPicPr>
                  <pic:blipFill>
                    <a:blip r:embed="rId103">
                      <a:extLst>
                        <a:ext uri="{96DAC541-7B7A-43D3-8B79-37D633B846F1}">
                          <asvg:svgBlip xmlns:asvg="http://schemas.microsoft.com/office/drawing/2016/SVG/main" r:embed="rId104"/>
                        </a:ext>
                      </a:extLst>
                    </a:blip>
                    <a:stretch>
                      <a:fillRect/>
                    </a:stretch>
                  </pic:blipFill>
                  <pic:spPr>
                    <a:xfrm>
                      <a:off x="0" y="0"/>
                      <a:ext cx="5400040" cy="1742870"/>
                    </a:xfrm>
                    <a:prstGeom prst="rect">
                      <a:avLst/>
                    </a:prstGeom>
                  </pic:spPr>
                </pic:pic>
              </a:graphicData>
            </a:graphic>
          </wp:inline>
        </w:drawing>
      </w:r>
    </w:p>
    <w:p w14:paraId="1E04384A" w14:textId="0748807B" w:rsidR="00DB7E99" w:rsidRDefault="003660B4" w:rsidP="00DB7E99">
      <w:pPr>
        <w:spacing w:before="0" w:after="160" w:line="259" w:lineRule="auto"/>
      </w:pPr>
      <w:r w:rsidRPr="002F5F97">
        <w:t>Recent ABS national industry data show</w:t>
      </w:r>
      <w:r w:rsidR="00E973AF" w:rsidRPr="002F5F97">
        <w:t>s</w:t>
      </w:r>
      <w:r w:rsidRPr="002F5F97">
        <w:t xml:space="preserve"> continued economic expansion. In 2023–24, sales and service income for th</w:t>
      </w:r>
      <w:r w:rsidR="0005183B">
        <w:t>is</w:t>
      </w:r>
      <w:r w:rsidRPr="002F5F97">
        <w:t xml:space="preserve"> industry increased by $8.2</w:t>
      </w:r>
      <w:r w:rsidR="003B1CAE">
        <w:t> </w:t>
      </w:r>
      <w:r w:rsidRPr="002F5F97">
        <w:t>billion</w:t>
      </w:r>
      <w:r w:rsidR="00B73401">
        <w:t xml:space="preserve"> </w:t>
      </w:r>
      <w:r w:rsidR="00591B8F">
        <w:t>since 2022</w:t>
      </w:r>
      <w:r w:rsidR="00591B8F" w:rsidRPr="002F5F97">
        <w:t>–</w:t>
      </w:r>
      <w:r w:rsidR="00591B8F">
        <w:t>23</w:t>
      </w:r>
      <w:r w:rsidRPr="002F5F97">
        <w:t>, representing a 3.5</w:t>
      </w:r>
      <w:r w:rsidR="003B1CAE">
        <w:t> </w:t>
      </w:r>
      <w:r w:rsidRPr="002F5F97">
        <w:t>per</w:t>
      </w:r>
      <w:r w:rsidR="003B1CAE">
        <w:t> </w:t>
      </w:r>
      <w:r w:rsidRPr="002F5F97">
        <w:t>cent rise year</w:t>
      </w:r>
      <w:r w:rsidR="005D0129">
        <w:noBreakHyphen/>
      </w:r>
      <w:r w:rsidRPr="002F5F97">
        <w:t>on</w:t>
      </w:r>
      <w:r w:rsidR="005D0129">
        <w:noBreakHyphen/>
      </w:r>
      <w:r w:rsidRPr="002F5F97">
        <w:t>year.</w:t>
      </w:r>
      <w:r w:rsidR="005E3ABA" w:rsidRPr="002F5F97">
        <w:rPr>
          <w:rStyle w:val="FootnoteReference"/>
        </w:rPr>
        <w:footnoteReference w:id="6"/>
      </w:r>
      <w:r w:rsidRPr="002F5F97">
        <w:t xml:space="preserve"> Growth was led by road transport activity, which contributed an additional $4.4</w:t>
      </w:r>
      <w:r w:rsidR="003B1CAE">
        <w:t> </w:t>
      </w:r>
      <w:r w:rsidRPr="002F5F97">
        <w:t>billion to industry income.</w:t>
      </w:r>
      <w:r w:rsidR="003D3F38" w:rsidRPr="002F5F97">
        <w:rPr>
          <w:rStyle w:val="FootnoteReference"/>
        </w:rPr>
        <w:footnoteReference w:id="7"/>
      </w:r>
    </w:p>
    <w:p w14:paraId="3E9F0102" w14:textId="65238077" w:rsidR="00A670C6" w:rsidRDefault="002E2589" w:rsidP="00DB7E99">
      <w:pPr>
        <w:pStyle w:val="ChartMainHeading"/>
        <w:jc w:val="left"/>
      </w:pPr>
      <w:r w:rsidRPr="002F5F97">
        <w:t>Figure 1</w:t>
      </w:r>
      <w:r w:rsidR="002241FC">
        <w:t>4</w:t>
      </w:r>
      <w:r w:rsidRPr="002F5F97">
        <w:t xml:space="preserve">: Income growth in the </w:t>
      </w:r>
      <w:r w:rsidR="000500DE">
        <w:t>T</w:t>
      </w:r>
      <w:r w:rsidRPr="002F5F97">
        <w:t xml:space="preserve">ransport, </w:t>
      </w:r>
      <w:r w:rsidR="000500DE">
        <w:t>P</w:t>
      </w:r>
      <w:r w:rsidRPr="002F5F97">
        <w:t xml:space="preserve">ostal and </w:t>
      </w:r>
      <w:r w:rsidR="000500DE">
        <w:t>W</w:t>
      </w:r>
      <w:r w:rsidRPr="002F5F97">
        <w:t>arehousing industry, 2022–23 to 2023–24</w:t>
      </w:r>
      <w:r w:rsidR="00A670C6">
        <w:t> </w:t>
      </w:r>
      <w:r w:rsidRPr="002F5F97">
        <w:t>($b</w:t>
      </w:r>
      <w:r w:rsidR="00A670C6">
        <w:t>illion</w:t>
      </w:r>
      <w:r w:rsidRPr="002F5F97">
        <w:t>)</w:t>
      </w:r>
    </w:p>
    <w:p w14:paraId="64E583B3" w14:textId="6DB253C7" w:rsidR="00C90F5A" w:rsidRPr="002F5F97" w:rsidRDefault="00A670C6" w:rsidP="003F563F">
      <w:pPr>
        <w:pStyle w:val="ChartGraphic"/>
        <w:spacing w:before="120"/>
        <w:rPr>
          <w:lang w:eastAsia="en-AU"/>
        </w:rPr>
      </w:pPr>
      <w:r>
        <w:rPr>
          <w:noProof/>
        </w:rPr>
        <w:drawing>
          <wp:inline distT="0" distB="0" distL="0" distR="0" wp14:anchorId="47BB2892" wp14:editId="4C257202">
            <wp:extent cx="5400040" cy="2027555"/>
            <wp:effectExtent l="0" t="0" r="0" b="0"/>
            <wp:docPr id="937368621" name="Graphic 1" descr="A horizontal bar graph that shows the income growth in the Transport, Postal and Warehousing industry and key sub-industries. &#10;• Service income for industry increased by $8.2 billion.&#10;• Road transport: $4.4 billion.&#10;• Other transport: $6.4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8621" name="Graphic 1" descr="A horizontal bar graph that shows the income growth in the Transport, Postal and Warehousing industry and key sub-industries. &#10;• Service income for industry increased by $8.2 billion.&#10;• Road transport: $4.4 billion.&#10;• Other transport: $6.4 billion."/>
                    <pic:cNvPicPr/>
                  </pic:nvPicPr>
                  <pic:blipFill>
                    <a:blip r:embed="rId105">
                      <a:extLst>
                        <a:ext uri="{96DAC541-7B7A-43D3-8B79-37D633B846F1}">
                          <asvg:svgBlip xmlns:asvg="http://schemas.microsoft.com/office/drawing/2016/SVG/main" r:embed="rId106"/>
                        </a:ext>
                      </a:extLst>
                    </a:blip>
                    <a:stretch>
                      <a:fillRect/>
                    </a:stretch>
                  </pic:blipFill>
                  <pic:spPr>
                    <a:xfrm>
                      <a:off x="0" y="0"/>
                      <a:ext cx="5400040" cy="2027555"/>
                    </a:xfrm>
                    <a:prstGeom prst="rect">
                      <a:avLst/>
                    </a:prstGeom>
                  </pic:spPr>
                </pic:pic>
              </a:graphicData>
            </a:graphic>
          </wp:inline>
        </w:drawing>
      </w:r>
    </w:p>
    <w:p w14:paraId="3FF6BAFA" w14:textId="77777777" w:rsidR="00DB7E99" w:rsidRDefault="00DB7E99" w:rsidP="0001634F">
      <w:pPr>
        <w:spacing w:before="0" w:after="160" w:line="259" w:lineRule="auto"/>
      </w:pPr>
    </w:p>
    <w:p w14:paraId="391BAAA6" w14:textId="7438B0CD" w:rsidR="00D75854" w:rsidRDefault="00C175CB" w:rsidP="0001634F">
      <w:pPr>
        <w:spacing w:before="0" w:after="160" w:line="259" w:lineRule="auto"/>
      </w:pPr>
      <w:r w:rsidRPr="002F5F97">
        <w:lastRenderedPageBreak/>
        <w:t>Industry earnings also increased over the year, although asset revaluations contributed notably to reported profit movements.</w:t>
      </w:r>
      <w:r w:rsidR="00A14405" w:rsidRPr="002F5F97">
        <w:rPr>
          <w:rStyle w:val="FootnoteReference"/>
        </w:rPr>
        <w:footnoteReference w:id="8"/>
      </w:r>
      <w:r w:rsidRPr="002F5F97">
        <w:t xml:space="preserve"> Th</w:t>
      </w:r>
      <w:r w:rsidR="0067105A">
        <w:t>is</w:t>
      </w:r>
      <w:r w:rsidRPr="002F5F97">
        <w:t xml:space="preserve"> sector</w:t>
      </w:r>
      <w:r w:rsidR="005D0129">
        <w:t>’</w:t>
      </w:r>
      <w:r w:rsidRPr="002F5F97">
        <w:t>s contribution to national production remained significant, generating $113.1</w:t>
      </w:r>
      <w:r w:rsidR="00710C75">
        <w:t> </w:t>
      </w:r>
      <w:r w:rsidRPr="002F5F97">
        <w:t>billion in Gross Value Added in 2023–24.</w:t>
      </w:r>
      <w:r w:rsidR="00A56949" w:rsidRPr="002F5F97">
        <w:rPr>
          <w:rStyle w:val="FootnoteReference"/>
        </w:rPr>
        <w:footnoteReference w:id="9"/>
      </w:r>
      <w:r w:rsidRPr="002F5F97">
        <w:t xml:space="preserve"> The number of actively trading businesses likewise expanded, reaching 249,289 in 2024–25, an increase of 5.1</w:t>
      </w:r>
      <w:r w:rsidR="00710C75">
        <w:t> </w:t>
      </w:r>
      <w:r w:rsidRPr="002F5F97">
        <w:t>per</w:t>
      </w:r>
      <w:r w:rsidR="00710C75">
        <w:t> </w:t>
      </w:r>
      <w:r w:rsidRPr="002F5F97">
        <w:t>cent from the previous year.</w:t>
      </w:r>
      <w:r w:rsidR="00E74288" w:rsidRPr="002F5F97">
        <w:rPr>
          <w:rStyle w:val="FootnoteReference"/>
        </w:rPr>
        <w:footnoteReference w:id="10"/>
      </w:r>
    </w:p>
    <w:p w14:paraId="12AEC9DE" w14:textId="2F8A8298" w:rsidR="0001634F" w:rsidRDefault="0001634F" w:rsidP="0001634F">
      <w:pPr>
        <w:spacing w:before="0" w:after="160" w:line="259" w:lineRule="auto"/>
      </w:pPr>
      <w:r w:rsidRPr="002F5F97">
        <w:t>The scale of industry activity is further reflected in national freight movements. Australia</w:t>
      </w:r>
      <w:r w:rsidR="005D0129">
        <w:t>’</w:t>
      </w:r>
      <w:r w:rsidRPr="002F5F97">
        <w:t>s domestic freight task reached 785.4</w:t>
      </w:r>
      <w:r w:rsidR="00710C75">
        <w:t> </w:t>
      </w:r>
      <w:r w:rsidRPr="002F5F97">
        <w:t>billion tonne</w:t>
      </w:r>
      <w:r w:rsidR="005D0129">
        <w:noBreakHyphen/>
      </w:r>
      <w:r w:rsidRPr="002F5F97">
        <w:t>kilometres in 2023–24,</w:t>
      </w:r>
      <w:r w:rsidR="00943A4C" w:rsidRPr="002F5F97">
        <w:rPr>
          <w:rStyle w:val="FootnoteReference"/>
        </w:rPr>
        <w:footnoteReference w:id="11"/>
      </w:r>
      <w:r w:rsidRPr="002F5F97">
        <w:t xml:space="preserve"> including a record 86</w:t>
      </w:r>
      <w:r w:rsidR="009676F8">
        <w:t> </w:t>
      </w:r>
      <w:r w:rsidRPr="002F5F97">
        <w:t>billion tonne</w:t>
      </w:r>
      <w:r w:rsidR="005D0129">
        <w:noBreakHyphen/>
      </w:r>
      <w:r w:rsidRPr="002F5F97">
        <w:t>kilometres transported by road in New South Wales alone.</w:t>
      </w:r>
      <w:r w:rsidR="008E4315" w:rsidRPr="002F5F97">
        <w:rPr>
          <w:rStyle w:val="FootnoteReference"/>
        </w:rPr>
        <w:footnoteReference w:id="12"/>
      </w:r>
      <w:r w:rsidRPr="002F5F97">
        <w:t xml:space="preserve"> These</w:t>
      </w:r>
      <w:r w:rsidR="00C51D2F">
        <w:t> </w:t>
      </w:r>
      <w:r w:rsidRPr="002F5F97">
        <w:t xml:space="preserve">volumes demonstrate why payment reliability </w:t>
      </w:r>
      <w:r w:rsidR="004D7580">
        <w:t>is</w:t>
      </w:r>
      <w:r w:rsidRPr="002F5F97">
        <w:t xml:space="preserve"> critical: small carriers, couriers and logistics </w:t>
      </w:r>
      <w:r w:rsidR="00C73A5A">
        <w:t>small and medium enterprise</w:t>
      </w:r>
      <w:r w:rsidR="00952011">
        <w:t>s</w:t>
      </w:r>
      <w:r w:rsidR="00C73A5A">
        <w:t xml:space="preserve"> (</w:t>
      </w:r>
      <w:r w:rsidRPr="001B032F">
        <w:rPr>
          <w:b/>
          <w:bCs/>
        </w:rPr>
        <w:t>SMEs</w:t>
      </w:r>
      <w:r w:rsidR="00C73A5A">
        <w:t>)</w:t>
      </w:r>
      <w:r w:rsidRPr="002F5F97">
        <w:t xml:space="preserve"> are embedded throughout every freight corridor</w:t>
      </w:r>
      <w:r w:rsidR="004D7580">
        <w:t>, d</w:t>
      </w:r>
      <w:r w:rsidRPr="002F5F97">
        <w:t>elayed</w:t>
      </w:r>
      <w:r w:rsidR="00C51D2F">
        <w:t> </w:t>
      </w:r>
      <w:r w:rsidRPr="002F5F97">
        <w:t>payments can weaken the liquidity sustain</w:t>
      </w:r>
      <w:r w:rsidR="00952011">
        <w:t>ing</w:t>
      </w:r>
      <w:r w:rsidRPr="002F5F97">
        <w:t xml:space="preserve"> those operations.</w:t>
      </w:r>
    </w:p>
    <w:p w14:paraId="59C867C2" w14:textId="2149FB20" w:rsidR="00DB7E99" w:rsidRPr="002F5F97" w:rsidRDefault="006B214D" w:rsidP="00DB7E99">
      <w:pPr>
        <w:pStyle w:val="SingleParagraph"/>
      </w:pPr>
      <w:r>
        <w:rPr>
          <w:noProof/>
        </w:rPr>
        <w:drawing>
          <wp:inline distT="0" distB="0" distL="0" distR="0" wp14:anchorId="2E33CF12" wp14:editId="03D3803C">
            <wp:extent cx="5400040" cy="2587625"/>
            <wp:effectExtent l="0" t="0" r="0" b="0"/>
            <wp:docPr id="988756202" name="Picture 1" descr="The infographic provides a visual element to reaffirm the paragraph above, highlighting Australia's national freight movements for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56202" name="Picture 1" descr="The infographic provides a visual element to reaffirm the paragraph above, highlighting Australia's national freight movements for 2023-2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400040" cy="2587625"/>
                    </a:xfrm>
                    <a:prstGeom prst="rect">
                      <a:avLst/>
                    </a:prstGeom>
                  </pic:spPr>
                </pic:pic>
              </a:graphicData>
            </a:graphic>
          </wp:inline>
        </w:drawing>
      </w:r>
    </w:p>
    <w:p w14:paraId="5682F5C8" w14:textId="537B2FA7" w:rsidR="0001634F" w:rsidRPr="002F5F97" w:rsidRDefault="0001634F" w:rsidP="006B214D">
      <w:r w:rsidRPr="002F5F97">
        <w:t xml:space="preserve">Given the direct impact of payment times on small business cashflow, the Regulator continues to emphasise </w:t>
      </w:r>
      <w:r w:rsidR="00952011">
        <w:t xml:space="preserve">the </w:t>
      </w:r>
      <w:r w:rsidRPr="002F5F97">
        <w:t>accurate use of the SBI Tool when reporting.</w:t>
      </w:r>
      <w:r w:rsidR="00FC7ED6" w:rsidRPr="002F5F97">
        <w:rPr>
          <w:rStyle w:val="FootnoteReference"/>
        </w:rPr>
        <w:footnoteReference w:id="13"/>
      </w:r>
      <w:r w:rsidRPr="002F5F97">
        <w:t xml:space="preserve"> With the industry</w:t>
      </w:r>
      <w:r w:rsidR="005D0129">
        <w:t>’</w:t>
      </w:r>
      <w:r w:rsidRPr="002F5F97">
        <w:t xml:space="preserve">s average </w:t>
      </w:r>
      <w:bookmarkStart w:id="31" w:name="_Hlk219886888"/>
      <w:r w:rsidRPr="002F5F97">
        <w:t>95</w:t>
      </w:r>
      <w:bookmarkEnd w:id="31"/>
      <w:r w:rsidR="006B47BC" w:rsidRPr="006B47BC">
        <w:t>th</w:t>
      </w:r>
      <w:r w:rsidRPr="006B47BC">
        <w:t xml:space="preserve"> </w:t>
      </w:r>
      <w:r w:rsidRPr="002F5F97">
        <w:t>percentile payment time currently at 62</w:t>
      </w:r>
      <w:r w:rsidR="006B47BC">
        <w:t> </w:t>
      </w:r>
      <w:r w:rsidRPr="002F5F97">
        <w:t xml:space="preserve">days, it is clear: </w:t>
      </w:r>
    </w:p>
    <w:p w14:paraId="750F1EC5" w14:textId="1E56814C" w:rsidR="00106A73" w:rsidRPr="00106A73" w:rsidRDefault="0001634F" w:rsidP="00106A73">
      <w:pPr>
        <w:pStyle w:val="IntenseQuote"/>
        <w:spacing w:after="0"/>
      </w:pPr>
      <w:r w:rsidRPr="002F5F97">
        <w:t xml:space="preserve">The Transport, Postal and </w:t>
      </w:r>
      <w:r w:rsidRPr="00106A73">
        <w:t>Warehousing</w:t>
      </w:r>
      <w:r w:rsidRPr="002F5F97">
        <w:t xml:space="preserve"> sector must commit to delivering faster and more </w:t>
      </w:r>
      <w:r w:rsidRPr="005234E3">
        <w:t>reliable</w:t>
      </w:r>
      <w:r w:rsidRPr="002F5F97">
        <w:t xml:space="preserve"> payment times for the small businesses that support its operations</w:t>
      </w:r>
      <w:r w:rsidR="00106A73">
        <w:t>.</w:t>
      </w:r>
    </w:p>
    <w:p w14:paraId="7E911F73" w14:textId="3ED8A520" w:rsidR="003F45DC" w:rsidRPr="002F5F97" w:rsidRDefault="007259E6" w:rsidP="00106A73">
      <w:r w:rsidRPr="002F5F97">
        <w:br w:type="page"/>
      </w:r>
    </w:p>
    <w:p w14:paraId="2DB17FD1" w14:textId="033BEEC8" w:rsidR="00EB5647" w:rsidRPr="002F5F97" w:rsidRDefault="00EB5647" w:rsidP="00EB5647">
      <w:pPr>
        <w:pStyle w:val="ChapterHeading1"/>
      </w:pPr>
      <w:bookmarkStart w:id="32" w:name="_Toc220068373"/>
      <w:r w:rsidRPr="002F5F97">
        <w:lastRenderedPageBreak/>
        <w:t>Commonwealth procurement</w:t>
      </w:r>
      <w:bookmarkEnd w:id="32"/>
    </w:p>
    <w:p w14:paraId="106B16FA" w14:textId="2FDE62E2" w:rsidR="004F2006" w:rsidRPr="002F5F97" w:rsidRDefault="00D62A7E" w:rsidP="001C28CE">
      <w:r w:rsidRPr="002F5F97">
        <w:t xml:space="preserve">The </w:t>
      </w:r>
      <w:r w:rsidRPr="001C28CE">
        <w:t>Commonwealth</w:t>
      </w:r>
      <w:r w:rsidRPr="002F5F97">
        <w:t xml:space="preserve"> leverages the scale of Australian Government procurement to help improve payment times for small businesses.</w:t>
      </w:r>
    </w:p>
    <w:p w14:paraId="2D5B5BBF" w14:textId="65BE717D" w:rsidR="004F2006" w:rsidRPr="002F5F97" w:rsidRDefault="00951AF3" w:rsidP="004F2006">
      <w:r>
        <w:rPr>
          <w:noProof/>
        </w:rPr>
        <w:drawing>
          <wp:inline distT="0" distB="0" distL="0" distR="0" wp14:anchorId="5614BFB2" wp14:editId="47E58A5E">
            <wp:extent cx="5081026" cy="1106426"/>
            <wp:effectExtent l="0" t="0" r="5715" b="0"/>
            <wp:docPr id="2121023194" name="Picture 3" descr="In 2024–25, Commonwealth procurement totalled $104.74 billion across 86,747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23194" name="Picture 3" descr="In 2024–25, Commonwealth procurement totalled $104.74 billion across 86,747 contracts."/>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4CEF31A7" w14:textId="0DEB59F9" w:rsidR="00EB5647" w:rsidRPr="002F5F97" w:rsidRDefault="00EB5647" w:rsidP="00F5120B">
      <w:pPr>
        <w:pStyle w:val="Heading2"/>
        <w:spacing w:before="320"/>
      </w:pPr>
      <w:r w:rsidRPr="002F5F97">
        <w:t>The Payment Times Procurement Connected Policy</w:t>
      </w:r>
    </w:p>
    <w:p w14:paraId="6F2DDA73" w14:textId="052B5557" w:rsidR="00FC78DE" w:rsidRPr="002F5F97" w:rsidRDefault="00FC78DE" w:rsidP="001C28CE">
      <w:r w:rsidRPr="002F5F97">
        <w:t>The Payment Times Procurement Connected Policy (</w:t>
      </w:r>
      <w:r w:rsidR="00D76D99" w:rsidRPr="00BC0FF5">
        <w:t>the</w:t>
      </w:r>
      <w:r w:rsidR="00D76D99" w:rsidRPr="00D76D99">
        <w:rPr>
          <w:b/>
          <w:bCs/>
        </w:rPr>
        <w:t xml:space="preserve"> Policy</w:t>
      </w:r>
      <w:r w:rsidRPr="002F5F97">
        <w:t>) is a</w:t>
      </w:r>
      <w:r w:rsidR="00D76D99">
        <w:t xml:space="preserve"> </w:t>
      </w:r>
      <w:r w:rsidRPr="002F5F97">
        <w:t>Government initiative designed to improve payment practices within Government procurement supply chains. Its primary objective is to ensure that large businesses benefit</w:t>
      </w:r>
      <w:r w:rsidR="004541B0" w:rsidRPr="002F5F97">
        <w:t>t</w:t>
      </w:r>
      <w:r w:rsidRPr="002F5F97">
        <w:t>ing from significant Commonwealth contracts pay their small business subcontractors promptly.</w:t>
      </w:r>
    </w:p>
    <w:p w14:paraId="4D2271BA" w14:textId="3EA79234" w:rsidR="00FC78DE" w:rsidRPr="002F5F97" w:rsidRDefault="00FC78DE" w:rsidP="00FC78DE">
      <w:r w:rsidRPr="002F5F97">
        <w:t>The P</w:t>
      </w:r>
      <w:r w:rsidR="000D6B23">
        <w:t>olicy</w:t>
      </w:r>
      <w:r w:rsidRPr="002F5F97">
        <w:t xml:space="preserve"> requires reporting entities to pay their subcontractors within 20</w:t>
      </w:r>
      <w:r w:rsidR="001C28CE">
        <w:t> </w:t>
      </w:r>
      <w:r w:rsidRPr="002F5F97">
        <w:t>days, and</w:t>
      </w:r>
      <w:r w:rsidR="001C28CE">
        <w:t> </w:t>
      </w:r>
      <w:r w:rsidRPr="002F5F97">
        <w:t>complements the Scheme and the</w:t>
      </w:r>
      <w:r w:rsidR="00BC0FF5">
        <w:t xml:space="preserve"> </w:t>
      </w:r>
      <w:r w:rsidRPr="005D0129">
        <w:t>Supplier Pay</w:t>
      </w:r>
      <w:r w:rsidR="005D0129" w:rsidRPr="005D0129">
        <w:noBreakHyphen/>
      </w:r>
      <w:r w:rsidRPr="005D0129">
        <w:t>On Time or Pay Interest Policy</w:t>
      </w:r>
      <w:r w:rsidRPr="002F5F97">
        <w:t>.</w:t>
      </w:r>
    </w:p>
    <w:p w14:paraId="3D71C177" w14:textId="2C9B167E" w:rsidR="00FC78DE" w:rsidRPr="002F5F97" w:rsidRDefault="00FC78DE" w:rsidP="00FC78DE">
      <w:r w:rsidRPr="002F5F97">
        <w:t>Reporting entities have several obligations under the P</w:t>
      </w:r>
      <w:r w:rsidR="000D6B23">
        <w:t>olicy</w:t>
      </w:r>
      <w:r w:rsidRPr="002F5F97">
        <w:t>, including:</w:t>
      </w:r>
    </w:p>
    <w:p w14:paraId="5017C45A" w14:textId="4A7668EA" w:rsidR="00FC78DE" w:rsidRPr="002F5F97" w:rsidRDefault="00FC78DE" w:rsidP="00F5120B">
      <w:pPr>
        <w:pStyle w:val="Bullet"/>
        <w:spacing w:before="40" w:after="40"/>
      </w:pPr>
      <w:r w:rsidRPr="002F5F97">
        <w:t xml:space="preserve">declaring themselves </w:t>
      </w:r>
      <w:r w:rsidR="002021AA">
        <w:t>to be</w:t>
      </w:r>
      <w:r w:rsidRPr="002F5F97">
        <w:t xml:space="preserve"> reporting entities to Commonwealth entities when they submit tenders</w:t>
      </w:r>
      <w:r w:rsidR="002021AA">
        <w:t>,</w:t>
      </w:r>
      <w:r w:rsidRPr="002F5F97">
        <w:t xml:space="preserve"> prior to entering contracts with Commonwealth entities</w:t>
      </w:r>
    </w:p>
    <w:p w14:paraId="3AD48D88" w14:textId="1747FB31" w:rsidR="00FC78DE" w:rsidRPr="002F5F97" w:rsidRDefault="00FC78DE" w:rsidP="00F5120B">
      <w:pPr>
        <w:pStyle w:val="Bullet"/>
        <w:spacing w:before="40" w:after="40"/>
      </w:pPr>
      <w:r w:rsidRPr="002F5F97">
        <w:t>agreeing to the inclusion of certain contract clauses (P</w:t>
      </w:r>
      <w:r w:rsidR="00314075">
        <w:t>olicy</w:t>
      </w:r>
      <w:r w:rsidRPr="002F5F97">
        <w:t xml:space="preserve"> contract clauses)</w:t>
      </w:r>
    </w:p>
    <w:p w14:paraId="07467646" w14:textId="1621A713" w:rsidR="00FC78DE" w:rsidRPr="002F5F97" w:rsidRDefault="00FC78DE" w:rsidP="00F5120B">
      <w:pPr>
        <w:pStyle w:val="Bullet"/>
        <w:spacing w:before="40" w:after="40"/>
      </w:pPr>
      <w:r w:rsidRPr="002F5F97">
        <w:t>when awarded Government contracts valued over $4 million (GST inc</w:t>
      </w:r>
      <w:r w:rsidR="00222D83" w:rsidRPr="002F5F97">
        <w:t>.</w:t>
      </w:r>
      <w:r w:rsidRPr="002F5F97">
        <w:t>), to</w:t>
      </w:r>
      <w:r w:rsidR="001C28CE">
        <w:t> </w:t>
      </w:r>
      <w:r w:rsidRPr="002F5F97">
        <w:t>pay their subcontracts valued up to $1</w:t>
      </w:r>
      <w:r w:rsidR="001C28CE">
        <w:t> </w:t>
      </w:r>
      <w:r w:rsidRPr="002F5F97">
        <w:t>million (GST inc</w:t>
      </w:r>
      <w:r w:rsidR="00222D83" w:rsidRPr="002F5F97">
        <w:t>.</w:t>
      </w:r>
      <w:r w:rsidRPr="002F5F97">
        <w:t>) within 20</w:t>
      </w:r>
      <w:r w:rsidR="001C28CE">
        <w:t> </w:t>
      </w:r>
      <w:r w:rsidRPr="002F5F97">
        <w:t>calendar</w:t>
      </w:r>
      <w:r w:rsidR="001C28CE">
        <w:t> </w:t>
      </w:r>
      <w:r w:rsidRPr="002F5F97">
        <w:t>days</w:t>
      </w:r>
      <w:r w:rsidR="00FB75FF">
        <w:t>, and</w:t>
      </w:r>
    </w:p>
    <w:p w14:paraId="35340311" w14:textId="31F6D6F5" w:rsidR="00FC78DE" w:rsidRPr="002F5F97" w:rsidRDefault="00FC78DE" w:rsidP="00F5120B">
      <w:pPr>
        <w:pStyle w:val="Bullet"/>
        <w:spacing w:before="40" w:after="40"/>
      </w:pPr>
      <w:r w:rsidRPr="002F5F97">
        <w:t>using their reasonable endeavours to reflect the same obligations in their contracts with subcontractors who are also reporting entities.</w:t>
      </w:r>
    </w:p>
    <w:p w14:paraId="27668063" w14:textId="58B9E410" w:rsidR="00FC78DE" w:rsidRPr="002F5F97" w:rsidRDefault="00FC78DE" w:rsidP="00F5120B">
      <w:pPr>
        <w:spacing w:before="80"/>
      </w:pPr>
      <w:r w:rsidRPr="002F5F97">
        <w:t>Subcontractors not paid within 20</w:t>
      </w:r>
      <w:r w:rsidR="001C28CE">
        <w:t> </w:t>
      </w:r>
      <w:r w:rsidRPr="002F5F97">
        <w:t>calendar</w:t>
      </w:r>
      <w:r w:rsidR="001C28CE">
        <w:t> </w:t>
      </w:r>
      <w:r w:rsidRPr="002F5F97">
        <w:t>days have the right to seek interest payments from reporting entities.</w:t>
      </w:r>
    </w:p>
    <w:p w14:paraId="2BF54619" w14:textId="66CE2B4E" w:rsidR="00FC78DE" w:rsidRPr="002F5F97" w:rsidRDefault="006B0A2D" w:rsidP="00F5120B">
      <w:pPr>
        <w:spacing w:before="80"/>
      </w:pPr>
      <w:r>
        <w:t>Both n</w:t>
      </w:r>
      <w:r w:rsidR="00EC51F7">
        <w:t xml:space="preserve">on-corporate </w:t>
      </w:r>
      <w:r w:rsidR="00FC78DE" w:rsidRPr="002F5F97">
        <w:t>Commonwealth entities</w:t>
      </w:r>
      <w:r>
        <w:t xml:space="preserve"> and </w:t>
      </w:r>
      <w:r w:rsidR="00604F34" w:rsidRPr="002F5F97">
        <w:t xml:space="preserve">corporate </w:t>
      </w:r>
      <w:r w:rsidR="00CD0F1B" w:rsidRPr="002F5F97">
        <w:t>Commonwealth entities</w:t>
      </w:r>
      <w:r w:rsidR="00CD0F1B">
        <w:t xml:space="preserve"> </w:t>
      </w:r>
      <w:r w:rsidR="00FC78DE" w:rsidRPr="002F5F97">
        <w:t xml:space="preserve">have an important role to play in ensuring that this Government policy is implemented in their procurements. For further details about the policy and your obligations as a reporting entity, refer to the </w:t>
      </w:r>
      <w:hyperlink r:id="rId109" w:history="1">
        <w:r w:rsidR="00FC78DE" w:rsidRPr="002F5F97">
          <w:rPr>
            <w:rStyle w:val="Hyperlink"/>
          </w:rPr>
          <w:t>Payment Times Procurement Connected Policy</w:t>
        </w:r>
        <w:r w:rsidR="005D0129">
          <w:rPr>
            <w:rStyle w:val="Hyperlink"/>
          </w:rPr>
          <w:t xml:space="preserve"> – </w:t>
        </w:r>
        <w:r w:rsidR="00FC78DE" w:rsidRPr="002F5F97">
          <w:rPr>
            <w:rStyle w:val="Hyperlink"/>
          </w:rPr>
          <w:t>Guidelines</w:t>
        </w:r>
      </w:hyperlink>
      <w:r w:rsidR="00FC78DE" w:rsidRPr="002F5F97">
        <w:t xml:space="preserve"> on the Treasury website.</w:t>
      </w:r>
    </w:p>
    <w:p w14:paraId="0F50B3BB" w14:textId="55A3634F" w:rsidR="00EB5647" w:rsidRPr="002F5F97" w:rsidRDefault="00FC78DE" w:rsidP="00F5120B">
      <w:pPr>
        <w:spacing w:before="80" w:after="80"/>
      </w:pPr>
      <w:r w:rsidRPr="002F5F97">
        <w:t>Treasury is currently reviewing the effectiveness of the P</w:t>
      </w:r>
      <w:r w:rsidR="00314075">
        <w:t>olicy</w:t>
      </w:r>
      <w:r w:rsidRPr="002F5F97">
        <w:t xml:space="preserve"> to determine whether it is meeting the Government</w:t>
      </w:r>
      <w:r w:rsidR="005D0129">
        <w:t>’</w:t>
      </w:r>
      <w:r w:rsidRPr="002F5F97">
        <w:t>s policy objectives.</w:t>
      </w:r>
    </w:p>
    <w:p w14:paraId="5B4BDFB1" w14:textId="3ECF66B7" w:rsidR="00564749" w:rsidRPr="002F5F97" w:rsidRDefault="00564749" w:rsidP="00F5120B">
      <w:pPr>
        <w:pStyle w:val="Heading2"/>
        <w:spacing w:before="320"/>
      </w:pPr>
      <w:r w:rsidRPr="002F5F97">
        <w:t>Commonwealth Procurement Rules</w:t>
      </w:r>
    </w:p>
    <w:p w14:paraId="5104F0C2" w14:textId="5065ED09" w:rsidR="003F53CA" w:rsidRPr="002F5F97" w:rsidRDefault="003A4CA7" w:rsidP="00794441">
      <w:r w:rsidRPr="002F5F97">
        <w:t>The Government announced significant updates to the Commonwealth Procurement Rules, effective from 17</w:t>
      </w:r>
      <w:r w:rsidR="001C28CE">
        <w:t> </w:t>
      </w:r>
      <w:r w:rsidRPr="002F5F97">
        <w:t>November</w:t>
      </w:r>
      <w:r w:rsidR="001C28CE">
        <w:t> </w:t>
      </w:r>
      <w:r w:rsidRPr="002F5F97">
        <w:t xml:space="preserve">2025. These changes are designed to deliver tangible benefits for Australian businesses, especially </w:t>
      </w:r>
      <w:r w:rsidR="001B032F">
        <w:t>SMEs</w:t>
      </w:r>
      <w:r w:rsidR="0026089A">
        <w:t>;</w:t>
      </w:r>
      <w:r w:rsidRPr="002F5F97">
        <w:t xml:space="preserve"> by increasing access to Australian Government contracts, supporting diversity, improving procurement processes and enhancing transparency. Read more about the changes on the </w:t>
      </w:r>
      <w:hyperlink r:id="rId110" w:history="1">
        <w:r w:rsidR="00A817F5" w:rsidRPr="00A817F5">
          <w:rPr>
            <w:rStyle w:val="Hyperlink"/>
          </w:rPr>
          <w:t>Department of Finance</w:t>
        </w:r>
      </w:hyperlink>
      <w:r w:rsidR="00A817F5">
        <w:t xml:space="preserve"> </w:t>
      </w:r>
      <w:r w:rsidRPr="005D0129">
        <w:t>website</w:t>
      </w:r>
      <w:r w:rsidRPr="002F5F97">
        <w:t>.</w:t>
      </w:r>
    </w:p>
    <w:p w14:paraId="459522E9" w14:textId="77777777" w:rsidR="007A06FE" w:rsidRPr="002F5F97" w:rsidRDefault="007A06FE">
      <w:pPr>
        <w:spacing w:before="0" w:after="160" w:line="259" w:lineRule="auto"/>
        <w:sectPr w:rsidR="007A06FE" w:rsidRPr="002F5F97" w:rsidSect="001C28CE">
          <w:headerReference w:type="even" r:id="rId111"/>
          <w:headerReference w:type="default" r:id="rId112"/>
          <w:footerReference w:type="even" r:id="rId113"/>
          <w:footerReference w:type="default" r:id="rId114"/>
          <w:headerReference w:type="first" r:id="rId115"/>
          <w:footerReference w:type="first" r:id="rId116"/>
          <w:pgSz w:w="11906" w:h="16838" w:code="9"/>
          <w:pgMar w:top="1418" w:right="1701" w:bottom="1418" w:left="1701" w:header="709" w:footer="709" w:gutter="0"/>
          <w:cols w:space="708"/>
          <w:docGrid w:linePitch="360"/>
        </w:sectPr>
      </w:pPr>
    </w:p>
    <w:p w14:paraId="7C67A7D5" w14:textId="70756B58" w:rsidR="000C3AA1" w:rsidRPr="002F5F97" w:rsidRDefault="00236340" w:rsidP="000C3AA1">
      <w:pPr>
        <w:pStyle w:val="ChapterTitle"/>
        <w:rPr>
          <w:color w:val="FFFFFF" w:themeColor="background1"/>
        </w:rPr>
      </w:pPr>
      <w:bookmarkStart w:id="33" w:name="_Toc220068374"/>
      <w:bookmarkStart w:id="34" w:name="_Hlk219892790"/>
      <w:r w:rsidRPr="002F5F97">
        <w:rPr>
          <w:color w:val="FFFFFF" w:themeColor="background1"/>
        </w:rPr>
        <w:lastRenderedPageBreak/>
        <w:t>Compliance and enforcement</w:t>
      </w:r>
      <w:bookmarkEnd w:id="33"/>
    </w:p>
    <w:bookmarkEnd w:id="34"/>
    <w:p w14:paraId="2F9E89B2" w14:textId="2353AD24" w:rsidR="000C3AA1" w:rsidRPr="002F5F97" w:rsidRDefault="00D76135" w:rsidP="0001379A">
      <w:pPr>
        <w:pStyle w:val="ChapterSubtitle"/>
        <w:ind w:right="2692"/>
        <w:rPr>
          <w:color w:val="FFFFFF" w:themeColor="background1"/>
        </w:rPr>
      </w:pPr>
      <w:r w:rsidRPr="002F5F97">
        <w:rPr>
          <w:color w:val="FFFFFF" w:themeColor="background1"/>
        </w:rPr>
        <w:t xml:space="preserve">Compliance </w:t>
      </w:r>
      <w:r w:rsidR="009A445B" w:rsidRPr="002F5F97">
        <w:rPr>
          <w:color w:val="FFFFFF" w:themeColor="background1"/>
        </w:rPr>
        <w:t>and enforcement update</w:t>
      </w:r>
    </w:p>
    <w:p w14:paraId="5C6D672C" w14:textId="1F926958" w:rsidR="009A445B" w:rsidRPr="002F5F97" w:rsidRDefault="00C51FA9" w:rsidP="0001379A">
      <w:pPr>
        <w:pStyle w:val="ChapterSubtitle"/>
        <w:ind w:right="2692"/>
        <w:rPr>
          <w:color w:val="FFFFFF" w:themeColor="background1"/>
        </w:rPr>
      </w:pPr>
      <w:r w:rsidRPr="002F5F97">
        <w:rPr>
          <w:color w:val="FFFFFF" w:themeColor="background1"/>
        </w:rPr>
        <w:t xml:space="preserve">Fast small business </w:t>
      </w:r>
      <w:r w:rsidR="00E1271A" w:rsidRPr="002F5F97">
        <w:rPr>
          <w:color w:val="FFFFFF" w:themeColor="background1"/>
        </w:rPr>
        <w:t>payer</w:t>
      </w:r>
    </w:p>
    <w:p w14:paraId="1F746543" w14:textId="7FFCC0A9" w:rsidR="00E1271A" w:rsidRPr="002F5F97" w:rsidRDefault="00E1271A" w:rsidP="0001379A">
      <w:pPr>
        <w:pStyle w:val="ChapterSubtitle"/>
        <w:ind w:right="2692"/>
        <w:rPr>
          <w:color w:val="FFFFFF" w:themeColor="background1"/>
        </w:rPr>
      </w:pPr>
      <w:r w:rsidRPr="002F5F97">
        <w:rPr>
          <w:color w:val="FFFFFF" w:themeColor="background1"/>
        </w:rPr>
        <w:t xml:space="preserve">Slow small business </w:t>
      </w:r>
      <w:r w:rsidR="000622D7" w:rsidRPr="002F5F97">
        <w:rPr>
          <w:color w:val="FFFFFF" w:themeColor="background1"/>
        </w:rPr>
        <w:t>payer</w:t>
      </w:r>
    </w:p>
    <w:p w14:paraId="694FB28D" w14:textId="325650C7" w:rsidR="000622D7" w:rsidRPr="002F5F97" w:rsidRDefault="00475DF3" w:rsidP="0001379A">
      <w:pPr>
        <w:pStyle w:val="ChapterSubtitle"/>
        <w:ind w:right="2692"/>
        <w:rPr>
          <w:color w:val="FFFFFF" w:themeColor="background1"/>
        </w:rPr>
      </w:pPr>
      <w:r w:rsidRPr="002F5F97">
        <w:rPr>
          <w:color w:val="FFFFFF" w:themeColor="background1"/>
        </w:rPr>
        <w:t xml:space="preserve">Small </w:t>
      </w:r>
      <w:r w:rsidR="00355483" w:rsidRPr="002F5F97">
        <w:rPr>
          <w:color w:val="FFFFFF" w:themeColor="background1"/>
        </w:rPr>
        <w:t>B</w:t>
      </w:r>
      <w:r w:rsidRPr="002F5F97">
        <w:rPr>
          <w:color w:val="FFFFFF" w:themeColor="background1"/>
        </w:rPr>
        <w:t xml:space="preserve">usiness </w:t>
      </w:r>
      <w:r w:rsidR="00355483" w:rsidRPr="002F5F97">
        <w:rPr>
          <w:color w:val="FFFFFF" w:themeColor="background1"/>
        </w:rPr>
        <w:t>I</w:t>
      </w:r>
      <w:r w:rsidRPr="002F5F97">
        <w:rPr>
          <w:color w:val="FFFFFF" w:themeColor="background1"/>
        </w:rPr>
        <w:t xml:space="preserve">dentification </w:t>
      </w:r>
      <w:r w:rsidR="00355483" w:rsidRPr="002F5F97">
        <w:rPr>
          <w:color w:val="FFFFFF" w:themeColor="background1"/>
        </w:rPr>
        <w:t>T</w:t>
      </w:r>
      <w:r w:rsidRPr="002F5F97">
        <w:rPr>
          <w:color w:val="FFFFFF" w:themeColor="background1"/>
        </w:rPr>
        <w:t>ool</w:t>
      </w:r>
    </w:p>
    <w:p w14:paraId="0A667F2A" w14:textId="4335B172" w:rsidR="00475DF3" w:rsidRPr="002F5F97" w:rsidRDefault="00B0039E" w:rsidP="0001379A">
      <w:pPr>
        <w:pStyle w:val="ChapterSubtitle"/>
        <w:ind w:right="2692"/>
        <w:rPr>
          <w:color w:val="FFFFFF" w:themeColor="background1"/>
        </w:rPr>
      </w:pPr>
      <w:r w:rsidRPr="002F5F97">
        <w:rPr>
          <w:color w:val="FFFFFF" w:themeColor="background1"/>
        </w:rPr>
        <w:t>A</w:t>
      </w:r>
      <w:r w:rsidR="00475DF3" w:rsidRPr="002F5F97">
        <w:rPr>
          <w:color w:val="FFFFFF" w:themeColor="background1"/>
        </w:rPr>
        <w:t>pplications</w:t>
      </w:r>
    </w:p>
    <w:p w14:paraId="76A05C37" w14:textId="09B4E7D7" w:rsidR="00B0039E" w:rsidRPr="002F5F97" w:rsidRDefault="00B0039E" w:rsidP="0001379A">
      <w:pPr>
        <w:pStyle w:val="ChapterSubtitle"/>
        <w:ind w:right="2692"/>
        <w:rPr>
          <w:color w:val="808080" w:themeColor="background1" w:themeShade="80"/>
        </w:rPr>
      </w:pPr>
      <w:r w:rsidRPr="002F5F97">
        <w:rPr>
          <w:color w:val="FFFFFF" w:themeColor="background1"/>
        </w:rPr>
        <w:t>Tips</w:t>
      </w:r>
      <w:r w:rsidR="00AE3ED6" w:rsidRPr="002F5F97">
        <w:rPr>
          <w:color w:val="FFFFFF" w:themeColor="background1"/>
        </w:rPr>
        <w:t xml:space="preserve"> to avoid common errors</w:t>
      </w:r>
    </w:p>
    <w:p w14:paraId="70153A1E" w14:textId="77777777" w:rsidR="000C3AA1" w:rsidRPr="002F5F97" w:rsidRDefault="000C3AA1" w:rsidP="000C3AA1">
      <w:pPr>
        <w:spacing w:before="0" w:after="160" w:line="259" w:lineRule="auto"/>
      </w:pPr>
      <w:r w:rsidRPr="002F5F97">
        <w:br w:type="page"/>
      </w:r>
    </w:p>
    <w:p w14:paraId="79638389" w14:textId="7F85C0C3" w:rsidR="002B0538" w:rsidRPr="002F5F97" w:rsidRDefault="00D575B3" w:rsidP="002B0538">
      <w:pPr>
        <w:pStyle w:val="ChapterHeading1"/>
      </w:pPr>
      <w:bookmarkStart w:id="35" w:name="_Toc220068375"/>
      <w:r w:rsidRPr="002F5F97">
        <w:lastRenderedPageBreak/>
        <w:t>Compliance and enforcement update</w:t>
      </w:r>
      <w:bookmarkEnd w:id="35"/>
    </w:p>
    <w:p w14:paraId="5DD0A0AE" w14:textId="398FE9DB" w:rsidR="00327747" w:rsidRPr="003A563B" w:rsidRDefault="00327747" w:rsidP="003A563B">
      <w:r w:rsidRPr="003A563B">
        <w:t xml:space="preserve">In July 2025, the Regulator published the </w:t>
      </w:r>
      <w:hyperlink r:id="rId117" w:history="1">
        <w:r w:rsidRPr="003A563B">
          <w:rPr>
            <w:rStyle w:val="Hyperlink"/>
          </w:rPr>
          <w:t>2025</w:t>
        </w:r>
        <w:r w:rsidR="00E235D0" w:rsidRPr="003A563B">
          <w:rPr>
            <w:rStyle w:val="Hyperlink"/>
          </w:rPr>
          <w:t>–</w:t>
        </w:r>
        <w:r w:rsidRPr="003A563B">
          <w:rPr>
            <w:rStyle w:val="Hyperlink"/>
          </w:rPr>
          <w:t>26 Compliance and enforcement priorities</w:t>
        </w:r>
      </w:hyperlink>
      <w:r w:rsidRPr="003A563B">
        <w:t xml:space="preserve">, </w:t>
      </w:r>
      <w:r w:rsidR="0006766A">
        <w:t>to</w:t>
      </w:r>
      <w:r w:rsidRPr="003A563B">
        <w:t xml:space="preserve"> outline our escalating approach to compliance. We are actively monitoring performance and conduct in each of the </w:t>
      </w:r>
      <w:r w:rsidR="0006766A">
        <w:t xml:space="preserve">3 </w:t>
      </w:r>
      <w:r w:rsidRPr="003A563B">
        <w:t>priority areas.</w:t>
      </w:r>
    </w:p>
    <w:p w14:paraId="27B12AF3" w14:textId="122F0BBD" w:rsidR="00327747" w:rsidRPr="003A563B" w:rsidRDefault="00327747" w:rsidP="003A563B">
      <w:r w:rsidRPr="003A563B">
        <w:t xml:space="preserve">The Regulator directly engaged with entities over the past </w:t>
      </w:r>
      <w:r w:rsidR="00AF08AD" w:rsidRPr="003A563B">
        <w:t>6</w:t>
      </w:r>
      <w:r w:rsidRPr="003A563B">
        <w:t xml:space="preserve"> months that failed to comply with their obligations under the Act and took appropriate enforcement action to address non</w:t>
      </w:r>
      <w:r w:rsidR="005D0129">
        <w:noBreakHyphen/>
      </w:r>
      <w:r w:rsidRPr="003A563B">
        <w:t xml:space="preserve">compliance. </w:t>
      </w:r>
    </w:p>
    <w:p w14:paraId="28107F31" w14:textId="0C13E974" w:rsidR="00BC65A9" w:rsidRDefault="00327747" w:rsidP="00EF6F65">
      <w:r w:rsidRPr="003A563B">
        <w:t>Consistent with our escalating approach to non</w:t>
      </w:r>
      <w:r w:rsidR="005D0129">
        <w:noBreakHyphen/>
      </w:r>
      <w:r w:rsidRPr="003A563B">
        <w:t xml:space="preserve">compliance, the Regulator exercised a range of statutory powers that included issuing infringement notices to several large businesses </w:t>
      </w:r>
      <w:r w:rsidR="00321C22">
        <w:t>where there were reasonable grounds</w:t>
      </w:r>
      <w:r w:rsidR="00DE3406">
        <w:t xml:space="preserve"> to believe</w:t>
      </w:r>
      <w:r w:rsidR="00BB02BA">
        <w:t xml:space="preserve"> that they had</w:t>
      </w:r>
      <w:r w:rsidRPr="003A563B">
        <w:t xml:space="preserve"> fail</w:t>
      </w:r>
      <w:r w:rsidR="00BB02BA">
        <w:t>ed</w:t>
      </w:r>
      <w:r w:rsidRPr="003A563B">
        <w:t xml:space="preserve"> to submit payment times reports.</w:t>
      </w:r>
    </w:p>
    <w:p w14:paraId="43F4ABD2" w14:textId="77777777" w:rsidR="00EF6F65" w:rsidRPr="00EF6F65" w:rsidRDefault="00EF6F65" w:rsidP="00EF6F65">
      <w:pPr>
        <w:pStyle w:val="SingleParagraph"/>
      </w:pPr>
    </w:p>
    <w:p w14:paraId="647B1C06" w14:textId="77777777" w:rsidR="00BC65A9" w:rsidRPr="00F23FD8" w:rsidRDefault="00BC65A9" w:rsidP="00BC65A9">
      <w:pPr>
        <w:pStyle w:val="ChartMainHeading"/>
        <w:jc w:val="left"/>
        <w:rPr>
          <w:rFonts w:eastAsia="Aptos"/>
        </w:rPr>
      </w:pPr>
      <w:r w:rsidRPr="00BC65A9">
        <w:rPr>
          <w:rFonts w:eastAsia="Aptos"/>
        </w:rPr>
        <w:t>Compliance</w:t>
      </w:r>
      <w:r>
        <w:rPr>
          <w:rFonts w:eastAsia="Aptos"/>
        </w:rPr>
        <w:t xml:space="preserve"> and Enforcement Priorities</w:t>
      </w:r>
    </w:p>
    <w:p w14:paraId="209E737D" w14:textId="0F361FC5" w:rsidR="00BC65A9" w:rsidRPr="003A563B" w:rsidRDefault="00BC65A9" w:rsidP="003A563B">
      <w:r>
        <w:rPr>
          <w:noProof/>
        </w:rPr>
        <w:drawing>
          <wp:inline distT="0" distB="0" distL="0" distR="0" wp14:anchorId="2A6D7D51" wp14:editId="19474082">
            <wp:extent cx="5400040" cy="798830"/>
            <wp:effectExtent l="0" t="0" r="0" b="1270"/>
            <wp:docPr id="829692918" name="Picture 1" descr="Failure to report on time&#10;False or misleading reports and/or conduct&#10;Failure to comply with directives from the Regulator and/or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92918" name="Picture 1" descr="Failure to report on time&#10;False or misleading reports and/or conduct&#10;Failure to comply with directives from the Regulator and/or Ministe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400040" cy="798830"/>
                    </a:xfrm>
                    <a:prstGeom prst="rect">
                      <a:avLst/>
                    </a:prstGeom>
                  </pic:spPr>
                </pic:pic>
              </a:graphicData>
            </a:graphic>
          </wp:inline>
        </w:drawing>
      </w:r>
    </w:p>
    <w:p w14:paraId="618BA582" w14:textId="0490A260" w:rsidR="00122BCF" w:rsidRPr="002F5F97" w:rsidRDefault="00122BCF" w:rsidP="003A563B">
      <w:pPr>
        <w:pStyle w:val="Heading2"/>
      </w:pPr>
      <w:r w:rsidRPr="003A563B">
        <w:t>Compliance</w:t>
      </w:r>
      <w:r w:rsidRPr="002F5F97">
        <w:t xml:space="preserve"> priority: failure to report on time</w:t>
      </w:r>
    </w:p>
    <w:p w14:paraId="455946F7" w14:textId="77777777" w:rsidR="00122BCF" w:rsidRPr="002F5F97" w:rsidRDefault="00122BCF" w:rsidP="00122BCF">
      <w:pPr>
        <w:pStyle w:val="Heading3"/>
        <w:rPr>
          <w:rFonts w:cs="Times New Roman"/>
          <w:iCs/>
          <w:color w:val="auto"/>
          <w:kern w:val="0"/>
          <w:sz w:val="22"/>
          <w:szCs w:val="20"/>
        </w:rPr>
      </w:pPr>
      <w:r w:rsidRPr="002F5F97">
        <w:t>Failure to submit a payment times report</w:t>
      </w:r>
    </w:p>
    <w:p w14:paraId="737B3AB1" w14:textId="402A79D4" w:rsidR="00A071FC" w:rsidRPr="002F5F97" w:rsidRDefault="00A071FC" w:rsidP="00A071FC">
      <w:bookmarkStart w:id="36" w:name="_Hlk218862940"/>
      <w:r w:rsidRPr="002F5F97">
        <w:t>In the second half of 2025, we engaged with 1,334</w:t>
      </w:r>
      <w:r w:rsidR="003A563B">
        <w:t> </w:t>
      </w:r>
      <w:r w:rsidRPr="002F5F97">
        <w:t xml:space="preserve">entities, including </w:t>
      </w:r>
      <w:r w:rsidR="003A563B">
        <w:t xml:space="preserve">5 </w:t>
      </w:r>
      <w:r w:rsidRPr="002F5F97">
        <w:t xml:space="preserve">Commonwealth entities we identified as potentially having reporting obligations, but had not submitted a payment times report under the reformed Scheme. </w:t>
      </w:r>
    </w:p>
    <w:p w14:paraId="182152CC" w14:textId="0F97A99F" w:rsidR="00324E0C" w:rsidRPr="002F5F97" w:rsidRDefault="00324E0C" w:rsidP="00324E0C">
      <w:r w:rsidRPr="002F5F97">
        <w:t xml:space="preserve">All figures </w:t>
      </w:r>
      <w:r w:rsidR="00822421" w:rsidRPr="002F5F97">
        <w:t xml:space="preserve">in this section </w:t>
      </w:r>
      <w:r w:rsidRPr="002F5F97">
        <w:t>are from 1</w:t>
      </w:r>
      <w:r w:rsidR="003A563B">
        <w:t> </w:t>
      </w:r>
      <w:r w:rsidRPr="002F5F97">
        <w:t>July to 31</w:t>
      </w:r>
      <w:r w:rsidR="003A563B">
        <w:t> </w:t>
      </w:r>
      <w:r w:rsidRPr="002F5F97">
        <w:t>December</w:t>
      </w:r>
      <w:r w:rsidR="003A563B">
        <w:t> </w:t>
      </w:r>
      <w:r w:rsidRPr="002F5F97">
        <w:t>2025</w:t>
      </w:r>
      <w:r w:rsidR="002B6664" w:rsidRPr="002F5F97">
        <w:t>.</w:t>
      </w:r>
    </w:p>
    <w:p w14:paraId="0D044A4D" w14:textId="7EC8288D" w:rsidR="00122BCF" w:rsidRDefault="00122BCF" w:rsidP="00A071FC">
      <w:pPr>
        <w:pStyle w:val="Heading4"/>
      </w:pPr>
      <w:r w:rsidRPr="002F5F97">
        <w:t>Entities that have never reported under the reformed Scheme</w:t>
      </w:r>
    </w:p>
    <w:p w14:paraId="1536CF23" w14:textId="741C8F77" w:rsidR="008300C9" w:rsidRDefault="008300C9" w:rsidP="00DC2C76">
      <w:pPr>
        <w:rPr>
          <w:lang w:eastAsia="en-AU"/>
        </w:rPr>
      </w:pPr>
      <w:r w:rsidRPr="00DC2C76">
        <w:rPr>
          <w:noProof/>
        </w:rPr>
        <w:drawing>
          <wp:inline distT="0" distB="0" distL="0" distR="0" wp14:anchorId="47FB4DD1" wp14:editId="125E49AF">
            <wp:extent cx="5400000" cy="1123046"/>
            <wp:effectExtent l="0" t="0" r="0" b="1270"/>
            <wp:docPr id="1916431559" name="Picture 4" descr="An infographic showing action and result of entities that have never reported under the reformed Scheme. 1,334 entities contacted that may have reporting obligations but failed to submit a report. 293 entities submitted first reports following contact by the Regulator. 503 reports submitted at 3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31559" name="Picture 4" descr="An infographic showing action and result of entities that have never reported under the reformed Scheme. 1,334 entities contacted that may have reporting obligations but failed to submit a report. 293 entities submitted first reports following contact by the Regulator. 503 reports submitted at 31 December 2025."/>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0" cy="1123046"/>
                    </a:xfrm>
                    <a:prstGeom prst="rect">
                      <a:avLst/>
                    </a:prstGeom>
                  </pic:spPr>
                </pic:pic>
              </a:graphicData>
            </a:graphic>
          </wp:inline>
        </w:drawing>
      </w:r>
    </w:p>
    <w:bookmarkEnd w:id="36"/>
    <w:p w14:paraId="46538040" w14:textId="6A6737CF" w:rsidR="00413790" w:rsidRPr="002F5F97" w:rsidRDefault="00413790" w:rsidP="00DC2C76">
      <w:pPr>
        <w:spacing w:before="240"/>
      </w:pPr>
      <w:r w:rsidRPr="002F5F97">
        <w:t xml:space="preserve">We asked entities to </w:t>
      </w:r>
      <w:r w:rsidRPr="00DC2C76">
        <w:t>assess</w:t>
      </w:r>
      <w:r w:rsidRPr="002F5F97">
        <w:t xml:space="preserve"> their reporting obligations under the reformed Scheme and address any potential non</w:t>
      </w:r>
      <w:r w:rsidR="005D0129">
        <w:noBreakHyphen/>
      </w:r>
      <w:r w:rsidRPr="002F5F97">
        <w:t>compliance. As a result, 293</w:t>
      </w:r>
      <w:r w:rsidR="00814351">
        <w:t> </w:t>
      </w:r>
      <w:r w:rsidRPr="002F5F97">
        <w:t>entities submitted payment times reports for the first time, with a total of 503</w:t>
      </w:r>
      <w:r w:rsidR="00814351">
        <w:t> </w:t>
      </w:r>
      <w:r w:rsidRPr="002F5F97">
        <w:t>reports submitted by these entities as at 31</w:t>
      </w:r>
      <w:r w:rsidR="006B0FE2" w:rsidRPr="002F5F97">
        <w:t> </w:t>
      </w:r>
      <w:r w:rsidRPr="002F5F97">
        <w:t>December 2025.</w:t>
      </w:r>
    </w:p>
    <w:p w14:paraId="424C2125" w14:textId="23355F0C" w:rsidR="007F31CD" w:rsidRPr="002F5F97" w:rsidRDefault="00413790" w:rsidP="00F219AD">
      <w:r w:rsidRPr="002F5F97">
        <w:t>This compliance initiative also helped to identify instances where controlled entities within consolidated reporting groups had incorrectly submitted individual reports, rather</w:t>
      </w:r>
      <w:r w:rsidR="00814351">
        <w:t> </w:t>
      </w:r>
      <w:r w:rsidRPr="002F5F97">
        <w:t>than have their payment data covered under a single consolidated report.</w:t>
      </w:r>
    </w:p>
    <w:p w14:paraId="345EF972" w14:textId="77777777" w:rsidR="00F224F7" w:rsidRDefault="00F224F7">
      <w:pPr>
        <w:spacing w:before="0" w:after="160" w:line="259" w:lineRule="auto"/>
        <w:rPr>
          <w:rFonts w:asciiTheme="majorHAnsi" w:hAnsiTheme="majorHAnsi" w:cs="Arial"/>
          <w:b/>
          <w:bCs/>
          <w:color w:val="2C384A" w:themeColor="accent6"/>
          <w:kern w:val="32"/>
          <w:lang w:eastAsia="en-AU"/>
        </w:rPr>
      </w:pPr>
      <w:r>
        <w:br w:type="page"/>
      </w:r>
    </w:p>
    <w:p w14:paraId="402BB44A" w14:textId="2E880CC7" w:rsidR="00F219AD" w:rsidRDefault="009B59FE" w:rsidP="00A071FC">
      <w:pPr>
        <w:pStyle w:val="Heading4"/>
      </w:pPr>
      <w:r w:rsidRPr="002F5F97">
        <w:lastRenderedPageBreak/>
        <w:t>Entities that submitted a report but failed to submit a subsequent report</w:t>
      </w:r>
    </w:p>
    <w:p w14:paraId="0503603B" w14:textId="651B9D28" w:rsidR="00521024" w:rsidRPr="00521024" w:rsidRDefault="00521024" w:rsidP="00521024">
      <w:pPr>
        <w:rPr>
          <w:lang w:eastAsia="en-AU"/>
        </w:rPr>
      </w:pPr>
      <w:r>
        <w:rPr>
          <w:noProof/>
          <w:lang w:eastAsia="en-AU"/>
        </w:rPr>
        <w:drawing>
          <wp:inline distT="0" distB="0" distL="0" distR="0" wp14:anchorId="6F68F73F" wp14:editId="11EA5C2A">
            <wp:extent cx="4971600" cy="1112540"/>
            <wp:effectExtent l="0" t="0" r="635" b="0"/>
            <wp:docPr id="450142849" name="Picture 5" descr="An infographic showing action and result of entities that submitted a report but failed to submit a subsequent report. 96 entities contacted that may have reporting obligations but failed to submit a report. 15 entities identified that they may not be a reporting entity. 49 entities subsequently submitted a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42849" name="Picture 5" descr="An infographic showing action and result of entities that submitted a report but failed to submit a subsequent report. 96 entities contacted that may have reporting obligations but failed to submit a report. 15 entities identified that they may not be a reporting entity. 49 entities subsequently submitted a report. "/>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971600" cy="1112540"/>
                    </a:xfrm>
                    <a:prstGeom prst="rect">
                      <a:avLst/>
                    </a:prstGeom>
                  </pic:spPr>
                </pic:pic>
              </a:graphicData>
            </a:graphic>
          </wp:inline>
        </w:drawing>
      </w:r>
    </w:p>
    <w:p w14:paraId="633F9A77" w14:textId="3A3E0747" w:rsidR="00231BAF" w:rsidRPr="002F5F97" w:rsidRDefault="00231BAF" w:rsidP="00CC4841">
      <w:r w:rsidRPr="002F5F97">
        <w:t>We engaged with 96</w:t>
      </w:r>
      <w:r w:rsidR="0022606C">
        <w:t> </w:t>
      </w:r>
      <w:r w:rsidRPr="002F5F97">
        <w:t>entities that had reported in one reporting period</w:t>
      </w:r>
      <w:r w:rsidR="00BC1E48">
        <w:t>,</w:t>
      </w:r>
      <w:r w:rsidRPr="002F5F97">
        <w:t xml:space="preserve"> but failed to submit</w:t>
      </w:r>
      <w:r w:rsidR="002864F3">
        <w:t> </w:t>
      </w:r>
      <w:r w:rsidRPr="002F5F97">
        <w:t xml:space="preserve">a report in a subsequent period </w:t>
      </w:r>
      <w:r w:rsidR="008B1B9E">
        <w:t xml:space="preserve">to </w:t>
      </w:r>
      <w:r w:rsidRPr="002F5F97">
        <w:t xml:space="preserve">remind them of their ongoing reporting obligations. </w:t>
      </w:r>
    </w:p>
    <w:p w14:paraId="647E4CCE" w14:textId="1D5857CF" w:rsidR="00246283" w:rsidRPr="002F5F97" w:rsidRDefault="00231BAF" w:rsidP="00F219AD">
      <w:r w:rsidRPr="002F5F97">
        <w:t>As a result of this engagement, 49</w:t>
      </w:r>
      <w:r w:rsidR="00F71E11">
        <w:t> </w:t>
      </w:r>
      <w:r w:rsidRPr="002F5F97">
        <w:t>entities submitted a subsequent report. A further 15</w:t>
      </w:r>
      <w:r w:rsidR="00BC1E48">
        <w:t> </w:t>
      </w:r>
      <w:r w:rsidRPr="002F5F97">
        <w:t>entities have advised their report should not have been submitted because they may not have met the legislative requirements of a reporting entity</w:t>
      </w:r>
      <w:r w:rsidR="00667F57">
        <w:t xml:space="preserve">; </w:t>
      </w:r>
      <w:r w:rsidRPr="002F5F97">
        <w:t xml:space="preserve">10 of those reports </w:t>
      </w:r>
      <w:r w:rsidR="00667F57">
        <w:t xml:space="preserve">were </w:t>
      </w:r>
      <w:r w:rsidRPr="002F5F97">
        <w:t>subsequently withheld.</w:t>
      </w:r>
    </w:p>
    <w:p w14:paraId="1DDD6BF3" w14:textId="67E5B33A" w:rsidR="00C75458" w:rsidRDefault="00C75458" w:rsidP="00C75458">
      <w:pPr>
        <w:pStyle w:val="Heading3"/>
      </w:pPr>
      <w:r w:rsidRPr="002F5F97">
        <w:t>Failure to submit a report</w:t>
      </w:r>
      <w:r w:rsidR="00D1073F" w:rsidRPr="002F5F97">
        <w:t xml:space="preserve"> within the timeframe</w:t>
      </w:r>
    </w:p>
    <w:p w14:paraId="625637BD" w14:textId="620F7E09" w:rsidR="00FD667A" w:rsidRPr="00FD667A" w:rsidRDefault="0022606C" w:rsidP="00FD667A">
      <w:pPr>
        <w:rPr>
          <w:lang w:eastAsia="en-AU"/>
        </w:rPr>
      </w:pPr>
      <w:r>
        <w:rPr>
          <w:noProof/>
          <w:lang w:eastAsia="en-AU"/>
        </w:rPr>
        <w:drawing>
          <wp:inline distT="0" distB="0" distL="0" distR="0" wp14:anchorId="07630DA5" wp14:editId="1EE9A108">
            <wp:extent cx="4972050" cy="1106170"/>
            <wp:effectExtent l="0" t="0" r="0" b="0"/>
            <wp:docPr id="1217293866" name="Picture 7" descr="813 late reports averaging 54 days over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93866" name="Picture 7" descr="813 late reports averaging 54 days overdue"/>
                    <pic:cNvPicPr/>
                  </pic:nvPicPr>
                  <pic:blipFill rotWithShape="1">
                    <a:blip r:embed="rId121" cstate="print">
                      <a:extLst>
                        <a:ext uri="{28A0092B-C50C-407E-A947-70E740481C1C}">
                          <a14:useLocalDpi xmlns:a14="http://schemas.microsoft.com/office/drawing/2010/main" val="0"/>
                        </a:ext>
                      </a:extLst>
                    </a:blip>
                    <a:srcRect/>
                    <a:stretch>
                      <a:fillRect/>
                    </a:stretch>
                  </pic:blipFill>
                  <pic:spPr bwMode="auto">
                    <a:xfrm>
                      <a:off x="0" y="0"/>
                      <a:ext cx="4973201" cy="1106426"/>
                    </a:xfrm>
                    <a:prstGeom prst="rect">
                      <a:avLst/>
                    </a:prstGeom>
                    <a:ln>
                      <a:noFill/>
                    </a:ln>
                    <a:extLst>
                      <a:ext uri="{53640926-AAD7-44D8-BBD7-CCE9431645EC}">
                        <a14:shadowObscured xmlns:a14="http://schemas.microsoft.com/office/drawing/2010/main"/>
                      </a:ext>
                    </a:extLst>
                  </pic:spPr>
                </pic:pic>
              </a:graphicData>
            </a:graphic>
          </wp:inline>
        </w:drawing>
      </w:r>
    </w:p>
    <w:p w14:paraId="38258873" w14:textId="77777777" w:rsidR="00603F63" w:rsidRPr="002F5F97" w:rsidRDefault="00603F63" w:rsidP="00FD667A">
      <w:pPr>
        <w:pStyle w:val="SingleParagraph"/>
      </w:pPr>
    </w:p>
    <w:p w14:paraId="17277A54" w14:textId="66DB235E" w:rsidR="00784CA0" w:rsidRPr="002F5F97" w:rsidRDefault="00784CA0" w:rsidP="002B0538">
      <w:pPr>
        <w:spacing w:before="0" w:after="160" w:line="259" w:lineRule="auto"/>
      </w:pPr>
      <w:r>
        <w:rPr>
          <w:noProof/>
        </w:rPr>
        <w:drawing>
          <wp:inline distT="0" distB="0" distL="0" distR="0" wp14:anchorId="7FE8B200" wp14:editId="465DFE17">
            <wp:extent cx="4972050" cy="1122680"/>
            <wp:effectExtent l="0" t="0" r="0" b="1270"/>
            <wp:docPr id="1022120986" name="Picture 6" descr="An infographic showing action and result of entities that failed to submit a report within the timeframe. 202 warning letters issued to entities that failed to submit a report by the due date and submitted their reports late. 156 entities then submitted their next report on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20986" name="Picture 6" descr="An infographic showing action and result of entities that failed to submit a report within the timeframe. 202 warning letters issued to entities that failed to submit a report by the due date and submitted their reports late. 156 entities then submitted their next report on time.&#10;"/>
                    <pic:cNvPicPr/>
                  </pic:nvPicPr>
                  <pic:blipFill rotWithShape="1">
                    <a:blip r:embed="rId122" cstate="print">
                      <a:extLst>
                        <a:ext uri="{28A0092B-C50C-407E-A947-70E740481C1C}">
                          <a14:useLocalDpi xmlns:a14="http://schemas.microsoft.com/office/drawing/2010/main" val="0"/>
                        </a:ext>
                      </a:extLst>
                    </a:blip>
                    <a:srcRect/>
                    <a:stretch>
                      <a:fillRect/>
                    </a:stretch>
                  </pic:blipFill>
                  <pic:spPr bwMode="auto">
                    <a:xfrm>
                      <a:off x="0" y="0"/>
                      <a:ext cx="4972050" cy="1122680"/>
                    </a:xfrm>
                    <a:prstGeom prst="rect">
                      <a:avLst/>
                    </a:prstGeom>
                    <a:ln>
                      <a:noFill/>
                    </a:ln>
                    <a:extLst>
                      <a:ext uri="{53640926-AAD7-44D8-BBD7-CCE9431645EC}">
                        <a14:shadowObscured xmlns:a14="http://schemas.microsoft.com/office/drawing/2010/main"/>
                      </a:ext>
                    </a:extLst>
                  </pic:spPr>
                </pic:pic>
              </a:graphicData>
            </a:graphic>
          </wp:inline>
        </w:drawing>
      </w:r>
    </w:p>
    <w:p w14:paraId="66E1E6F9" w14:textId="62B3AEDB" w:rsidR="00423C25" w:rsidRPr="002F5F97" w:rsidRDefault="00423C25" w:rsidP="00423C25">
      <w:pPr>
        <w:spacing w:before="0" w:after="160" w:line="259" w:lineRule="auto"/>
      </w:pPr>
      <w:r w:rsidRPr="002F5F97">
        <w:t>The Regulator issued 202 warning letters to entities that submitted their payment times reports after the due date.</w:t>
      </w:r>
    </w:p>
    <w:p w14:paraId="29E5BCF4" w14:textId="45615BEF" w:rsidR="00444E73" w:rsidRPr="002F5F97" w:rsidRDefault="00423C25" w:rsidP="00423C25">
      <w:pPr>
        <w:spacing w:before="0" w:after="160" w:line="259" w:lineRule="auto"/>
      </w:pPr>
      <w:r w:rsidRPr="002F5F97">
        <w:t>If these entities fail to meet their reporting obligations again, the Regulator will take enforcement action, which may include publishing details of the entity and its non</w:t>
      </w:r>
      <w:r w:rsidR="005D0129">
        <w:noBreakHyphen/>
      </w:r>
      <w:r w:rsidRPr="002F5F97">
        <w:t>compliance on the Payment Times Reports Register and issuing infringement notices.</w:t>
      </w:r>
    </w:p>
    <w:p w14:paraId="43E06713" w14:textId="1F42D23D" w:rsidR="00603F63" w:rsidRPr="002F5F97" w:rsidRDefault="00603F63">
      <w:pPr>
        <w:spacing w:before="0" w:after="160" w:line="259" w:lineRule="auto"/>
      </w:pPr>
      <w:r w:rsidRPr="002F5F97">
        <w:br w:type="page"/>
      </w:r>
    </w:p>
    <w:p w14:paraId="251E3A52" w14:textId="26324FC8" w:rsidR="00151813" w:rsidRPr="002F5F97" w:rsidRDefault="00151813" w:rsidP="00151813">
      <w:pPr>
        <w:pStyle w:val="Heading2"/>
      </w:pPr>
      <w:r w:rsidRPr="002F5F97">
        <w:lastRenderedPageBreak/>
        <w:t>Compliance priority: false or misleading reports</w:t>
      </w:r>
      <w:r w:rsidR="00D41CC5">
        <w:t> </w:t>
      </w:r>
      <w:r w:rsidRPr="002F5F97">
        <w:t>and/or conduct</w:t>
      </w:r>
    </w:p>
    <w:p w14:paraId="13B022F9" w14:textId="32BBA812" w:rsidR="00151813" w:rsidRDefault="00151813" w:rsidP="00151813">
      <w:pPr>
        <w:pStyle w:val="Heading3"/>
      </w:pPr>
      <w:r w:rsidRPr="002F5F97">
        <w:t xml:space="preserve">Failure to </w:t>
      </w:r>
      <w:r w:rsidR="00CB1FF0" w:rsidRPr="002F5F97">
        <w:t xml:space="preserve">use </w:t>
      </w:r>
      <w:r w:rsidR="00BF4F90">
        <w:t xml:space="preserve">the </w:t>
      </w:r>
      <w:r w:rsidR="00CB1FF0" w:rsidRPr="002F5F97">
        <w:t>SBI Tool when preparing a report</w:t>
      </w:r>
    </w:p>
    <w:p w14:paraId="3AC579C6" w14:textId="610C302B" w:rsidR="00A563AC" w:rsidRPr="002F5F97" w:rsidRDefault="00A563AC" w:rsidP="00943C2E">
      <w:r>
        <w:rPr>
          <w:noProof/>
        </w:rPr>
        <w:drawing>
          <wp:inline distT="0" distB="0" distL="0" distR="0" wp14:anchorId="2BA0DDEE" wp14:editId="2986DAAA">
            <wp:extent cx="5392037" cy="1105200"/>
            <wp:effectExtent l="0" t="0" r="0" b="0"/>
            <wp:docPr id="813277767" name="Picture 8" descr="638 entities failed to use the SBI Tool to prepare their report and  83 of these entities were contact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77767" name="Picture 8" descr="638 entities failed to use the SBI Tool to prepare their report and  83 of these entities were contacted by The Regulato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392037" cy="1105200"/>
                    </a:xfrm>
                    <a:prstGeom prst="rect">
                      <a:avLst/>
                    </a:prstGeom>
                  </pic:spPr>
                </pic:pic>
              </a:graphicData>
            </a:graphic>
          </wp:inline>
        </w:drawing>
      </w:r>
    </w:p>
    <w:p w14:paraId="4F193601" w14:textId="3D7673CA" w:rsidR="00175681" w:rsidRPr="002F5F97" w:rsidRDefault="00175681" w:rsidP="00A563AC">
      <w:pPr>
        <w:spacing w:before="240"/>
      </w:pPr>
      <w:r w:rsidRPr="002F5F97">
        <w:t xml:space="preserve">The Regulator identified </w:t>
      </w:r>
      <w:r w:rsidR="00CA31F0">
        <w:t>638</w:t>
      </w:r>
      <w:r w:rsidR="008B6BEA">
        <w:t> </w:t>
      </w:r>
      <w:r w:rsidRPr="002F5F97">
        <w:t xml:space="preserve">payment times reports that appear to have been prepared without using the SBI Tool. Entities must use the SBI </w:t>
      </w:r>
      <w:r w:rsidR="006F30DA" w:rsidRPr="002F5F97">
        <w:t>T</w:t>
      </w:r>
      <w:r w:rsidRPr="002F5F97">
        <w:t>ool to determine which payments were made to small business suppliers each time a report is prepared.</w:t>
      </w:r>
    </w:p>
    <w:p w14:paraId="1539AE17" w14:textId="63AEABC7" w:rsidR="00175681" w:rsidRPr="002F5F97" w:rsidRDefault="00175681" w:rsidP="00175681">
      <w:pPr>
        <w:spacing w:before="0" w:after="160" w:line="259" w:lineRule="auto"/>
      </w:pPr>
      <w:r w:rsidRPr="002F5F97">
        <w:t>From the 83</w:t>
      </w:r>
      <w:r w:rsidR="008B6BEA">
        <w:t> </w:t>
      </w:r>
      <w:r w:rsidRPr="002F5F97">
        <w:t>entities contacted by the Regulator, 46</w:t>
      </w:r>
      <w:r w:rsidR="008B6BEA">
        <w:t> </w:t>
      </w:r>
      <w:r w:rsidRPr="002F5F97">
        <w:t>advised that the SBI Tool was run by an entity within the consolidated group. While it is acceptable for a controlled entity within a corporate group to access the SBI Tool on behalf of the reporting entity, an increasing number of reports are being submitted without any evidence of SBI Tool usage. Preparing a report without accessing the SBI Tool may result in false or misleading information.</w:t>
      </w:r>
    </w:p>
    <w:p w14:paraId="60D86725" w14:textId="52748A77" w:rsidR="00175681" w:rsidRPr="002F5F97" w:rsidRDefault="00175681" w:rsidP="00175681">
      <w:pPr>
        <w:spacing w:before="0" w:after="160" w:line="259" w:lineRule="auto"/>
      </w:pPr>
      <w:r w:rsidRPr="002F5F97">
        <w:t>As part of the Regulator</w:t>
      </w:r>
      <w:r w:rsidR="005D0129">
        <w:t>’</w:t>
      </w:r>
      <w:r w:rsidRPr="002F5F97">
        <w:t xml:space="preserve">s escalating approach to compliance and enforcement and to support accurate reporting, the Regulator </w:t>
      </w:r>
      <w:r w:rsidR="00CA236C">
        <w:t>took</w:t>
      </w:r>
      <w:r w:rsidRPr="002F5F97">
        <w:t xml:space="preserve"> proactive steps by writing to entities that appeared not to have used the SBI Tool when preparing their report/s. Clarification was sought on whether the entity, or another entity within its consolidated group, had used the SBI Tool and </w:t>
      </w:r>
      <w:r w:rsidR="003832DD">
        <w:t xml:space="preserve">the Regulator </w:t>
      </w:r>
      <w:r w:rsidRPr="002F5F97">
        <w:t>requested supporting evidence, such as the SBI Tool output file.</w:t>
      </w:r>
    </w:p>
    <w:p w14:paraId="01ABC90D" w14:textId="72E9295A" w:rsidR="0040747B" w:rsidRPr="002F5F97" w:rsidRDefault="00175681" w:rsidP="00175681">
      <w:pPr>
        <w:spacing w:before="0" w:after="160" w:line="259" w:lineRule="auto"/>
      </w:pPr>
      <w:r w:rsidRPr="002F5F97">
        <w:t>Entities that continue to submit reports without using the SBI Tool may face public disclosure of their non</w:t>
      </w:r>
      <w:r w:rsidR="005D0129">
        <w:noBreakHyphen/>
      </w:r>
      <w:r w:rsidRPr="002F5F97">
        <w:t>compliance and may be issued an infringement notice.</w:t>
      </w:r>
    </w:p>
    <w:p w14:paraId="33D77E1A" w14:textId="0C6F6AFD" w:rsidR="00CB1FF0" w:rsidRDefault="00CB1FF0" w:rsidP="00CB1FF0">
      <w:pPr>
        <w:pStyle w:val="Heading3"/>
      </w:pPr>
      <w:r w:rsidRPr="002F5F97">
        <w:t xml:space="preserve">False or misleading </w:t>
      </w:r>
      <w:r w:rsidR="001B18F3" w:rsidRPr="002F5F97">
        <w:t>information submitted in a report</w:t>
      </w:r>
    </w:p>
    <w:p w14:paraId="20672D56" w14:textId="0AD1441B" w:rsidR="00A563AC" w:rsidRDefault="00A563AC" w:rsidP="00A563AC">
      <w:pPr>
        <w:rPr>
          <w:lang w:eastAsia="en-AU"/>
        </w:rPr>
      </w:pPr>
      <w:r>
        <w:rPr>
          <w:noProof/>
          <w:lang w:eastAsia="en-AU"/>
        </w:rPr>
        <w:drawing>
          <wp:inline distT="0" distB="0" distL="0" distR="0" wp14:anchorId="192E637A" wp14:editId="0130A030">
            <wp:extent cx="5392853" cy="1173356"/>
            <wp:effectExtent l="0" t="0" r="0" b="8255"/>
            <wp:docPr id="262456541" name="Picture 9" descr="112 wrongly submitted reports removed from the Regis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56541" name="Picture 9" descr="112 wrongly submitted reports removed from the Register &#10;"/>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409185" cy="1176910"/>
                    </a:xfrm>
                    <a:prstGeom prst="rect">
                      <a:avLst/>
                    </a:prstGeom>
                  </pic:spPr>
                </pic:pic>
              </a:graphicData>
            </a:graphic>
          </wp:inline>
        </w:drawing>
      </w:r>
    </w:p>
    <w:p w14:paraId="0B5976AB" w14:textId="6A651964" w:rsidR="00A563AC" w:rsidRPr="00A563AC" w:rsidRDefault="00A563AC" w:rsidP="00A563AC">
      <w:pPr>
        <w:rPr>
          <w:lang w:eastAsia="en-AU"/>
        </w:rPr>
      </w:pPr>
      <w:r>
        <w:rPr>
          <w:noProof/>
          <w:lang w:eastAsia="en-AU"/>
        </w:rPr>
        <w:drawing>
          <wp:inline distT="0" distB="0" distL="0" distR="0" wp14:anchorId="438C1281" wp14:editId="2EE42372">
            <wp:extent cx="5396230" cy="1175064"/>
            <wp:effectExtent l="0" t="0" r="0" b="6350"/>
            <wp:docPr id="1710893510" name="Picture 10" descr="200 reports revised to correc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3510" name="Picture 10" descr="200 reports revised to correct information&#10;"/>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13488" cy="1178822"/>
                    </a:xfrm>
                    <a:prstGeom prst="rect">
                      <a:avLst/>
                    </a:prstGeom>
                  </pic:spPr>
                </pic:pic>
              </a:graphicData>
            </a:graphic>
          </wp:inline>
        </w:drawing>
      </w:r>
    </w:p>
    <w:p w14:paraId="23F7A18D" w14:textId="2CA2B58B" w:rsidR="00D44E98" w:rsidRPr="002F5F97" w:rsidRDefault="00D44E98" w:rsidP="00D44E98">
      <w:pPr>
        <w:spacing w:before="0" w:after="160" w:line="259" w:lineRule="auto"/>
      </w:pPr>
      <w:r w:rsidRPr="002F5F97">
        <w:t>The Regulator continues to monitor reports and actively engage with entities where information is</w:t>
      </w:r>
      <w:r w:rsidR="00DB716D">
        <w:t xml:space="preserve"> suspected to be</w:t>
      </w:r>
      <w:r w:rsidRPr="002F5F97">
        <w:t xml:space="preserve"> inaccurate, false or misleading.</w:t>
      </w:r>
    </w:p>
    <w:p w14:paraId="179DC361" w14:textId="15CCF85A" w:rsidR="00450438" w:rsidRPr="002F5F97" w:rsidRDefault="00D44E98" w:rsidP="00D44E98">
      <w:pPr>
        <w:spacing w:before="0" w:after="160" w:line="259" w:lineRule="auto"/>
      </w:pPr>
      <w:r w:rsidRPr="002F5F97">
        <w:lastRenderedPageBreak/>
        <w:t>As a result of this engagement, entities requested the removal of 112</w:t>
      </w:r>
      <w:r w:rsidR="00605411">
        <w:t> </w:t>
      </w:r>
      <w:r w:rsidRPr="002F5F97">
        <w:t xml:space="preserve">wrongly submitted reports from the </w:t>
      </w:r>
      <w:r w:rsidR="001A6BAC" w:rsidRPr="002F5F97">
        <w:t xml:space="preserve">Payment Times Reports </w:t>
      </w:r>
      <w:r w:rsidRPr="002F5F97">
        <w:t>Register and revised 200</w:t>
      </w:r>
      <w:r w:rsidR="00605411">
        <w:t> </w:t>
      </w:r>
      <w:r w:rsidRPr="002F5F97">
        <w:t>reports to</w:t>
      </w:r>
      <w:r w:rsidR="00605411">
        <w:t> </w:t>
      </w:r>
      <w:r w:rsidRPr="002F5F97">
        <w:t>amend incorrectly reported information.</w:t>
      </w:r>
    </w:p>
    <w:tbl>
      <w:tblPr>
        <w:tblW w:w="5000" w:type="pct"/>
        <w:shd w:val="clear" w:color="auto" w:fill="CCDCDB"/>
        <w:tblCellMar>
          <w:top w:w="57" w:type="dxa"/>
          <w:left w:w="284" w:type="dxa"/>
          <w:bottom w:w="170" w:type="dxa"/>
          <w:right w:w="284" w:type="dxa"/>
        </w:tblCellMar>
        <w:tblLook w:val="01E0" w:firstRow="1" w:lastRow="1" w:firstColumn="1" w:lastColumn="1" w:noHBand="0" w:noVBand="0"/>
      </w:tblPr>
      <w:tblGrid>
        <w:gridCol w:w="8504"/>
      </w:tblGrid>
      <w:tr w:rsidR="000A0CFE" w:rsidRPr="005D0129" w14:paraId="47DE8F77" w14:textId="77777777" w:rsidTr="00674CE0">
        <w:tc>
          <w:tcPr>
            <w:tcW w:w="5000" w:type="pct"/>
            <w:shd w:val="clear" w:color="auto" w:fill="E5EDED"/>
          </w:tcPr>
          <w:p w14:paraId="7D71A31F" w14:textId="5A312163" w:rsidR="000A0CFE" w:rsidRPr="005D0129" w:rsidRDefault="008B7DCF" w:rsidP="00F4435B">
            <w:pPr>
              <w:pStyle w:val="BoxHeading-Greenbox"/>
            </w:pPr>
            <w:bookmarkStart w:id="37" w:name="_Hlk219895969"/>
            <w:r w:rsidRPr="005D0129">
              <w:rPr>
                <w:noProof/>
              </w:rPr>
              <w:drawing>
                <wp:anchor distT="0" distB="0" distL="114300" distR="114300" simplePos="0" relativeHeight="251658248" behindDoc="0" locked="0" layoutInCell="1" allowOverlap="1" wp14:anchorId="4764171E" wp14:editId="00E93551">
                  <wp:simplePos x="0" y="0"/>
                  <wp:positionH relativeFrom="column">
                    <wp:posOffset>4274990</wp:posOffset>
                  </wp:positionH>
                  <wp:positionV relativeFrom="paragraph">
                    <wp:posOffset>60960</wp:posOffset>
                  </wp:positionV>
                  <wp:extent cx="819150" cy="719455"/>
                  <wp:effectExtent l="0" t="0" r="0" b="0"/>
                  <wp:wrapSquare wrapText="bothSides"/>
                  <wp:docPr id="1414656794"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6794" name="Graphic 6">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rcRect t="6066" b="6066"/>
                          <a:stretch>
                            <a:fillRect/>
                          </a:stretch>
                        </pic:blipFill>
                        <pic:spPr bwMode="auto">
                          <a:xfrm>
                            <a:off x="0" y="0"/>
                            <a:ext cx="819150" cy="71945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FF5" w:rsidRPr="005D0129">
              <w:t>Help us prevent fraud</w:t>
            </w:r>
          </w:p>
          <w:p w14:paraId="3927D336" w14:textId="3102F9AD" w:rsidR="000A0CFE" w:rsidRPr="005D0129" w:rsidRDefault="00F4435B" w:rsidP="00F4435B">
            <w:pPr>
              <w:pStyle w:val="BoxText"/>
            </w:pPr>
            <w:r w:rsidRPr="005D0129">
              <w:t xml:space="preserve">The Regulator is committed to preventing fraud through false and/or misleading reporting. If you suspect payment times reports contain false and/or misleading information on payment practices, report it by emailing us at </w:t>
            </w:r>
            <w:hyperlink r:id="rId128" w:history="1">
              <w:r w:rsidRPr="005D0129">
                <w:rPr>
                  <w:rStyle w:val="Hyperlink"/>
                </w:rPr>
                <w:t>compliance@paymenttimes.gov.au</w:t>
              </w:r>
            </w:hyperlink>
            <w:r w:rsidRPr="005D0129">
              <w:t xml:space="preserve"> </w:t>
            </w:r>
          </w:p>
        </w:tc>
      </w:tr>
    </w:tbl>
    <w:bookmarkEnd w:id="37"/>
    <w:p w14:paraId="159D5FD5" w14:textId="33126E0F" w:rsidR="001B18F3" w:rsidRPr="002F5F97" w:rsidRDefault="001B18F3" w:rsidP="001B18F3">
      <w:pPr>
        <w:pStyle w:val="Heading2"/>
      </w:pPr>
      <w:r w:rsidRPr="002F5F97">
        <w:t>Compliance priority: failure to comply with directives from the Regulator and/or Minister</w:t>
      </w:r>
    </w:p>
    <w:p w14:paraId="404EE519" w14:textId="21FE451F" w:rsidR="00171012" w:rsidRPr="002F5F97" w:rsidRDefault="00B4077E" w:rsidP="00E120E1">
      <w:r w:rsidRPr="002F5F97">
        <w:t>We</w:t>
      </w:r>
      <w:r w:rsidR="00171012" w:rsidRPr="002F5F97">
        <w:t xml:space="preserve"> continue to actively monitor compliance with directives from the Regulator.</w:t>
      </w:r>
    </w:p>
    <w:p w14:paraId="2DB7D024" w14:textId="41DCB383" w:rsidR="00171012" w:rsidRPr="002F5F97" w:rsidRDefault="00171012" w:rsidP="00E120E1">
      <w:r w:rsidRPr="002F5F97">
        <w:t xml:space="preserve">In 2026, </w:t>
      </w:r>
      <w:r w:rsidR="00C852D3" w:rsidRPr="002F5F97">
        <w:t>we</w:t>
      </w:r>
      <w:r w:rsidRPr="002F5F97">
        <w:t xml:space="preserve"> will continue to monitor </w:t>
      </w:r>
      <w:r w:rsidR="00FC4BF6">
        <w:t xml:space="preserve">reporting </w:t>
      </w:r>
      <w:r w:rsidRPr="002F5F97">
        <w:t>entities</w:t>
      </w:r>
      <w:r w:rsidR="005565D4">
        <w:t>’</w:t>
      </w:r>
      <w:r w:rsidRPr="002F5F97">
        <w:t xml:space="preserve"> attitude</w:t>
      </w:r>
      <w:r w:rsidR="00CB0F4A">
        <w:t>s</w:t>
      </w:r>
      <w:r w:rsidRPr="002F5F97">
        <w:t xml:space="preserve"> to compliance and take appropriate regulatory action. Entities can expect the Regulator to have a focus on </w:t>
      </w:r>
      <w:r w:rsidR="00A05A5C">
        <w:t xml:space="preserve">both </w:t>
      </w:r>
      <w:r w:rsidRPr="002F5F97">
        <w:t xml:space="preserve">the </w:t>
      </w:r>
      <w:r w:rsidR="00FC4BF6">
        <w:t>f</w:t>
      </w:r>
      <w:r w:rsidR="00FC4BF6" w:rsidRPr="002F5F97">
        <w:t xml:space="preserve">ast </w:t>
      </w:r>
      <w:r w:rsidR="00834687">
        <w:t>s</w:t>
      </w:r>
      <w:r w:rsidR="00FC4BF6" w:rsidRPr="002F5F97">
        <w:t xml:space="preserve">mall </w:t>
      </w:r>
      <w:r w:rsidR="00834687">
        <w:t>b</w:t>
      </w:r>
      <w:r w:rsidR="00FC4BF6" w:rsidRPr="002F5F97">
        <w:t xml:space="preserve">usiness </w:t>
      </w:r>
      <w:r w:rsidR="00834687">
        <w:t>p</w:t>
      </w:r>
      <w:r w:rsidR="00FC4BF6" w:rsidRPr="002F5F97">
        <w:t xml:space="preserve">ayer and </w:t>
      </w:r>
      <w:r w:rsidR="00A05A5C">
        <w:t>s</w:t>
      </w:r>
      <w:r w:rsidR="00FC4BF6" w:rsidRPr="002F5F97">
        <w:t xml:space="preserve">low </w:t>
      </w:r>
      <w:r w:rsidR="00A05A5C">
        <w:t>s</w:t>
      </w:r>
      <w:r w:rsidR="00FC4BF6" w:rsidRPr="002F5F97">
        <w:t xml:space="preserve">mall </w:t>
      </w:r>
      <w:r w:rsidR="00A05A5C">
        <w:t>b</w:t>
      </w:r>
      <w:r w:rsidR="00FC4BF6" w:rsidRPr="002F5F97">
        <w:t xml:space="preserve">usiness </w:t>
      </w:r>
      <w:r w:rsidR="00A05A5C">
        <w:t>p</w:t>
      </w:r>
      <w:r w:rsidR="00FC4BF6" w:rsidRPr="002F5F97">
        <w:t xml:space="preserve">ayer </w:t>
      </w:r>
      <w:r w:rsidRPr="002F5F97">
        <w:t>incentives.</w:t>
      </w:r>
    </w:p>
    <w:p w14:paraId="24F3A46D" w14:textId="27FF9ECF" w:rsidR="001B18F3" w:rsidRDefault="00171012" w:rsidP="00E120E1">
      <w:r w:rsidRPr="002F5F97">
        <w:t xml:space="preserve">Regulatory action will be taken where entities misrepresent themselves as fast small business payers or do not comply with slow small business payer directions. </w:t>
      </w:r>
    </w:p>
    <w:p w14:paraId="02D1335F" w14:textId="77777777" w:rsidR="00605411" w:rsidRPr="002F5F97" w:rsidRDefault="00605411" w:rsidP="00605411">
      <w:pPr>
        <w:pStyle w:val="SingleParagraph"/>
      </w:pPr>
    </w:p>
    <w:tbl>
      <w:tblPr>
        <w:tblW w:w="5000" w:type="pct"/>
        <w:shd w:val="clear" w:color="auto" w:fill="CCDCDB"/>
        <w:tblCellMar>
          <w:top w:w="57" w:type="dxa"/>
          <w:left w:w="284" w:type="dxa"/>
          <w:bottom w:w="170" w:type="dxa"/>
          <w:right w:w="284" w:type="dxa"/>
        </w:tblCellMar>
        <w:tblLook w:val="01E0" w:firstRow="1" w:lastRow="1" w:firstColumn="1" w:lastColumn="1" w:noHBand="0" w:noVBand="0"/>
      </w:tblPr>
      <w:tblGrid>
        <w:gridCol w:w="8504"/>
      </w:tblGrid>
      <w:tr w:rsidR="00605411" w:rsidRPr="005D0129" w14:paraId="22C3FD58" w14:textId="77777777" w:rsidTr="00674CE0">
        <w:tc>
          <w:tcPr>
            <w:tcW w:w="5000" w:type="pct"/>
            <w:shd w:val="clear" w:color="auto" w:fill="E5EDED"/>
          </w:tcPr>
          <w:p w14:paraId="295FC75F" w14:textId="033A2745" w:rsidR="00605411" w:rsidRPr="005D0129" w:rsidRDefault="00605411">
            <w:pPr>
              <w:pStyle w:val="BoxHeading-Greenbox"/>
            </w:pPr>
            <w:r w:rsidRPr="005D0129">
              <w:rPr>
                <w:noProof/>
              </w:rPr>
              <w:drawing>
                <wp:anchor distT="0" distB="0" distL="114300" distR="114300" simplePos="0" relativeHeight="251658249" behindDoc="0" locked="0" layoutInCell="1" allowOverlap="1" wp14:anchorId="53DAEFBC" wp14:editId="112BE62D">
                  <wp:simplePos x="0" y="0"/>
                  <wp:positionH relativeFrom="column">
                    <wp:posOffset>4274990</wp:posOffset>
                  </wp:positionH>
                  <wp:positionV relativeFrom="paragraph">
                    <wp:posOffset>60960</wp:posOffset>
                  </wp:positionV>
                  <wp:extent cx="819150" cy="719455"/>
                  <wp:effectExtent l="0" t="0" r="0" b="0"/>
                  <wp:wrapSquare wrapText="bothSides"/>
                  <wp:docPr id="1956376668"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6794" name="Graphic 6">
                            <a:extLst>
                              <a:ext uri="{C183D7F6-B498-43B3-948B-1728B52AA6E4}">
                                <adec:decorative xmlns:adec="http://schemas.microsoft.com/office/drawing/2017/decorative" val="1"/>
                              </a:ext>
                            </a:extLst>
                          </pic:cNvPr>
                          <pic:cNvPicPr/>
                        </pic:nvPicPr>
                        <pic:blipFill>
                          <a:blip r:embed="rId126">
                            <a:extLst>
                              <a:ext uri="{96DAC541-7B7A-43D3-8B79-37D633B846F1}">
                                <asvg:svgBlip xmlns:asvg="http://schemas.microsoft.com/office/drawing/2016/SVG/main" r:embed="rId127"/>
                              </a:ext>
                            </a:extLst>
                          </a:blip>
                          <a:srcRect t="6066" b="6066"/>
                          <a:stretch>
                            <a:fillRect/>
                          </a:stretch>
                        </pic:blipFill>
                        <pic:spPr bwMode="auto">
                          <a:xfrm>
                            <a:off x="0" y="0"/>
                            <a:ext cx="819150" cy="71945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129">
              <w:t>Noticed something unusual?</w:t>
            </w:r>
          </w:p>
          <w:p w14:paraId="5A7056EF" w14:textId="09259EE4" w:rsidR="00605411" w:rsidRPr="005D0129" w:rsidRDefault="00605411">
            <w:pPr>
              <w:pStyle w:val="BoxText"/>
            </w:pPr>
            <w:r w:rsidRPr="005D0129">
              <w:t>If you suspect that a</w:t>
            </w:r>
            <w:r w:rsidR="00A05A5C">
              <w:t>n</w:t>
            </w:r>
            <w:r w:rsidRPr="005D0129">
              <w:t xml:space="preserve"> entity has incorrectly represented itself as a </w:t>
            </w:r>
            <w:r w:rsidR="00A05A5C">
              <w:t>F</w:t>
            </w:r>
            <w:r w:rsidRPr="005D0129">
              <w:t xml:space="preserve">ast </w:t>
            </w:r>
            <w:r w:rsidR="00A05A5C">
              <w:t>S</w:t>
            </w:r>
            <w:r w:rsidRPr="005D0129">
              <w:t xml:space="preserve">mall </w:t>
            </w:r>
            <w:r w:rsidR="00A05A5C">
              <w:t>B</w:t>
            </w:r>
            <w:r w:rsidRPr="005D0129">
              <w:t xml:space="preserve">usiness </w:t>
            </w:r>
            <w:r w:rsidR="00A05A5C">
              <w:t>P</w:t>
            </w:r>
            <w:r w:rsidRPr="005D0129">
              <w:t xml:space="preserve">ayer, or an entity has failed to comply with a slow small business payer direction, report it to the Regulator by emailing us at </w:t>
            </w:r>
            <w:hyperlink r:id="rId129" w:history="1">
              <w:r w:rsidRPr="005D0129">
                <w:rPr>
                  <w:rStyle w:val="Hyperlink"/>
                </w:rPr>
                <w:t>compliance@paymenttimes.gov.au</w:t>
              </w:r>
            </w:hyperlink>
          </w:p>
        </w:tc>
      </w:tr>
    </w:tbl>
    <w:p w14:paraId="62300911" w14:textId="57C544DE" w:rsidR="000C75B7" w:rsidRPr="002F5F97" w:rsidRDefault="000C75B7">
      <w:pPr>
        <w:spacing w:before="0" w:after="160" w:line="259" w:lineRule="auto"/>
      </w:pPr>
      <w:r w:rsidRPr="002F5F97">
        <w:br w:type="page"/>
      </w:r>
    </w:p>
    <w:p w14:paraId="5CE26333" w14:textId="7A2EB8B1" w:rsidR="000C75B7" w:rsidRPr="002F5F97" w:rsidRDefault="001D3AFE" w:rsidP="000C75B7">
      <w:pPr>
        <w:pStyle w:val="ChapterHeading1"/>
      </w:pPr>
      <w:bookmarkStart w:id="38" w:name="_Toc220068376"/>
      <w:r w:rsidRPr="002F5F97">
        <w:lastRenderedPageBreak/>
        <w:t>Fast small business payer</w:t>
      </w:r>
      <w:bookmarkEnd w:id="38"/>
    </w:p>
    <w:p w14:paraId="74049475" w14:textId="026B8A1A" w:rsidR="000C75B7" w:rsidRPr="002F5F97" w:rsidRDefault="002A41FA" w:rsidP="000C75B7">
      <w:pPr>
        <w:pStyle w:val="Heading2"/>
        <w:rPr>
          <w:rFonts w:cs="Times New Roman"/>
          <w:color w:val="auto"/>
          <w:sz w:val="22"/>
          <w:szCs w:val="20"/>
        </w:rPr>
      </w:pPr>
      <w:r w:rsidRPr="002F5F97">
        <w:t xml:space="preserve">Most entities are not </w:t>
      </w:r>
      <w:r w:rsidR="007E04E8" w:rsidRPr="002F5F97">
        <w:t>fast small business payers</w:t>
      </w:r>
    </w:p>
    <w:p w14:paraId="78F91D6C" w14:textId="0AC8F8BC" w:rsidR="000C75B7" w:rsidRPr="002F5F97" w:rsidRDefault="00BB3C86" w:rsidP="0096740A">
      <w:r w:rsidRPr="002F5F97">
        <w:t>The Fast Small Business Payer List (</w:t>
      </w:r>
      <w:r w:rsidRPr="00140E47">
        <w:rPr>
          <w:b/>
          <w:bCs/>
        </w:rPr>
        <w:t>the List</w:t>
      </w:r>
      <w:r w:rsidRPr="002F5F97">
        <w:t xml:space="preserve">) is a reputational incentive under the Scheme. It recognises large businesses that consistently pay their small business suppliers promptly. </w:t>
      </w:r>
      <w:r w:rsidRPr="00DD65B9">
        <w:t xml:space="preserve">The List is publicly available on the </w:t>
      </w:r>
      <w:hyperlink r:id="rId130" w:history="1">
        <w:r w:rsidRPr="00AE269E">
          <w:rPr>
            <w:rStyle w:val="Hyperlink"/>
          </w:rPr>
          <w:t>Payment Times Report</w:t>
        </w:r>
        <w:r w:rsidR="00DA585E" w:rsidRPr="00AE269E">
          <w:rPr>
            <w:rStyle w:val="Hyperlink"/>
          </w:rPr>
          <w:t>s</w:t>
        </w:r>
        <w:r w:rsidRPr="00AE269E">
          <w:rPr>
            <w:rStyle w:val="Hyperlink"/>
          </w:rPr>
          <w:t xml:space="preserve"> Register</w:t>
        </w:r>
      </w:hyperlink>
      <w:r w:rsidRPr="002F5F97">
        <w:t>, providing visibility and transparency o</w:t>
      </w:r>
      <w:r w:rsidR="002A5A6D" w:rsidRPr="002F5F97">
        <w:t>n</w:t>
      </w:r>
      <w:r w:rsidRPr="002F5F97">
        <w:t xml:space="preserve"> fast, high</w:t>
      </w:r>
      <w:r w:rsidR="005D0129">
        <w:noBreakHyphen/>
      </w:r>
      <w:r w:rsidRPr="002F5F97">
        <w:t>performing small business payers, while encouraging broader adoption of faster payment practices.</w:t>
      </w:r>
    </w:p>
    <w:p w14:paraId="520BDD20" w14:textId="7977C7D9" w:rsidR="0096740A" w:rsidRPr="002F5F97" w:rsidRDefault="002F526F" w:rsidP="0096740A">
      <w:pPr>
        <w:pStyle w:val="Heading3"/>
        <w:rPr>
          <w:rFonts w:cs="Times New Roman"/>
          <w:iCs/>
          <w:color w:val="auto"/>
          <w:kern w:val="0"/>
          <w:sz w:val="22"/>
          <w:szCs w:val="20"/>
        </w:rPr>
      </w:pPr>
      <w:r w:rsidRPr="002F5F97">
        <w:t>How to qualify for the fast small business payer recognition</w:t>
      </w:r>
    </w:p>
    <w:p w14:paraId="1736A2D7" w14:textId="683FE600" w:rsidR="002526BB" w:rsidRPr="002F5F97" w:rsidRDefault="002526BB" w:rsidP="002526BB">
      <w:r w:rsidRPr="002F5F97">
        <w:t xml:space="preserve">To be included on the List, an entity must meet </w:t>
      </w:r>
      <w:r w:rsidRPr="002F5F97">
        <w:rPr>
          <w:b/>
          <w:bCs/>
        </w:rPr>
        <w:t>all</w:t>
      </w:r>
      <w:r w:rsidRPr="002F5F97">
        <w:t xml:space="preserve"> the following criteria: </w:t>
      </w:r>
    </w:p>
    <w:p w14:paraId="2611E341" w14:textId="0C5BCF09" w:rsidR="002526BB" w:rsidRPr="002F5F97" w:rsidRDefault="002526BB" w:rsidP="002526BB">
      <w:pPr>
        <w:pStyle w:val="Bullet"/>
      </w:pPr>
      <w:r w:rsidRPr="002F5F97">
        <w:tab/>
        <w:t>be a reporting entity or reporting nominee, as defined under sections</w:t>
      </w:r>
      <w:r w:rsidR="0008423A">
        <w:t> </w:t>
      </w:r>
      <w:r w:rsidRPr="002F5F97">
        <w:t>7</w:t>
      </w:r>
      <w:r w:rsidR="0008423A">
        <w:t> </w:t>
      </w:r>
      <w:r w:rsidRPr="002F5F97">
        <w:t>and</w:t>
      </w:r>
      <w:r w:rsidR="0008423A">
        <w:t> </w:t>
      </w:r>
      <w:r w:rsidRPr="002F5F97">
        <w:t>10L</w:t>
      </w:r>
      <w:r w:rsidR="0008423A">
        <w:t> </w:t>
      </w:r>
      <w:r w:rsidRPr="002F5F97">
        <w:t>respectively of the Act, and</w:t>
      </w:r>
    </w:p>
    <w:p w14:paraId="17480397" w14:textId="3837FC25" w:rsidR="002526BB" w:rsidRPr="002F5F97" w:rsidRDefault="002526BB" w:rsidP="002526BB">
      <w:pPr>
        <w:pStyle w:val="Bullet"/>
      </w:pPr>
      <w:r w:rsidRPr="002F5F97">
        <w:tab/>
        <w:t>have submitted two consecutive payment times reports, with each showing a</w:t>
      </w:r>
      <w:r w:rsidR="00F15D2C">
        <w:t> </w:t>
      </w:r>
      <w:r w:rsidRPr="002F5F97">
        <w:t>95</w:t>
      </w:r>
      <w:r w:rsidRPr="0008423A">
        <w:t>th</w:t>
      </w:r>
      <w:r w:rsidR="0008423A">
        <w:t> </w:t>
      </w:r>
      <w:r w:rsidRPr="002F5F97">
        <w:t>percentile payment time of 20</w:t>
      </w:r>
      <w:r w:rsidR="0008423A">
        <w:t> </w:t>
      </w:r>
      <w:r w:rsidRPr="002F5F97">
        <w:t>days or less, and</w:t>
      </w:r>
    </w:p>
    <w:p w14:paraId="2C2EE4A6" w14:textId="6E7FAA0E" w:rsidR="0096740A" w:rsidRPr="002F5F97" w:rsidRDefault="002526BB" w:rsidP="002526BB">
      <w:pPr>
        <w:pStyle w:val="Bullet"/>
      </w:pPr>
      <w:r w:rsidRPr="002F5F97">
        <w:tab/>
        <w:t xml:space="preserve">the end date of the most recent reporting period is not more than </w:t>
      </w:r>
      <w:r w:rsidR="00506008">
        <w:t>9</w:t>
      </w:r>
      <w:r w:rsidR="00F15D2C">
        <w:t> </w:t>
      </w:r>
      <w:r w:rsidRPr="002F5F97">
        <w:t>months</w:t>
      </w:r>
      <w:r w:rsidR="00F15D2C">
        <w:t> </w:t>
      </w:r>
      <w:r w:rsidRPr="002F5F97">
        <w:t>old.</w:t>
      </w:r>
    </w:p>
    <w:p w14:paraId="113897A6" w14:textId="6B7E35EA" w:rsidR="002F526F" w:rsidRPr="002F5F97" w:rsidRDefault="002F526F" w:rsidP="002F526F">
      <w:pPr>
        <w:pStyle w:val="Heading3"/>
        <w:rPr>
          <w:rFonts w:cs="Times New Roman"/>
          <w:iCs/>
          <w:color w:val="auto"/>
          <w:kern w:val="0"/>
          <w:sz w:val="22"/>
          <w:szCs w:val="20"/>
        </w:rPr>
      </w:pPr>
      <w:r w:rsidRPr="002F5F97">
        <w:t xml:space="preserve">Where are the most and fewest potential fast </w:t>
      </w:r>
      <w:r w:rsidR="006758BE" w:rsidRPr="002F5F97">
        <w:t>small busi</w:t>
      </w:r>
      <w:r w:rsidR="00E04AA2" w:rsidRPr="002F5F97">
        <w:t>ness</w:t>
      </w:r>
      <w:r w:rsidR="0042295E">
        <w:t> </w:t>
      </w:r>
      <w:r w:rsidRPr="002F5F97">
        <w:t>payers</w:t>
      </w:r>
      <w:r w:rsidR="00A94C9B" w:rsidRPr="002F5F97">
        <w:t>?</w:t>
      </w:r>
    </w:p>
    <w:p w14:paraId="2BD14006" w14:textId="1D745BA8" w:rsidR="00150666" w:rsidRDefault="00C43E6C" w:rsidP="002F526F">
      <w:r w:rsidRPr="002F5F97">
        <w:t>As at 31 December 2025</w:t>
      </w:r>
      <w:r w:rsidR="00574849" w:rsidRPr="002F5F97">
        <w:t xml:space="preserve">: </w:t>
      </w:r>
    </w:p>
    <w:p w14:paraId="5872CDB3" w14:textId="2DF71D41" w:rsidR="00150666" w:rsidRPr="002F5F97" w:rsidRDefault="00150666" w:rsidP="002F526F">
      <w:r>
        <w:rPr>
          <w:noProof/>
        </w:rPr>
        <w:drawing>
          <wp:inline distT="0" distB="0" distL="0" distR="0" wp14:anchorId="7C2A2458" wp14:editId="16F9F1C7">
            <wp:extent cx="5081026" cy="1106426"/>
            <wp:effectExtent l="0" t="0" r="5715" b="0"/>
            <wp:docPr id="561337197" name="Picture 5" descr="Across all industries only 2.3% qualify as a fast small business p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37197" name="Picture 5" descr="Across all industries only 2.3% qualify as a fast small business payer"/>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19B5B971" w14:textId="77777777" w:rsidR="00387439" w:rsidRDefault="00387439" w:rsidP="00150666">
      <w:pPr>
        <w:pStyle w:val="SingleParagraph"/>
      </w:pPr>
    </w:p>
    <w:p w14:paraId="563FD841" w14:textId="6BE69730" w:rsidR="00980A82" w:rsidRDefault="00980A82" w:rsidP="00150666">
      <w:pPr>
        <w:pStyle w:val="SingleParagraph"/>
      </w:pPr>
      <w:r>
        <w:t>In the</w:t>
      </w:r>
      <w:r w:rsidR="00510538">
        <w:t xml:space="preserve"> </w:t>
      </w:r>
      <w:r w:rsidR="00510538" w:rsidRPr="001A250A">
        <w:rPr>
          <w:b/>
          <w:bCs/>
        </w:rPr>
        <w:t>Information Media and Telecommunications</w:t>
      </w:r>
      <w:r w:rsidR="00510538">
        <w:t xml:space="preserve"> and </w:t>
      </w:r>
      <w:r w:rsidR="00510538" w:rsidRPr="001A250A">
        <w:rPr>
          <w:b/>
          <w:bCs/>
        </w:rPr>
        <w:t>Health</w:t>
      </w:r>
      <w:r w:rsidR="00D61CF3" w:rsidRPr="001A250A">
        <w:rPr>
          <w:b/>
          <w:bCs/>
        </w:rPr>
        <w:t xml:space="preserve"> Care and Social Assistance</w:t>
      </w:r>
      <w:r w:rsidR="00D61CF3">
        <w:t xml:space="preserve"> </w:t>
      </w:r>
      <w:r w:rsidR="001A250A">
        <w:t xml:space="preserve">industries: </w:t>
      </w:r>
    </w:p>
    <w:p w14:paraId="3E071ADC" w14:textId="77777777" w:rsidR="00980A82" w:rsidRDefault="00980A82" w:rsidP="00150666">
      <w:pPr>
        <w:pStyle w:val="SingleParagraph"/>
      </w:pPr>
    </w:p>
    <w:p w14:paraId="38B4FD20" w14:textId="0C9851BF" w:rsidR="00695F91" w:rsidRDefault="00150666" w:rsidP="00B3544B">
      <w:pPr>
        <w:pStyle w:val="DoubleDot"/>
        <w:numPr>
          <w:ilvl w:val="0"/>
          <w:numId w:val="0"/>
        </w:numPr>
      </w:pPr>
      <w:r>
        <w:rPr>
          <w:noProof/>
        </w:rPr>
        <w:drawing>
          <wp:inline distT="0" distB="0" distL="0" distR="0" wp14:anchorId="48C10866" wp14:editId="46932B89">
            <wp:extent cx="5081026" cy="1322835"/>
            <wp:effectExtent l="0" t="0" r="5715" b="0"/>
            <wp:docPr id="1151185444" name="Picture 6" descr="0% meet the criteria for fast small business payers in the information media &amp; telecommunications industry and the health care and social assistanc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85444" name="Picture 6" descr="0% meet the criteria for fast small business payers in the information media &amp; telecommunications industry and the health care and social assistance industry"/>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081026" cy="1322835"/>
                    </a:xfrm>
                    <a:prstGeom prst="rect">
                      <a:avLst/>
                    </a:prstGeom>
                  </pic:spPr>
                </pic:pic>
              </a:graphicData>
            </a:graphic>
          </wp:inline>
        </w:drawing>
      </w:r>
    </w:p>
    <w:p w14:paraId="4B34503C" w14:textId="77777777" w:rsidR="00B3544B" w:rsidRDefault="00B3544B" w:rsidP="00B3544B">
      <w:pPr>
        <w:pStyle w:val="SingleParagraph"/>
      </w:pPr>
    </w:p>
    <w:p w14:paraId="76BAA1B4" w14:textId="6927D8CC" w:rsidR="0042295E" w:rsidRPr="002F5F97" w:rsidRDefault="0042295E" w:rsidP="000C75B7">
      <w:pPr>
        <w:pStyle w:val="DoubleDot"/>
        <w:numPr>
          <w:ilvl w:val="0"/>
          <w:numId w:val="0"/>
        </w:numPr>
      </w:pPr>
      <w:r w:rsidRPr="002F5F97">
        <w:t xml:space="preserve">These results highlight there is </w:t>
      </w:r>
      <w:r w:rsidRPr="002F5F97">
        <w:rPr>
          <w:b/>
          <w:bCs/>
        </w:rPr>
        <w:t>significant room for improvement</w:t>
      </w:r>
      <w:r w:rsidRPr="002F5F97">
        <w:t xml:space="preserve"> across all industries.</w:t>
      </w:r>
    </w:p>
    <w:p w14:paraId="62F6641E" w14:textId="77777777" w:rsidR="006832F8" w:rsidRPr="002F5F97" w:rsidRDefault="006832F8">
      <w:pPr>
        <w:spacing w:before="0" w:after="160" w:line="259" w:lineRule="auto"/>
      </w:pPr>
      <w:r w:rsidRPr="002F5F97">
        <w:br w:type="page"/>
      </w:r>
    </w:p>
    <w:p w14:paraId="188E903E" w14:textId="2C064DCF" w:rsidR="00A94C9B" w:rsidRPr="001A563B" w:rsidRDefault="006832F8" w:rsidP="001A563B">
      <w:pPr>
        <w:pStyle w:val="Heading3"/>
      </w:pPr>
      <w:r w:rsidRPr="001A563B">
        <w:lastRenderedPageBreak/>
        <w:t xml:space="preserve">Stretch </w:t>
      </w:r>
      <w:r w:rsidR="00ED5641" w:rsidRPr="001A563B">
        <w:t>g</w:t>
      </w:r>
      <w:r w:rsidRPr="001A563B">
        <w:t xml:space="preserve">oal – </w:t>
      </w:r>
      <w:r w:rsidR="0067606C">
        <w:t xml:space="preserve">to have </w:t>
      </w:r>
      <w:r w:rsidRPr="001A563B">
        <w:t>90</w:t>
      </w:r>
      <w:r w:rsidR="00CA4DD7">
        <w:t> </w:t>
      </w:r>
      <w:r w:rsidRPr="001A563B">
        <w:t>per</w:t>
      </w:r>
      <w:r w:rsidR="00CA4DD7">
        <w:t> </w:t>
      </w:r>
      <w:r w:rsidRPr="001A563B">
        <w:t>cent of entities within an industry qualify as fast small business payer</w:t>
      </w:r>
      <w:r w:rsidR="00C70CFD">
        <w:t>s</w:t>
      </w:r>
    </w:p>
    <w:p w14:paraId="0B963D46" w14:textId="380DE34A" w:rsidR="003D07B7" w:rsidRPr="002F5F97" w:rsidRDefault="003D07B7" w:rsidP="0042295E">
      <w:r w:rsidRPr="002F5F97">
        <w:t xml:space="preserve">To see at </w:t>
      </w:r>
      <w:r w:rsidRPr="0042295E">
        <w:t>least</w:t>
      </w:r>
      <w:r w:rsidRPr="002F5F97">
        <w:t xml:space="preserve"> 90</w:t>
      </w:r>
      <w:r w:rsidR="0042295E">
        <w:t> </w:t>
      </w:r>
      <w:r w:rsidRPr="002F5F97">
        <w:t>per</w:t>
      </w:r>
      <w:r w:rsidR="0042295E">
        <w:t> </w:t>
      </w:r>
      <w:r w:rsidRPr="002F5F97">
        <w:t xml:space="preserve">cent of eligible entities in an industry have a </w:t>
      </w:r>
      <w:r w:rsidRPr="002F5F97">
        <w:rPr>
          <w:b/>
          <w:bCs/>
        </w:rPr>
        <w:t>qualifying payment time of 20</w:t>
      </w:r>
      <w:r w:rsidR="0042295E">
        <w:rPr>
          <w:b/>
          <w:bCs/>
        </w:rPr>
        <w:t> </w:t>
      </w:r>
      <w:r w:rsidRPr="002F5F97">
        <w:rPr>
          <w:b/>
          <w:bCs/>
        </w:rPr>
        <w:t>days or less</w:t>
      </w:r>
      <w:r w:rsidRPr="002F5F97">
        <w:t>, a substantial reduction in the number of days taken to pay 95</w:t>
      </w:r>
      <w:r w:rsidR="0042295E">
        <w:t> </w:t>
      </w:r>
      <w:r w:rsidRPr="002F5F97">
        <w:t>per</w:t>
      </w:r>
      <w:r w:rsidR="0042295E">
        <w:t> </w:t>
      </w:r>
      <w:r w:rsidRPr="002F5F97">
        <w:t>cent of small business invoices (95</w:t>
      </w:r>
      <w:r w:rsidRPr="0042295E">
        <w:t>th</w:t>
      </w:r>
      <w:r w:rsidRPr="002F5F97">
        <w:t xml:space="preserve"> percentile payment times) is required:</w:t>
      </w:r>
    </w:p>
    <w:p w14:paraId="1DB94DEB" w14:textId="70960ADA" w:rsidR="003D07B7" w:rsidRPr="002F5F97" w:rsidRDefault="003D07B7" w:rsidP="007E6950">
      <w:pPr>
        <w:pStyle w:val="Bullet"/>
      </w:pPr>
      <w:r w:rsidRPr="002F5F97">
        <w:t xml:space="preserve">The </w:t>
      </w:r>
      <w:r w:rsidR="00C84D79">
        <w:rPr>
          <w:b/>
          <w:bCs/>
        </w:rPr>
        <w:t>F</w:t>
      </w:r>
      <w:r w:rsidRPr="002F5F97">
        <w:rPr>
          <w:b/>
          <w:bCs/>
        </w:rPr>
        <w:t xml:space="preserve">inancial and </w:t>
      </w:r>
      <w:r w:rsidR="00F7250B">
        <w:rPr>
          <w:b/>
          <w:bCs/>
        </w:rPr>
        <w:t>I</w:t>
      </w:r>
      <w:r w:rsidRPr="002F5F97">
        <w:rPr>
          <w:b/>
          <w:bCs/>
        </w:rPr>
        <w:t>nsurance</w:t>
      </w:r>
      <w:r w:rsidR="00F7250B">
        <w:rPr>
          <w:b/>
          <w:bCs/>
        </w:rPr>
        <w:t xml:space="preserve"> </w:t>
      </w:r>
      <w:r w:rsidR="00DA611A">
        <w:rPr>
          <w:b/>
          <w:bCs/>
        </w:rPr>
        <w:t>Services</w:t>
      </w:r>
      <w:r w:rsidRPr="002F5F97">
        <w:t xml:space="preserve"> industry is </w:t>
      </w:r>
      <w:r w:rsidR="00C7492D">
        <w:t xml:space="preserve">the </w:t>
      </w:r>
      <w:r w:rsidRPr="002F5F97">
        <w:t>closest</w:t>
      </w:r>
      <w:r w:rsidR="00C7492D">
        <w:t xml:space="preserve">, </w:t>
      </w:r>
      <w:r w:rsidR="00DB0CEF">
        <w:t>needing</w:t>
      </w:r>
      <w:r w:rsidRPr="002F5F97">
        <w:t xml:space="preserve"> a reduction of</w:t>
      </w:r>
      <w:r w:rsidR="001A563B">
        <w:t> </w:t>
      </w:r>
      <w:r w:rsidRPr="002F5F97">
        <w:t>48</w:t>
      </w:r>
      <w:r w:rsidR="0042295E">
        <w:t> </w:t>
      </w:r>
      <w:r w:rsidRPr="002F5F97">
        <w:t>days.</w:t>
      </w:r>
    </w:p>
    <w:p w14:paraId="68EEFFA5" w14:textId="2FC31C36" w:rsidR="003D07B7" w:rsidRPr="002F5F97" w:rsidRDefault="003D07B7" w:rsidP="002444E9">
      <w:pPr>
        <w:pStyle w:val="Bullet"/>
      </w:pPr>
      <w:r w:rsidRPr="002F5F97">
        <w:t xml:space="preserve">The </w:t>
      </w:r>
      <w:r w:rsidR="00DA611A">
        <w:rPr>
          <w:b/>
          <w:bCs/>
        </w:rPr>
        <w:t>E</w:t>
      </w:r>
      <w:r w:rsidRPr="002F5F97">
        <w:rPr>
          <w:b/>
          <w:bCs/>
        </w:rPr>
        <w:t xml:space="preserve">ducation and </w:t>
      </w:r>
      <w:r w:rsidR="00DA611A">
        <w:rPr>
          <w:b/>
          <w:bCs/>
        </w:rPr>
        <w:t>T</w:t>
      </w:r>
      <w:r w:rsidRPr="002F5F97">
        <w:rPr>
          <w:b/>
          <w:bCs/>
        </w:rPr>
        <w:t>raining</w:t>
      </w:r>
      <w:r w:rsidRPr="002F5F97">
        <w:t xml:space="preserve"> industry is </w:t>
      </w:r>
      <w:r w:rsidR="00DB0CEF">
        <w:t xml:space="preserve">the </w:t>
      </w:r>
      <w:r w:rsidRPr="002F5F97">
        <w:t>furthest</w:t>
      </w:r>
      <w:r w:rsidR="00C7492D">
        <w:t>,</w:t>
      </w:r>
      <w:r w:rsidRPr="002F5F97">
        <w:t xml:space="preserve"> </w:t>
      </w:r>
      <w:r w:rsidR="00C7492D">
        <w:t>needing</w:t>
      </w:r>
      <w:r w:rsidRPr="002F5F97">
        <w:t xml:space="preserve"> a reduction of 103</w:t>
      </w:r>
      <w:r w:rsidR="0042295E">
        <w:t> </w:t>
      </w:r>
      <w:r w:rsidRPr="002F5F97">
        <w:t>days.</w:t>
      </w:r>
    </w:p>
    <w:p w14:paraId="2E923C65" w14:textId="3D764022" w:rsidR="00A94C9B" w:rsidRPr="002F5F97" w:rsidRDefault="001E502D" w:rsidP="003D07B7">
      <w:pPr>
        <w:pStyle w:val="DoubleDot"/>
        <w:numPr>
          <w:ilvl w:val="0"/>
          <w:numId w:val="0"/>
        </w:numPr>
      </w:pPr>
      <w:r>
        <w:t>D</w:t>
      </w:r>
      <w:r w:rsidR="003D07B7" w:rsidRPr="002F5F97">
        <w:t>ata from Reporting Cycle 9 shows that most entities are not yet close to having a qualifying payment time of 20</w:t>
      </w:r>
      <w:r w:rsidR="0042295E">
        <w:t> </w:t>
      </w:r>
      <w:r w:rsidR="003D07B7" w:rsidRPr="002F5F97">
        <w:t>days or less. Achieving a 95</w:t>
      </w:r>
      <w:r w:rsidR="003D07B7" w:rsidRPr="00882BFD">
        <w:t>th</w:t>
      </w:r>
      <w:r w:rsidR="00882BFD" w:rsidRPr="00882BFD">
        <w:t> </w:t>
      </w:r>
      <w:r w:rsidR="003D07B7" w:rsidRPr="002F5F97">
        <w:t>percentile payment time of</w:t>
      </w:r>
      <w:r w:rsidR="001A563B">
        <w:t> </w:t>
      </w:r>
      <w:r w:rsidR="003D07B7" w:rsidRPr="002F5F97">
        <w:t>20</w:t>
      </w:r>
      <w:r w:rsidR="00AF4431" w:rsidRPr="002F5F97">
        <w:t> </w:t>
      </w:r>
      <w:r w:rsidR="003D07B7" w:rsidRPr="002F5F97">
        <w:t>days or less require</w:t>
      </w:r>
      <w:r>
        <w:t>s</w:t>
      </w:r>
      <w:r w:rsidR="003D07B7" w:rsidRPr="002F5F97">
        <w:t xml:space="preserve"> significant improvements in payment practices across the</w:t>
      </w:r>
      <w:r w:rsidR="001A563B">
        <w:t> </w:t>
      </w:r>
      <w:r w:rsidR="003D07B7" w:rsidRPr="002F5F97">
        <w:t>board.</w:t>
      </w:r>
    </w:p>
    <w:p w14:paraId="58F7D8FE" w14:textId="77777777" w:rsidR="000B1BBA" w:rsidRPr="002F5F97" w:rsidRDefault="00875F3A" w:rsidP="000C75B7">
      <w:pPr>
        <w:pStyle w:val="TableMainHeading"/>
      </w:pPr>
      <w:r w:rsidRPr="002F5F97">
        <w:t>Table 3: Percentage of potential fast small business payers by industry</w:t>
      </w:r>
    </w:p>
    <w:p w14:paraId="07EAB777" w14:textId="729114A5" w:rsidR="000C75B7" w:rsidRDefault="000C75B7" w:rsidP="00C07C3B">
      <w:pPr>
        <w:pStyle w:val="ChartorTableNote"/>
      </w:pPr>
    </w:p>
    <w:tbl>
      <w:tblPr>
        <w:tblStyle w:val="TableGrid"/>
        <w:tblW w:w="5000" w:type="pct"/>
        <w:tblLayout w:type="fixed"/>
        <w:tblLook w:val="04A0" w:firstRow="1" w:lastRow="0" w:firstColumn="1" w:lastColumn="0" w:noHBand="0" w:noVBand="1"/>
      </w:tblPr>
      <w:tblGrid>
        <w:gridCol w:w="3828"/>
        <w:gridCol w:w="1559"/>
        <w:gridCol w:w="1842"/>
        <w:gridCol w:w="1275"/>
      </w:tblGrid>
      <w:tr w:rsidR="007516C0" w:rsidRPr="005D0129" w14:paraId="6F41E316" w14:textId="77777777" w:rsidTr="00B956EE">
        <w:trPr>
          <w:cnfStyle w:val="100000000000" w:firstRow="1" w:lastRow="0" w:firstColumn="0" w:lastColumn="0" w:oddVBand="0" w:evenVBand="0" w:oddHBand="0" w:evenHBand="0" w:firstRowFirstColumn="0" w:firstRowLastColumn="0" w:lastRowFirstColumn="0" w:lastRowLastColumn="0"/>
          <w:trHeight w:val="20"/>
        </w:trPr>
        <w:tc>
          <w:tcPr>
            <w:tcW w:w="3828" w:type="dxa"/>
            <w:vMerge w:val="restart"/>
            <w:shd w:val="clear" w:color="auto" w:fill="004F4D" w:themeFill="text2"/>
            <w:tcMar>
              <w:top w:w="108" w:type="dxa"/>
              <w:bottom w:w="108" w:type="dxa"/>
            </w:tcMar>
            <w:vAlign w:val="center"/>
            <w:hideMark/>
          </w:tcPr>
          <w:p w14:paraId="58E1BEF8" w14:textId="3E21863E" w:rsidR="00F00463" w:rsidRDefault="007516C0" w:rsidP="002444E9">
            <w:pPr>
              <w:pStyle w:val="TableColumnHeadingLeft"/>
            </w:pPr>
            <w:r w:rsidRPr="005D0129">
              <w:t>Industry</w:t>
            </w:r>
          </w:p>
          <w:p w14:paraId="7CB49F99" w14:textId="10CC8E2C" w:rsidR="007516C0" w:rsidRPr="005D0129" w:rsidRDefault="007516C0" w:rsidP="002444E9">
            <w:pPr>
              <w:pStyle w:val="TableColumnHeadingLeft"/>
            </w:pPr>
            <w:r w:rsidRPr="005D0129">
              <w:t>Ranked by</w:t>
            </w:r>
            <w:r w:rsidR="00FB34DB">
              <w:t xml:space="preserve"> potential</w:t>
            </w:r>
            <w:r w:rsidRPr="005D0129">
              <w:t xml:space="preserve"> fast payer</w:t>
            </w:r>
            <w:r w:rsidR="00B956EE">
              <w:t>s</w:t>
            </w:r>
          </w:p>
        </w:tc>
        <w:tc>
          <w:tcPr>
            <w:tcW w:w="1559" w:type="dxa"/>
            <w:vMerge w:val="restart"/>
            <w:shd w:val="clear" w:color="auto" w:fill="004F4D" w:themeFill="text2"/>
            <w:tcMar>
              <w:top w:w="108" w:type="dxa"/>
              <w:bottom w:w="108" w:type="dxa"/>
            </w:tcMar>
            <w:vAlign w:val="bottom"/>
            <w:hideMark/>
          </w:tcPr>
          <w:p w14:paraId="385BA625" w14:textId="3B88BA6F" w:rsidR="007516C0" w:rsidRPr="005D0129" w:rsidRDefault="007F13B4" w:rsidP="00B956EE">
            <w:pPr>
              <w:pStyle w:val="TableColumnHeadingLeft"/>
              <w:jc w:val="right"/>
            </w:pPr>
            <w:r>
              <w:t>Potential</w:t>
            </w:r>
            <w:r w:rsidR="00B956EE">
              <w:br/>
            </w:r>
            <w:r>
              <w:t>f</w:t>
            </w:r>
            <w:r w:rsidR="007516C0" w:rsidRPr="005D0129">
              <w:t>ast payers</w:t>
            </w:r>
            <w:r w:rsidR="00810B80">
              <w:br/>
            </w:r>
            <w:r w:rsidR="00830C1A" w:rsidRPr="005D0129">
              <w:t xml:space="preserve"> </w:t>
            </w:r>
            <w:r w:rsidR="007516C0" w:rsidRPr="005D0129">
              <w:t>(%)</w:t>
            </w:r>
          </w:p>
        </w:tc>
        <w:tc>
          <w:tcPr>
            <w:tcW w:w="3117" w:type="dxa"/>
            <w:gridSpan w:val="2"/>
            <w:shd w:val="clear" w:color="auto" w:fill="004F4D" w:themeFill="text2"/>
            <w:tcMar>
              <w:top w:w="108" w:type="dxa"/>
              <w:bottom w:w="108" w:type="dxa"/>
            </w:tcMar>
            <w:vAlign w:val="center"/>
            <w:hideMark/>
          </w:tcPr>
          <w:p w14:paraId="2F01B322" w14:textId="1731D626" w:rsidR="007516C0" w:rsidRPr="005D0129" w:rsidRDefault="007516C0">
            <w:pPr>
              <w:pStyle w:val="TableColumnHeadingCentred"/>
            </w:pPr>
            <w:r w:rsidRPr="005D0129">
              <w:t>Reduction in days by industry to achieve fast payer</w:t>
            </w:r>
            <w:r w:rsidRPr="005D0129">
              <w:rPr>
                <w:rStyle w:val="FootnoteReference"/>
              </w:rPr>
              <w:footnoteReference w:id="14"/>
            </w:r>
            <w:r w:rsidRPr="005D0129">
              <w:t xml:space="preserve"> of at least</w:t>
            </w:r>
          </w:p>
        </w:tc>
      </w:tr>
      <w:tr w:rsidR="007516C0" w:rsidRPr="005D0129" w14:paraId="2F8CFDCC" w14:textId="77777777" w:rsidTr="00B956EE">
        <w:trPr>
          <w:cnfStyle w:val="000000100000" w:firstRow="0" w:lastRow="0" w:firstColumn="0" w:lastColumn="0" w:oddVBand="0" w:evenVBand="0" w:oddHBand="1" w:evenHBand="0" w:firstRowFirstColumn="0" w:firstRowLastColumn="0" w:lastRowFirstColumn="0" w:lastRowLastColumn="0"/>
          <w:trHeight w:val="20"/>
        </w:trPr>
        <w:tc>
          <w:tcPr>
            <w:tcW w:w="3828" w:type="dxa"/>
            <w:vMerge/>
            <w:shd w:val="clear" w:color="auto" w:fill="004F4D" w:themeFill="text2"/>
            <w:tcMar>
              <w:top w:w="108" w:type="dxa"/>
              <w:bottom w:w="108" w:type="dxa"/>
            </w:tcMar>
            <w:hideMark/>
          </w:tcPr>
          <w:p w14:paraId="3632DA3F" w14:textId="77777777" w:rsidR="007516C0" w:rsidRPr="005D0129" w:rsidRDefault="007516C0">
            <w:pPr>
              <w:rPr>
                <w:b/>
                <w:bCs/>
              </w:rPr>
            </w:pPr>
          </w:p>
        </w:tc>
        <w:tc>
          <w:tcPr>
            <w:tcW w:w="1559" w:type="dxa"/>
            <w:vMerge/>
            <w:shd w:val="clear" w:color="auto" w:fill="004F4D" w:themeFill="text2"/>
            <w:tcMar>
              <w:top w:w="108" w:type="dxa"/>
              <w:bottom w:w="108" w:type="dxa"/>
            </w:tcMar>
            <w:vAlign w:val="center"/>
            <w:hideMark/>
          </w:tcPr>
          <w:p w14:paraId="57EB77B4" w14:textId="77777777" w:rsidR="007516C0" w:rsidRPr="005D0129" w:rsidRDefault="007516C0" w:rsidP="00B956EE">
            <w:pPr>
              <w:jc w:val="right"/>
              <w:rPr>
                <w:b/>
                <w:bCs/>
              </w:rPr>
            </w:pPr>
          </w:p>
        </w:tc>
        <w:tc>
          <w:tcPr>
            <w:tcW w:w="1842" w:type="dxa"/>
            <w:shd w:val="clear" w:color="auto" w:fill="004F4D" w:themeFill="text2"/>
            <w:tcMar>
              <w:top w:w="108" w:type="dxa"/>
              <w:bottom w:w="108" w:type="dxa"/>
            </w:tcMar>
            <w:vAlign w:val="center"/>
            <w:hideMark/>
          </w:tcPr>
          <w:p w14:paraId="17C38BA4" w14:textId="77777777" w:rsidR="00A6022D" w:rsidRDefault="007516C0">
            <w:pPr>
              <w:pStyle w:val="TableColumnHeadingRight"/>
            </w:pPr>
            <w:r w:rsidRPr="005D0129">
              <w:t>80%</w:t>
            </w:r>
          </w:p>
          <w:p w14:paraId="7F5C25E7" w14:textId="64462148" w:rsidR="007516C0" w:rsidRPr="005D0129" w:rsidRDefault="00435072">
            <w:pPr>
              <w:pStyle w:val="TableColumnHeadingRight"/>
            </w:pPr>
            <w:r>
              <w:t>(</w:t>
            </w:r>
            <w:r w:rsidR="007516C0" w:rsidRPr="005D0129">
              <w:t>days</w:t>
            </w:r>
            <w:r>
              <w:t>)</w:t>
            </w:r>
          </w:p>
        </w:tc>
        <w:tc>
          <w:tcPr>
            <w:tcW w:w="1275" w:type="dxa"/>
            <w:shd w:val="clear" w:color="auto" w:fill="004F4D" w:themeFill="text2"/>
            <w:tcMar>
              <w:top w:w="108" w:type="dxa"/>
              <w:bottom w:w="108" w:type="dxa"/>
            </w:tcMar>
            <w:vAlign w:val="center"/>
            <w:hideMark/>
          </w:tcPr>
          <w:p w14:paraId="2411FCE5" w14:textId="77777777" w:rsidR="00466FC1" w:rsidRDefault="007516C0">
            <w:pPr>
              <w:pStyle w:val="TableColumnHeadingRight"/>
            </w:pPr>
            <w:r w:rsidRPr="005D0129">
              <w:t>90%</w:t>
            </w:r>
            <w:r w:rsidR="005A567B">
              <w:t xml:space="preserve"> </w:t>
            </w:r>
          </w:p>
          <w:p w14:paraId="0D27163E" w14:textId="3A85869F" w:rsidR="00466FC1" w:rsidRPr="005D0129" w:rsidRDefault="00435072" w:rsidP="001E502D">
            <w:pPr>
              <w:pStyle w:val="TableColumnHeadingRight"/>
            </w:pPr>
            <w:r>
              <w:t>(</w:t>
            </w:r>
            <w:r w:rsidR="007516C0" w:rsidRPr="005D0129">
              <w:t>days</w:t>
            </w:r>
            <w:r>
              <w:t>)</w:t>
            </w:r>
          </w:p>
        </w:tc>
      </w:tr>
      <w:tr w:rsidR="007516C0" w:rsidRPr="005D0129" w14:paraId="4C79E24C" w14:textId="77777777" w:rsidTr="00B956EE">
        <w:trPr>
          <w:trHeight w:hRule="exact" w:val="283"/>
        </w:trPr>
        <w:tc>
          <w:tcPr>
            <w:tcW w:w="3828" w:type="dxa"/>
            <w:noWrap/>
            <w:vAlign w:val="center"/>
          </w:tcPr>
          <w:p w14:paraId="534C87D3" w14:textId="703DEA7A" w:rsidR="007516C0" w:rsidRPr="005D0129" w:rsidRDefault="007516C0" w:rsidP="007516C0">
            <w:pPr>
              <w:pStyle w:val="TableTextLeft"/>
            </w:pPr>
            <w:r w:rsidRPr="005D0129">
              <w:t xml:space="preserve">Administrative and Support Services </w:t>
            </w:r>
          </w:p>
        </w:tc>
        <w:tc>
          <w:tcPr>
            <w:tcW w:w="1559" w:type="dxa"/>
            <w:noWrap/>
            <w:vAlign w:val="center"/>
          </w:tcPr>
          <w:p w14:paraId="3A03799A" w14:textId="1259334C" w:rsidR="007516C0" w:rsidRPr="005D0129" w:rsidRDefault="007516C0" w:rsidP="00B956EE">
            <w:pPr>
              <w:pStyle w:val="TableTextLeft"/>
              <w:jc w:val="right"/>
            </w:pPr>
            <w:r w:rsidRPr="005D0129">
              <w:t>10.9%</w:t>
            </w:r>
          </w:p>
        </w:tc>
        <w:tc>
          <w:tcPr>
            <w:tcW w:w="1842" w:type="dxa"/>
            <w:noWrap/>
            <w:vAlign w:val="center"/>
          </w:tcPr>
          <w:p w14:paraId="325CDB84" w14:textId="0311B086" w:rsidR="007516C0" w:rsidRPr="005D0129" w:rsidRDefault="007516C0" w:rsidP="007516C0">
            <w:pPr>
              <w:pStyle w:val="TableTextRight"/>
            </w:pPr>
            <w:r w:rsidRPr="005D0129">
              <w:t>47</w:t>
            </w:r>
          </w:p>
        </w:tc>
        <w:tc>
          <w:tcPr>
            <w:tcW w:w="1275" w:type="dxa"/>
            <w:noWrap/>
            <w:vAlign w:val="center"/>
          </w:tcPr>
          <w:p w14:paraId="2F5E373D" w14:textId="58ADA3D9" w:rsidR="007516C0" w:rsidRPr="005D0129" w:rsidRDefault="007516C0" w:rsidP="007516C0">
            <w:pPr>
              <w:pStyle w:val="TableTextRight"/>
            </w:pPr>
            <w:r w:rsidRPr="005D0129">
              <w:t>62</w:t>
            </w:r>
          </w:p>
        </w:tc>
      </w:tr>
      <w:tr w:rsidR="00543D0F" w:rsidRPr="005D0129" w14:paraId="26A71D49"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7AEB4DDB" w14:textId="1873AB41" w:rsidR="007516C0" w:rsidRPr="005D0129" w:rsidRDefault="007516C0" w:rsidP="007516C0">
            <w:pPr>
              <w:pStyle w:val="TableTextLeft"/>
            </w:pPr>
            <w:r w:rsidRPr="005D0129">
              <w:t xml:space="preserve">Financial and Insurance Services </w:t>
            </w:r>
          </w:p>
        </w:tc>
        <w:tc>
          <w:tcPr>
            <w:tcW w:w="1559" w:type="dxa"/>
            <w:shd w:val="clear" w:color="auto" w:fill="E5EDED"/>
            <w:noWrap/>
            <w:vAlign w:val="center"/>
          </w:tcPr>
          <w:p w14:paraId="3016B901" w14:textId="287DAAEA" w:rsidR="007516C0" w:rsidRPr="005D0129" w:rsidRDefault="007516C0" w:rsidP="00B956EE">
            <w:pPr>
              <w:pStyle w:val="TableTextLeft"/>
              <w:jc w:val="right"/>
            </w:pPr>
            <w:r w:rsidRPr="005D0129">
              <w:t>6.6%</w:t>
            </w:r>
          </w:p>
        </w:tc>
        <w:tc>
          <w:tcPr>
            <w:tcW w:w="1842" w:type="dxa"/>
            <w:shd w:val="clear" w:color="auto" w:fill="E5EDED"/>
            <w:noWrap/>
            <w:vAlign w:val="center"/>
          </w:tcPr>
          <w:p w14:paraId="72C42B4F" w14:textId="7812A5BA" w:rsidR="007516C0" w:rsidRPr="005D0129" w:rsidRDefault="007516C0" w:rsidP="007516C0">
            <w:pPr>
              <w:pStyle w:val="TableTextRight"/>
            </w:pPr>
            <w:r w:rsidRPr="005D0129">
              <w:t>38</w:t>
            </w:r>
          </w:p>
        </w:tc>
        <w:tc>
          <w:tcPr>
            <w:tcW w:w="1275" w:type="dxa"/>
            <w:shd w:val="clear" w:color="auto" w:fill="E5EDED"/>
            <w:noWrap/>
            <w:vAlign w:val="center"/>
          </w:tcPr>
          <w:p w14:paraId="6ABE6EA2" w14:textId="7E6CBEC9" w:rsidR="007516C0" w:rsidRPr="005D0129" w:rsidRDefault="007516C0" w:rsidP="007516C0">
            <w:pPr>
              <w:pStyle w:val="TableTextRight"/>
            </w:pPr>
            <w:r w:rsidRPr="005D0129">
              <w:t>48</w:t>
            </w:r>
          </w:p>
        </w:tc>
      </w:tr>
      <w:tr w:rsidR="007516C0" w:rsidRPr="005D0129" w14:paraId="09715C87" w14:textId="77777777" w:rsidTr="00B956EE">
        <w:trPr>
          <w:trHeight w:hRule="exact" w:val="283"/>
        </w:trPr>
        <w:tc>
          <w:tcPr>
            <w:tcW w:w="3828" w:type="dxa"/>
            <w:noWrap/>
            <w:vAlign w:val="center"/>
          </w:tcPr>
          <w:p w14:paraId="741B4A97" w14:textId="57DE4749" w:rsidR="007516C0" w:rsidRPr="005D0129" w:rsidRDefault="007516C0" w:rsidP="007516C0">
            <w:pPr>
              <w:pStyle w:val="TableTextLeft"/>
            </w:pPr>
            <w:r w:rsidRPr="005D0129">
              <w:t xml:space="preserve">Education and Training </w:t>
            </w:r>
          </w:p>
        </w:tc>
        <w:tc>
          <w:tcPr>
            <w:tcW w:w="1559" w:type="dxa"/>
            <w:noWrap/>
            <w:vAlign w:val="center"/>
          </w:tcPr>
          <w:p w14:paraId="56097139" w14:textId="0561AC71" w:rsidR="007516C0" w:rsidRPr="005D0129" w:rsidRDefault="007516C0" w:rsidP="00B956EE">
            <w:pPr>
              <w:pStyle w:val="TableTextLeft"/>
              <w:jc w:val="right"/>
            </w:pPr>
            <w:r w:rsidRPr="005D0129">
              <w:t>5.9%</w:t>
            </w:r>
          </w:p>
        </w:tc>
        <w:tc>
          <w:tcPr>
            <w:tcW w:w="1842" w:type="dxa"/>
            <w:noWrap/>
            <w:vAlign w:val="center"/>
          </w:tcPr>
          <w:p w14:paraId="434986FA" w14:textId="0F211444" w:rsidR="007516C0" w:rsidRPr="005D0129" w:rsidRDefault="007516C0" w:rsidP="007516C0">
            <w:pPr>
              <w:pStyle w:val="TableTextRight"/>
            </w:pPr>
            <w:r w:rsidRPr="005D0129">
              <w:t>72</w:t>
            </w:r>
          </w:p>
        </w:tc>
        <w:tc>
          <w:tcPr>
            <w:tcW w:w="1275" w:type="dxa"/>
            <w:noWrap/>
            <w:vAlign w:val="center"/>
          </w:tcPr>
          <w:p w14:paraId="76CBF48A" w14:textId="03132470" w:rsidR="007516C0" w:rsidRPr="005D0129" w:rsidRDefault="007516C0" w:rsidP="007516C0">
            <w:pPr>
              <w:pStyle w:val="TableTextRight"/>
            </w:pPr>
            <w:r w:rsidRPr="005D0129">
              <w:t>103</w:t>
            </w:r>
          </w:p>
        </w:tc>
      </w:tr>
      <w:tr w:rsidR="007516C0" w:rsidRPr="005D0129" w14:paraId="1D24B945"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5CF76D66" w14:textId="4D1864E1" w:rsidR="007516C0" w:rsidRPr="005D0129" w:rsidRDefault="007516C0" w:rsidP="007516C0">
            <w:pPr>
              <w:pStyle w:val="TableTextLeft"/>
            </w:pPr>
            <w:r w:rsidRPr="005D0129">
              <w:t xml:space="preserve">Electricity, Gas, Water and Waste Services </w:t>
            </w:r>
          </w:p>
        </w:tc>
        <w:tc>
          <w:tcPr>
            <w:tcW w:w="1559" w:type="dxa"/>
            <w:shd w:val="clear" w:color="auto" w:fill="E5EDED"/>
            <w:noWrap/>
            <w:vAlign w:val="center"/>
          </w:tcPr>
          <w:p w14:paraId="1B2CD167" w14:textId="3BE2EECB" w:rsidR="007516C0" w:rsidRPr="005D0129" w:rsidRDefault="007516C0" w:rsidP="00B956EE">
            <w:pPr>
              <w:pStyle w:val="TableTextLeft"/>
              <w:jc w:val="right"/>
            </w:pPr>
            <w:r w:rsidRPr="005D0129">
              <w:t>4.8%</w:t>
            </w:r>
          </w:p>
        </w:tc>
        <w:tc>
          <w:tcPr>
            <w:tcW w:w="1842" w:type="dxa"/>
            <w:shd w:val="clear" w:color="auto" w:fill="E5EDED"/>
            <w:noWrap/>
            <w:vAlign w:val="center"/>
          </w:tcPr>
          <w:p w14:paraId="216A0CC0" w14:textId="0BEFC089" w:rsidR="007516C0" w:rsidRPr="005D0129" w:rsidRDefault="007516C0" w:rsidP="007516C0">
            <w:pPr>
              <w:pStyle w:val="TableTextRight"/>
            </w:pPr>
            <w:r w:rsidRPr="005D0129">
              <w:t>44</w:t>
            </w:r>
          </w:p>
        </w:tc>
        <w:tc>
          <w:tcPr>
            <w:tcW w:w="1275" w:type="dxa"/>
            <w:shd w:val="clear" w:color="auto" w:fill="E5EDED"/>
            <w:noWrap/>
            <w:vAlign w:val="center"/>
          </w:tcPr>
          <w:p w14:paraId="7C77DB4B" w14:textId="07B9F2A2" w:rsidR="007516C0" w:rsidRPr="005D0129" w:rsidRDefault="007516C0" w:rsidP="007516C0">
            <w:pPr>
              <w:pStyle w:val="TableTextRight"/>
            </w:pPr>
            <w:r w:rsidRPr="005D0129">
              <w:t>58</w:t>
            </w:r>
          </w:p>
        </w:tc>
      </w:tr>
      <w:tr w:rsidR="007516C0" w:rsidRPr="005D0129" w14:paraId="28199ECB" w14:textId="77777777" w:rsidTr="00B956EE">
        <w:trPr>
          <w:trHeight w:hRule="exact" w:val="283"/>
        </w:trPr>
        <w:tc>
          <w:tcPr>
            <w:tcW w:w="3828" w:type="dxa"/>
            <w:noWrap/>
            <w:vAlign w:val="center"/>
          </w:tcPr>
          <w:p w14:paraId="24E44AA2" w14:textId="039DE06F" w:rsidR="007516C0" w:rsidRPr="005D0129" w:rsidRDefault="007516C0" w:rsidP="007516C0">
            <w:pPr>
              <w:pStyle w:val="TableTextLeft"/>
            </w:pPr>
            <w:r w:rsidRPr="005D0129">
              <w:t xml:space="preserve">Other Services </w:t>
            </w:r>
          </w:p>
        </w:tc>
        <w:tc>
          <w:tcPr>
            <w:tcW w:w="1559" w:type="dxa"/>
            <w:noWrap/>
            <w:vAlign w:val="center"/>
          </w:tcPr>
          <w:p w14:paraId="650FF607" w14:textId="5AB7C2E9" w:rsidR="007516C0" w:rsidRPr="005D0129" w:rsidRDefault="007516C0" w:rsidP="00B956EE">
            <w:pPr>
              <w:pStyle w:val="TableTextLeft"/>
              <w:jc w:val="right"/>
            </w:pPr>
            <w:r w:rsidRPr="005D0129">
              <w:t>3.6%</w:t>
            </w:r>
          </w:p>
        </w:tc>
        <w:tc>
          <w:tcPr>
            <w:tcW w:w="1842" w:type="dxa"/>
            <w:noWrap/>
            <w:vAlign w:val="center"/>
          </w:tcPr>
          <w:p w14:paraId="305E47D4" w14:textId="56BD5483" w:rsidR="007516C0" w:rsidRPr="005D0129" w:rsidRDefault="007516C0" w:rsidP="007516C0">
            <w:pPr>
              <w:pStyle w:val="TableTextRight"/>
            </w:pPr>
            <w:r w:rsidRPr="005D0129">
              <w:t>53</w:t>
            </w:r>
          </w:p>
        </w:tc>
        <w:tc>
          <w:tcPr>
            <w:tcW w:w="1275" w:type="dxa"/>
            <w:noWrap/>
            <w:vAlign w:val="center"/>
          </w:tcPr>
          <w:p w14:paraId="2BF66F53" w14:textId="386006B3" w:rsidR="007516C0" w:rsidRPr="005D0129" w:rsidRDefault="007516C0" w:rsidP="007516C0">
            <w:pPr>
              <w:pStyle w:val="TableTextRight"/>
            </w:pPr>
            <w:r w:rsidRPr="005D0129">
              <w:t>88</w:t>
            </w:r>
          </w:p>
        </w:tc>
      </w:tr>
      <w:tr w:rsidR="007516C0" w:rsidRPr="005D0129" w14:paraId="36DD83CD"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79ED8AD7" w14:textId="56EDC416" w:rsidR="007516C0" w:rsidRPr="005D0129" w:rsidRDefault="007516C0" w:rsidP="007516C0">
            <w:pPr>
              <w:pStyle w:val="TableTextLeft"/>
            </w:pPr>
            <w:r w:rsidRPr="005D0129">
              <w:t xml:space="preserve">Agriculture, Forestry and Fishing </w:t>
            </w:r>
          </w:p>
        </w:tc>
        <w:tc>
          <w:tcPr>
            <w:tcW w:w="1559" w:type="dxa"/>
            <w:shd w:val="clear" w:color="auto" w:fill="E5EDED"/>
            <w:noWrap/>
            <w:vAlign w:val="center"/>
          </w:tcPr>
          <w:p w14:paraId="28F443AE" w14:textId="7A886FA2" w:rsidR="007516C0" w:rsidRPr="005D0129" w:rsidRDefault="007516C0" w:rsidP="00B956EE">
            <w:pPr>
              <w:pStyle w:val="TableTextLeft"/>
              <w:jc w:val="right"/>
            </w:pPr>
            <w:r w:rsidRPr="005D0129">
              <w:t>3.0%</w:t>
            </w:r>
          </w:p>
        </w:tc>
        <w:tc>
          <w:tcPr>
            <w:tcW w:w="1842" w:type="dxa"/>
            <w:shd w:val="clear" w:color="auto" w:fill="E5EDED"/>
            <w:noWrap/>
            <w:vAlign w:val="center"/>
          </w:tcPr>
          <w:p w14:paraId="3DD54181" w14:textId="5F2F8C6A" w:rsidR="007516C0" w:rsidRPr="005D0129" w:rsidRDefault="007516C0" w:rsidP="007516C0">
            <w:pPr>
              <w:pStyle w:val="TableTextRight"/>
            </w:pPr>
            <w:r w:rsidRPr="005D0129">
              <w:t>40</w:t>
            </w:r>
          </w:p>
        </w:tc>
        <w:tc>
          <w:tcPr>
            <w:tcW w:w="1275" w:type="dxa"/>
            <w:shd w:val="clear" w:color="auto" w:fill="E5EDED"/>
            <w:noWrap/>
            <w:vAlign w:val="center"/>
          </w:tcPr>
          <w:p w14:paraId="393EBCCB" w14:textId="3E2AB45F" w:rsidR="007516C0" w:rsidRPr="005D0129" w:rsidRDefault="007516C0" w:rsidP="007516C0">
            <w:pPr>
              <w:pStyle w:val="TableTextRight"/>
            </w:pPr>
            <w:r w:rsidRPr="005D0129">
              <w:t>50</w:t>
            </w:r>
          </w:p>
        </w:tc>
      </w:tr>
      <w:tr w:rsidR="007516C0" w:rsidRPr="005D0129" w14:paraId="4E2037FA" w14:textId="77777777" w:rsidTr="00B956EE">
        <w:trPr>
          <w:trHeight w:hRule="exact" w:val="283"/>
        </w:trPr>
        <w:tc>
          <w:tcPr>
            <w:tcW w:w="3828" w:type="dxa"/>
            <w:noWrap/>
            <w:vAlign w:val="center"/>
          </w:tcPr>
          <w:p w14:paraId="6B1610F5" w14:textId="07566FA4" w:rsidR="007516C0" w:rsidRPr="005D0129" w:rsidRDefault="007516C0" w:rsidP="007516C0">
            <w:pPr>
              <w:pStyle w:val="TableTextLeft"/>
            </w:pPr>
            <w:r w:rsidRPr="005D0129">
              <w:t xml:space="preserve">Public Administration and Safety </w:t>
            </w:r>
          </w:p>
        </w:tc>
        <w:tc>
          <w:tcPr>
            <w:tcW w:w="1559" w:type="dxa"/>
            <w:noWrap/>
            <w:vAlign w:val="center"/>
          </w:tcPr>
          <w:p w14:paraId="48957DC4" w14:textId="1A0592DD" w:rsidR="007516C0" w:rsidRPr="005D0129" w:rsidRDefault="007516C0" w:rsidP="00B956EE">
            <w:pPr>
              <w:pStyle w:val="TableTextLeft"/>
              <w:jc w:val="right"/>
            </w:pPr>
            <w:r w:rsidRPr="005D0129">
              <w:t>2.9%</w:t>
            </w:r>
          </w:p>
        </w:tc>
        <w:tc>
          <w:tcPr>
            <w:tcW w:w="1842" w:type="dxa"/>
            <w:noWrap/>
            <w:vAlign w:val="center"/>
          </w:tcPr>
          <w:p w14:paraId="2A069E4C" w14:textId="62DFE92C" w:rsidR="007516C0" w:rsidRPr="005D0129" w:rsidRDefault="007516C0" w:rsidP="007516C0">
            <w:pPr>
              <w:pStyle w:val="TableTextRight"/>
            </w:pPr>
            <w:r w:rsidRPr="005D0129">
              <w:t>51</w:t>
            </w:r>
          </w:p>
        </w:tc>
        <w:tc>
          <w:tcPr>
            <w:tcW w:w="1275" w:type="dxa"/>
            <w:noWrap/>
            <w:vAlign w:val="center"/>
          </w:tcPr>
          <w:p w14:paraId="5AF39822" w14:textId="4301225D" w:rsidR="007516C0" w:rsidRPr="005D0129" w:rsidRDefault="007516C0" w:rsidP="007516C0">
            <w:pPr>
              <w:pStyle w:val="TableTextRight"/>
            </w:pPr>
            <w:r w:rsidRPr="005D0129">
              <w:t>56</w:t>
            </w:r>
          </w:p>
        </w:tc>
      </w:tr>
      <w:tr w:rsidR="00543D0F" w:rsidRPr="005D0129" w14:paraId="77ED173A"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451053AD" w14:textId="057AEB61" w:rsidR="00543D0F" w:rsidRPr="005D0129" w:rsidRDefault="00543D0F" w:rsidP="00543D0F">
            <w:pPr>
              <w:pStyle w:val="TableTextLeft"/>
            </w:pPr>
            <w:r w:rsidRPr="005D0129">
              <w:t xml:space="preserve">Mining </w:t>
            </w:r>
          </w:p>
        </w:tc>
        <w:tc>
          <w:tcPr>
            <w:tcW w:w="1559" w:type="dxa"/>
            <w:shd w:val="clear" w:color="auto" w:fill="E5EDED"/>
            <w:noWrap/>
            <w:vAlign w:val="center"/>
          </w:tcPr>
          <w:p w14:paraId="1E66F63B" w14:textId="57A4A3A8" w:rsidR="00543D0F" w:rsidRPr="005D0129" w:rsidRDefault="00543D0F" w:rsidP="00B956EE">
            <w:pPr>
              <w:pStyle w:val="TableTextLeft"/>
              <w:jc w:val="right"/>
            </w:pPr>
            <w:r w:rsidRPr="005D0129">
              <w:t>2.4%</w:t>
            </w:r>
          </w:p>
        </w:tc>
        <w:tc>
          <w:tcPr>
            <w:tcW w:w="1842" w:type="dxa"/>
            <w:shd w:val="clear" w:color="auto" w:fill="E5EDED"/>
            <w:noWrap/>
            <w:vAlign w:val="center"/>
          </w:tcPr>
          <w:p w14:paraId="6F00FBDD" w14:textId="62273F71" w:rsidR="00543D0F" w:rsidRPr="005D0129" w:rsidRDefault="00543D0F" w:rsidP="00543D0F">
            <w:pPr>
              <w:pStyle w:val="TableTextRight"/>
            </w:pPr>
            <w:r w:rsidRPr="005D0129">
              <w:t>55</w:t>
            </w:r>
          </w:p>
        </w:tc>
        <w:tc>
          <w:tcPr>
            <w:tcW w:w="1275" w:type="dxa"/>
            <w:shd w:val="clear" w:color="auto" w:fill="E5EDED"/>
            <w:noWrap/>
            <w:vAlign w:val="center"/>
          </w:tcPr>
          <w:p w14:paraId="13CB439A" w14:textId="16B9C2F8" w:rsidR="00543D0F" w:rsidRPr="005D0129" w:rsidRDefault="00543D0F" w:rsidP="00543D0F">
            <w:pPr>
              <w:pStyle w:val="TableTextRight"/>
            </w:pPr>
            <w:r w:rsidRPr="005D0129">
              <w:t>71</w:t>
            </w:r>
          </w:p>
        </w:tc>
      </w:tr>
      <w:tr w:rsidR="00543D0F" w:rsidRPr="005D0129" w14:paraId="57F5312A" w14:textId="77777777" w:rsidTr="00B956EE">
        <w:trPr>
          <w:trHeight w:hRule="exact" w:val="283"/>
        </w:trPr>
        <w:tc>
          <w:tcPr>
            <w:tcW w:w="3828" w:type="dxa"/>
            <w:noWrap/>
            <w:vAlign w:val="center"/>
          </w:tcPr>
          <w:p w14:paraId="1708C29F" w14:textId="6F7973AA" w:rsidR="00543D0F" w:rsidRPr="005D0129" w:rsidRDefault="00543D0F" w:rsidP="00543D0F">
            <w:pPr>
              <w:pStyle w:val="TableTextLeft"/>
            </w:pPr>
            <w:r w:rsidRPr="005D0129">
              <w:t xml:space="preserve">Accommodation and Food Services </w:t>
            </w:r>
          </w:p>
        </w:tc>
        <w:tc>
          <w:tcPr>
            <w:tcW w:w="1559" w:type="dxa"/>
            <w:noWrap/>
            <w:vAlign w:val="center"/>
          </w:tcPr>
          <w:p w14:paraId="461F1B9D" w14:textId="21573D37" w:rsidR="00543D0F" w:rsidRPr="005D0129" w:rsidRDefault="00543D0F" w:rsidP="00B956EE">
            <w:pPr>
              <w:pStyle w:val="TableTextLeft"/>
              <w:jc w:val="right"/>
            </w:pPr>
            <w:r w:rsidRPr="005D0129">
              <w:t>2.3%</w:t>
            </w:r>
          </w:p>
        </w:tc>
        <w:tc>
          <w:tcPr>
            <w:tcW w:w="1842" w:type="dxa"/>
            <w:noWrap/>
            <w:vAlign w:val="center"/>
          </w:tcPr>
          <w:p w14:paraId="3273254F" w14:textId="2AD43595" w:rsidR="00543D0F" w:rsidRPr="005D0129" w:rsidRDefault="00543D0F" w:rsidP="00543D0F">
            <w:pPr>
              <w:pStyle w:val="TableTextRight"/>
            </w:pPr>
            <w:r w:rsidRPr="005D0129">
              <w:t>49</w:t>
            </w:r>
          </w:p>
        </w:tc>
        <w:tc>
          <w:tcPr>
            <w:tcW w:w="1275" w:type="dxa"/>
            <w:noWrap/>
            <w:vAlign w:val="center"/>
          </w:tcPr>
          <w:p w14:paraId="066B2849" w14:textId="2A185D5D" w:rsidR="00543D0F" w:rsidRPr="005D0129" w:rsidRDefault="00543D0F" w:rsidP="00543D0F">
            <w:pPr>
              <w:pStyle w:val="TableTextRight"/>
            </w:pPr>
            <w:r w:rsidRPr="005D0129">
              <w:t>70</w:t>
            </w:r>
          </w:p>
        </w:tc>
      </w:tr>
      <w:tr w:rsidR="00543D0F" w:rsidRPr="005D0129" w14:paraId="5E16B046"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746BFE62" w14:textId="03C27029" w:rsidR="00543D0F" w:rsidRPr="005D0129" w:rsidRDefault="00543D0F" w:rsidP="00543D0F">
            <w:pPr>
              <w:pStyle w:val="TableTextLeft"/>
            </w:pPr>
            <w:r w:rsidRPr="005D0129">
              <w:t xml:space="preserve">Arts and Recreation Services </w:t>
            </w:r>
          </w:p>
        </w:tc>
        <w:tc>
          <w:tcPr>
            <w:tcW w:w="1559" w:type="dxa"/>
            <w:shd w:val="clear" w:color="auto" w:fill="E5EDED"/>
            <w:noWrap/>
            <w:vAlign w:val="center"/>
          </w:tcPr>
          <w:p w14:paraId="6E0AE58B" w14:textId="55559149" w:rsidR="00543D0F" w:rsidRPr="005D0129" w:rsidRDefault="00543D0F" w:rsidP="00B956EE">
            <w:pPr>
              <w:pStyle w:val="TableTextLeft"/>
              <w:jc w:val="right"/>
            </w:pPr>
            <w:r w:rsidRPr="005D0129">
              <w:t>1.9%</w:t>
            </w:r>
          </w:p>
        </w:tc>
        <w:tc>
          <w:tcPr>
            <w:tcW w:w="1842" w:type="dxa"/>
            <w:shd w:val="clear" w:color="auto" w:fill="E5EDED"/>
            <w:noWrap/>
            <w:vAlign w:val="center"/>
          </w:tcPr>
          <w:p w14:paraId="3314EDB9" w14:textId="4EB386CB" w:rsidR="00543D0F" w:rsidRPr="005D0129" w:rsidRDefault="00543D0F" w:rsidP="00543D0F">
            <w:pPr>
              <w:pStyle w:val="TableTextRight"/>
            </w:pPr>
            <w:r w:rsidRPr="005D0129">
              <w:t>40</w:t>
            </w:r>
          </w:p>
        </w:tc>
        <w:tc>
          <w:tcPr>
            <w:tcW w:w="1275" w:type="dxa"/>
            <w:shd w:val="clear" w:color="auto" w:fill="E5EDED"/>
            <w:noWrap/>
            <w:vAlign w:val="center"/>
          </w:tcPr>
          <w:p w14:paraId="44F09F29" w14:textId="5846FB74" w:rsidR="00543D0F" w:rsidRPr="005D0129" w:rsidRDefault="00543D0F" w:rsidP="00543D0F">
            <w:pPr>
              <w:pStyle w:val="TableTextRight"/>
            </w:pPr>
            <w:r w:rsidRPr="005D0129">
              <w:t>57</w:t>
            </w:r>
          </w:p>
        </w:tc>
      </w:tr>
      <w:tr w:rsidR="00543D0F" w:rsidRPr="005D0129" w14:paraId="33687B00" w14:textId="77777777" w:rsidTr="00B956EE">
        <w:trPr>
          <w:trHeight w:hRule="exact" w:val="283"/>
        </w:trPr>
        <w:tc>
          <w:tcPr>
            <w:tcW w:w="3828" w:type="dxa"/>
            <w:noWrap/>
            <w:vAlign w:val="center"/>
          </w:tcPr>
          <w:p w14:paraId="2775591A" w14:textId="36296596" w:rsidR="00543D0F" w:rsidRPr="005D0129" w:rsidRDefault="00543D0F" w:rsidP="00543D0F">
            <w:pPr>
              <w:pStyle w:val="TableTextLeft"/>
            </w:pPr>
            <w:r w:rsidRPr="005D0129">
              <w:t xml:space="preserve">Transport, Postal and Warehousing </w:t>
            </w:r>
          </w:p>
        </w:tc>
        <w:tc>
          <w:tcPr>
            <w:tcW w:w="1559" w:type="dxa"/>
            <w:noWrap/>
            <w:vAlign w:val="center"/>
          </w:tcPr>
          <w:p w14:paraId="5BE814F5" w14:textId="6D2AFA2A" w:rsidR="00543D0F" w:rsidRPr="005D0129" w:rsidRDefault="00543D0F" w:rsidP="00B956EE">
            <w:pPr>
              <w:pStyle w:val="TableTextLeft"/>
              <w:jc w:val="right"/>
            </w:pPr>
            <w:r w:rsidRPr="005D0129">
              <w:t>1.7%</w:t>
            </w:r>
          </w:p>
        </w:tc>
        <w:tc>
          <w:tcPr>
            <w:tcW w:w="1842" w:type="dxa"/>
            <w:noWrap/>
            <w:vAlign w:val="center"/>
          </w:tcPr>
          <w:p w14:paraId="7178E506" w14:textId="24CC12D3" w:rsidR="00543D0F" w:rsidRPr="005D0129" w:rsidRDefault="00543D0F" w:rsidP="00543D0F">
            <w:pPr>
              <w:pStyle w:val="TableTextRight"/>
            </w:pPr>
            <w:r w:rsidRPr="005D0129">
              <w:t>51</w:t>
            </w:r>
          </w:p>
        </w:tc>
        <w:tc>
          <w:tcPr>
            <w:tcW w:w="1275" w:type="dxa"/>
            <w:noWrap/>
            <w:vAlign w:val="center"/>
          </w:tcPr>
          <w:p w14:paraId="45F71835" w14:textId="43FADBFA" w:rsidR="00543D0F" w:rsidRPr="005D0129" w:rsidRDefault="00543D0F" w:rsidP="00543D0F">
            <w:pPr>
              <w:pStyle w:val="TableTextRight"/>
            </w:pPr>
            <w:r w:rsidRPr="005D0129">
              <w:t>66</w:t>
            </w:r>
          </w:p>
        </w:tc>
      </w:tr>
      <w:tr w:rsidR="00543D0F" w:rsidRPr="005D0129" w14:paraId="5C8EB854"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4A438F5C" w14:textId="09D5EFEC" w:rsidR="00543D0F" w:rsidRPr="005D0129" w:rsidRDefault="00543D0F" w:rsidP="00543D0F">
            <w:pPr>
              <w:pStyle w:val="TableTextLeft"/>
            </w:pPr>
            <w:r w:rsidRPr="005D0129">
              <w:t xml:space="preserve">Professional, Scientific and Technical Services </w:t>
            </w:r>
          </w:p>
        </w:tc>
        <w:tc>
          <w:tcPr>
            <w:tcW w:w="1559" w:type="dxa"/>
            <w:shd w:val="clear" w:color="auto" w:fill="E5EDED"/>
            <w:noWrap/>
            <w:vAlign w:val="center"/>
          </w:tcPr>
          <w:p w14:paraId="1CDF8687" w14:textId="6F61EC00" w:rsidR="00543D0F" w:rsidRPr="005D0129" w:rsidRDefault="00543D0F" w:rsidP="00B956EE">
            <w:pPr>
              <w:pStyle w:val="TableTextLeft"/>
              <w:jc w:val="right"/>
            </w:pPr>
            <w:r w:rsidRPr="005D0129">
              <w:t>1.7%</w:t>
            </w:r>
          </w:p>
        </w:tc>
        <w:tc>
          <w:tcPr>
            <w:tcW w:w="1842" w:type="dxa"/>
            <w:shd w:val="clear" w:color="auto" w:fill="E5EDED"/>
            <w:noWrap/>
            <w:vAlign w:val="center"/>
          </w:tcPr>
          <w:p w14:paraId="4638B52C" w14:textId="1AA7AFD7" w:rsidR="00543D0F" w:rsidRPr="005D0129" w:rsidRDefault="00543D0F" w:rsidP="00543D0F">
            <w:pPr>
              <w:pStyle w:val="TableTextRight"/>
            </w:pPr>
            <w:r w:rsidRPr="005D0129">
              <w:t>65</w:t>
            </w:r>
          </w:p>
        </w:tc>
        <w:tc>
          <w:tcPr>
            <w:tcW w:w="1275" w:type="dxa"/>
            <w:shd w:val="clear" w:color="auto" w:fill="E5EDED"/>
            <w:noWrap/>
            <w:vAlign w:val="center"/>
          </w:tcPr>
          <w:p w14:paraId="088B2172" w14:textId="2E119E0D" w:rsidR="00543D0F" w:rsidRPr="005D0129" w:rsidRDefault="00543D0F" w:rsidP="00543D0F">
            <w:pPr>
              <w:pStyle w:val="TableTextRight"/>
            </w:pPr>
            <w:r w:rsidRPr="005D0129">
              <w:t>87</w:t>
            </w:r>
          </w:p>
        </w:tc>
      </w:tr>
      <w:tr w:rsidR="00543D0F" w:rsidRPr="005D0129" w14:paraId="1B874B05" w14:textId="77777777" w:rsidTr="00B956EE">
        <w:trPr>
          <w:trHeight w:hRule="exact" w:val="283"/>
        </w:trPr>
        <w:tc>
          <w:tcPr>
            <w:tcW w:w="3828" w:type="dxa"/>
            <w:noWrap/>
            <w:vAlign w:val="center"/>
          </w:tcPr>
          <w:p w14:paraId="6A4244E8" w14:textId="7A4D2ACE" w:rsidR="00543D0F" w:rsidRPr="005D0129" w:rsidRDefault="00543D0F" w:rsidP="00543D0F">
            <w:pPr>
              <w:pStyle w:val="TableTextLeft"/>
            </w:pPr>
            <w:r w:rsidRPr="005D0129">
              <w:t xml:space="preserve">Rental, Hiring and Real Estate Services </w:t>
            </w:r>
          </w:p>
        </w:tc>
        <w:tc>
          <w:tcPr>
            <w:tcW w:w="1559" w:type="dxa"/>
            <w:noWrap/>
            <w:vAlign w:val="center"/>
          </w:tcPr>
          <w:p w14:paraId="0B5A62AF" w14:textId="7D7024C8" w:rsidR="00543D0F" w:rsidRPr="005D0129" w:rsidRDefault="00543D0F" w:rsidP="00B956EE">
            <w:pPr>
              <w:pStyle w:val="TableTextLeft"/>
              <w:jc w:val="right"/>
            </w:pPr>
            <w:r w:rsidRPr="005D0129">
              <w:t>1.3%</w:t>
            </w:r>
          </w:p>
        </w:tc>
        <w:tc>
          <w:tcPr>
            <w:tcW w:w="1842" w:type="dxa"/>
            <w:noWrap/>
            <w:vAlign w:val="center"/>
          </w:tcPr>
          <w:p w14:paraId="2588845B" w14:textId="524007EA" w:rsidR="00543D0F" w:rsidRPr="005D0129" w:rsidRDefault="00543D0F" w:rsidP="00543D0F">
            <w:pPr>
              <w:pStyle w:val="TableTextRight"/>
            </w:pPr>
            <w:r w:rsidRPr="005D0129">
              <w:t>63</w:t>
            </w:r>
          </w:p>
        </w:tc>
        <w:tc>
          <w:tcPr>
            <w:tcW w:w="1275" w:type="dxa"/>
            <w:noWrap/>
            <w:vAlign w:val="center"/>
          </w:tcPr>
          <w:p w14:paraId="014A540E" w14:textId="7D7C6E33" w:rsidR="00543D0F" w:rsidRPr="005D0129" w:rsidRDefault="00543D0F" w:rsidP="00543D0F">
            <w:pPr>
              <w:pStyle w:val="TableTextRight"/>
            </w:pPr>
            <w:r w:rsidRPr="005D0129">
              <w:t>78</w:t>
            </w:r>
          </w:p>
        </w:tc>
      </w:tr>
      <w:tr w:rsidR="00543D0F" w:rsidRPr="005D0129" w14:paraId="000B25D3"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0BD42AAA" w14:textId="299CA4B2" w:rsidR="00543D0F" w:rsidRPr="005D0129" w:rsidRDefault="00543D0F" w:rsidP="00543D0F">
            <w:pPr>
              <w:pStyle w:val="TableTextLeft"/>
            </w:pPr>
            <w:r w:rsidRPr="005D0129">
              <w:t xml:space="preserve">Wholesale Trade </w:t>
            </w:r>
          </w:p>
        </w:tc>
        <w:tc>
          <w:tcPr>
            <w:tcW w:w="1559" w:type="dxa"/>
            <w:shd w:val="clear" w:color="auto" w:fill="E5EDED"/>
            <w:noWrap/>
            <w:vAlign w:val="center"/>
          </w:tcPr>
          <w:p w14:paraId="65758629" w14:textId="79671867" w:rsidR="00543D0F" w:rsidRPr="005D0129" w:rsidRDefault="00543D0F" w:rsidP="00B956EE">
            <w:pPr>
              <w:pStyle w:val="TableTextLeft"/>
              <w:jc w:val="right"/>
            </w:pPr>
            <w:r w:rsidRPr="005D0129">
              <w:t>1.2%</w:t>
            </w:r>
          </w:p>
        </w:tc>
        <w:tc>
          <w:tcPr>
            <w:tcW w:w="1842" w:type="dxa"/>
            <w:shd w:val="clear" w:color="auto" w:fill="E5EDED"/>
            <w:noWrap/>
            <w:vAlign w:val="center"/>
          </w:tcPr>
          <w:p w14:paraId="68A8BAE5" w14:textId="03201C29" w:rsidR="00543D0F" w:rsidRPr="005D0129" w:rsidRDefault="00543D0F" w:rsidP="00543D0F">
            <w:pPr>
              <w:pStyle w:val="TableTextRight"/>
            </w:pPr>
            <w:r w:rsidRPr="005D0129">
              <w:t>63</w:t>
            </w:r>
          </w:p>
        </w:tc>
        <w:tc>
          <w:tcPr>
            <w:tcW w:w="1275" w:type="dxa"/>
            <w:shd w:val="clear" w:color="auto" w:fill="E5EDED"/>
            <w:noWrap/>
            <w:vAlign w:val="center"/>
          </w:tcPr>
          <w:p w14:paraId="2C16C187" w14:textId="01E50460" w:rsidR="00543D0F" w:rsidRPr="005D0129" w:rsidRDefault="00543D0F" w:rsidP="00543D0F">
            <w:pPr>
              <w:pStyle w:val="TableTextRight"/>
            </w:pPr>
            <w:r w:rsidRPr="005D0129">
              <w:t>79</w:t>
            </w:r>
          </w:p>
        </w:tc>
      </w:tr>
      <w:tr w:rsidR="00543D0F" w:rsidRPr="005D0129" w14:paraId="47B64F65" w14:textId="77777777" w:rsidTr="00B956EE">
        <w:trPr>
          <w:trHeight w:hRule="exact" w:val="283"/>
        </w:trPr>
        <w:tc>
          <w:tcPr>
            <w:tcW w:w="3828" w:type="dxa"/>
            <w:noWrap/>
            <w:vAlign w:val="center"/>
          </w:tcPr>
          <w:p w14:paraId="46B6B198" w14:textId="49E58230" w:rsidR="00543D0F" w:rsidRPr="005D0129" w:rsidRDefault="00543D0F" w:rsidP="00543D0F">
            <w:pPr>
              <w:pStyle w:val="TableTextLeft"/>
            </w:pPr>
            <w:r w:rsidRPr="005D0129">
              <w:t xml:space="preserve">Construction </w:t>
            </w:r>
          </w:p>
        </w:tc>
        <w:tc>
          <w:tcPr>
            <w:tcW w:w="1559" w:type="dxa"/>
            <w:noWrap/>
            <w:vAlign w:val="center"/>
          </w:tcPr>
          <w:p w14:paraId="69C7F8EC" w14:textId="04C03577" w:rsidR="00543D0F" w:rsidRPr="005D0129" w:rsidRDefault="00543D0F" w:rsidP="00B956EE">
            <w:pPr>
              <w:pStyle w:val="TableTextLeft"/>
              <w:jc w:val="right"/>
            </w:pPr>
            <w:r w:rsidRPr="005D0129">
              <w:t>0.8%</w:t>
            </w:r>
          </w:p>
        </w:tc>
        <w:tc>
          <w:tcPr>
            <w:tcW w:w="1842" w:type="dxa"/>
            <w:noWrap/>
            <w:vAlign w:val="center"/>
          </w:tcPr>
          <w:p w14:paraId="37A56202" w14:textId="5CCFD3BF" w:rsidR="00543D0F" w:rsidRPr="005D0129" w:rsidRDefault="00543D0F" w:rsidP="00543D0F">
            <w:pPr>
              <w:pStyle w:val="TableTextRight"/>
            </w:pPr>
            <w:r w:rsidRPr="005D0129">
              <w:t>57</w:t>
            </w:r>
          </w:p>
        </w:tc>
        <w:tc>
          <w:tcPr>
            <w:tcW w:w="1275" w:type="dxa"/>
            <w:noWrap/>
            <w:vAlign w:val="center"/>
          </w:tcPr>
          <w:p w14:paraId="5EADAC42" w14:textId="2BFB2519" w:rsidR="00543D0F" w:rsidRPr="005D0129" w:rsidRDefault="00543D0F" w:rsidP="00543D0F">
            <w:pPr>
              <w:pStyle w:val="TableTextRight"/>
            </w:pPr>
            <w:r w:rsidRPr="005D0129">
              <w:t>79</w:t>
            </w:r>
          </w:p>
        </w:tc>
      </w:tr>
      <w:tr w:rsidR="00543D0F" w:rsidRPr="005D0129" w14:paraId="639E3C8C"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3810B35A" w14:textId="5CCAFA56" w:rsidR="00543D0F" w:rsidRPr="005D0129" w:rsidRDefault="00543D0F" w:rsidP="00543D0F">
            <w:pPr>
              <w:pStyle w:val="TableTextLeft"/>
            </w:pPr>
            <w:r w:rsidRPr="005D0129">
              <w:t xml:space="preserve">Manufacturing </w:t>
            </w:r>
          </w:p>
        </w:tc>
        <w:tc>
          <w:tcPr>
            <w:tcW w:w="1559" w:type="dxa"/>
            <w:shd w:val="clear" w:color="auto" w:fill="E5EDED"/>
            <w:noWrap/>
            <w:vAlign w:val="center"/>
          </w:tcPr>
          <w:p w14:paraId="73BD5F7B" w14:textId="71F28F4E" w:rsidR="00543D0F" w:rsidRPr="005D0129" w:rsidRDefault="00543D0F" w:rsidP="00B956EE">
            <w:pPr>
              <w:pStyle w:val="TableTextLeft"/>
              <w:jc w:val="right"/>
            </w:pPr>
            <w:r w:rsidRPr="005D0129">
              <w:t>0.5%</w:t>
            </w:r>
          </w:p>
        </w:tc>
        <w:tc>
          <w:tcPr>
            <w:tcW w:w="1842" w:type="dxa"/>
            <w:shd w:val="clear" w:color="auto" w:fill="E5EDED"/>
            <w:noWrap/>
            <w:vAlign w:val="center"/>
          </w:tcPr>
          <w:p w14:paraId="4304DF14" w14:textId="017089EB" w:rsidR="00543D0F" w:rsidRPr="005D0129" w:rsidRDefault="00543D0F" w:rsidP="00543D0F">
            <w:pPr>
              <w:pStyle w:val="TableTextRight"/>
            </w:pPr>
            <w:r w:rsidRPr="005D0129">
              <w:t>65</w:t>
            </w:r>
          </w:p>
        </w:tc>
        <w:tc>
          <w:tcPr>
            <w:tcW w:w="1275" w:type="dxa"/>
            <w:shd w:val="clear" w:color="auto" w:fill="E5EDED"/>
            <w:noWrap/>
            <w:vAlign w:val="center"/>
          </w:tcPr>
          <w:p w14:paraId="2CEEE399" w14:textId="5567A31C" w:rsidR="00543D0F" w:rsidRPr="005D0129" w:rsidRDefault="00543D0F" w:rsidP="00543D0F">
            <w:pPr>
              <w:pStyle w:val="TableTextRight"/>
            </w:pPr>
            <w:r w:rsidRPr="005D0129">
              <w:t>75</w:t>
            </w:r>
          </w:p>
        </w:tc>
      </w:tr>
      <w:tr w:rsidR="00543D0F" w:rsidRPr="005D0129" w14:paraId="141E8655" w14:textId="77777777" w:rsidTr="00B956EE">
        <w:trPr>
          <w:trHeight w:hRule="exact" w:val="283"/>
        </w:trPr>
        <w:tc>
          <w:tcPr>
            <w:tcW w:w="3828" w:type="dxa"/>
            <w:noWrap/>
            <w:vAlign w:val="center"/>
          </w:tcPr>
          <w:p w14:paraId="4885AA24" w14:textId="089C4EDE" w:rsidR="00543D0F" w:rsidRPr="005D0129" w:rsidRDefault="00543D0F" w:rsidP="00543D0F">
            <w:pPr>
              <w:pStyle w:val="TableTextLeft"/>
            </w:pPr>
            <w:r w:rsidRPr="005D0129">
              <w:t xml:space="preserve">Retail Trade </w:t>
            </w:r>
          </w:p>
        </w:tc>
        <w:tc>
          <w:tcPr>
            <w:tcW w:w="1559" w:type="dxa"/>
            <w:noWrap/>
            <w:vAlign w:val="center"/>
          </w:tcPr>
          <w:p w14:paraId="4ADCF467" w14:textId="6F8A53AB" w:rsidR="00543D0F" w:rsidRPr="005D0129" w:rsidRDefault="00543D0F" w:rsidP="00B956EE">
            <w:pPr>
              <w:pStyle w:val="TableTextLeft"/>
              <w:jc w:val="right"/>
            </w:pPr>
            <w:r w:rsidRPr="005D0129">
              <w:t>0.4%</w:t>
            </w:r>
          </w:p>
        </w:tc>
        <w:tc>
          <w:tcPr>
            <w:tcW w:w="1842" w:type="dxa"/>
            <w:noWrap/>
            <w:vAlign w:val="center"/>
          </w:tcPr>
          <w:p w14:paraId="1998FEA5" w14:textId="28B8A9BA" w:rsidR="00543D0F" w:rsidRPr="005D0129" w:rsidRDefault="00543D0F" w:rsidP="00543D0F">
            <w:pPr>
              <w:pStyle w:val="TableTextRight"/>
            </w:pPr>
            <w:r w:rsidRPr="005D0129">
              <w:t>55</w:t>
            </w:r>
          </w:p>
        </w:tc>
        <w:tc>
          <w:tcPr>
            <w:tcW w:w="1275" w:type="dxa"/>
            <w:noWrap/>
            <w:vAlign w:val="center"/>
          </w:tcPr>
          <w:p w14:paraId="1D6DB0A6" w14:textId="4F541FE8" w:rsidR="00543D0F" w:rsidRPr="005D0129" w:rsidRDefault="00543D0F" w:rsidP="00543D0F">
            <w:pPr>
              <w:pStyle w:val="TableTextRight"/>
            </w:pPr>
            <w:r w:rsidRPr="005D0129">
              <w:t>71</w:t>
            </w:r>
          </w:p>
        </w:tc>
      </w:tr>
      <w:tr w:rsidR="00543D0F" w:rsidRPr="005D0129" w14:paraId="4C2E2205"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shd w:val="clear" w:color="auto" w:fill="E5EDED"/>
            <w:noWrap/>
            <w:vAlign w:val="center"/>
          </w:tcPr>
          <w:p w14:paraId="72141CEE" w14:textId="6958F13A" w:rsidR="00543D0F" w:rsidRPr="005D0129" w:rsidRDefault="00543D0F" w:rsidP="00543D0F">
            <w:pPr>
              <w:pStyle w:val="TableTextLeft"/>
            </w:pPr>
            <w:r w:rsidRPr="005D0129">
              <w:t xml:space="preserve">Health Care and Social Assistance </w:t>
            </w:r>
          </w:p>
        </w:tc>
        <w:tc>
          <w:tcPr>
            <w:tcW w:w="1559" w:type="dxa"/>
            <w:shd w:val="clear" w:color="auto" w:fill="E5EDED"/>
            <w:noWrap/>
            <w:vAlign w:val="center"/>
          </w:tcPr>
          <w:p w14:paraId="08A6BD31" w14:textId="142B3822" w:rsidR="00543D0F" w:rsidRPr="005D0129" w:rsidRDefault="00543D0F" w:rsidP="00B956EE">
            <w:pPr>
              <w:pStyle w:val="TableTextLeft"/>
              <w:jc w:val="right"/>
            </w:pPr>
            <w:r w:rsidRPr="005D0129">
              <w:t>0%</w:t>
            </w:r>
          </w:p>
        </w:tc>
        <w:tc>
          <w:tcPr>
            <w:tcW w:w="1842" w:type="dxa"/>
            <w:shd w:val="clear" w:color="auto" w:fill="E5EDED"/>
            <w:noWrap/>
            <w:vAlign w:val="center"/>
          </w:tcPr>
          <w:p w14:paraId="7FB4B579" w14:textId="59151FB4" w:rsidR="00543D0F" w:rsidRPr="005D0129" w:rsidRDefault="00543D0F" w:rsidP="00543D0F">
            <w:pPr>
              <w:pStyle w:val="TableTextRight"/>
            </w:pPr>
            <w:r w:rsidRPr="005D0129">
              <w:t>62</w:t>
            </w:r>
          </w:p>
        </w:tc>
        <w:tc>
          <w:tcPr>
            <w:tcW w:w="1275" w:type="dxa"/>
            <w:shd w:val="clear" w:color="auto" w:fill="E5EDED"/>
            <w:noWrap/>
            <w:vAlign w:val="center"/>
          </w:tcPr>
          <w:p w14:paraId="52A2D765" w14:textId="1A6E34CE" w:rsidR="00543D0F" w:rsidRPr="005D0129" w:rsidRDefault="00543D0F" w:rsidP="00543D0F">
            <w:pPr>
              <w:pStyle w:val="TableTextRight"/>
            </w:pPr>
            <w:r w:rsidRPr="005D0129">
              <w:t>72</w:t>
            </w:r>
          </w:p>
        </w:tc>
      </w:tr>
      <w:tr w:rsidR="00830C1A" w:rsidRPr="005D0129" w14:paraId="451D14D9" w14:textId="77777777" w:rsidTr="00B956EE">
        <w:trPr>
          <w:trHeight w:hRule="exact" w:val="283"/>
        </w:trPr>
        <w:tc>
          <w:tcPr>
            <w:tcW w:w="3828" w:type="dxa"/>
            <w:tcBorders>
              <w:bottom w:val="nil"/>
            </w:tcBorders>
            <w:noWrap/>
            <w:vAlign w:val="center"/>
          </w:tcPr>
          <w:p w14:paraId="37F12B16" w14:textId="10EC7258" w:rsidR="00543D0F" w:rsidRPr="005D0129" w:rsidRDefault="00543D0F" w:rsidP="00543D0F">
            <w:pPr>
              <w:pStyle w:val="TableTextLeft"/>
            </w:pPr>
            <w:r w:rsidRPr="005D0129">
              <w:t xml:space="preserve">Information Media and Telecommunications </w:t>
            </w:r>
          </w:p>
        </w:tc>
        <w:tc>
          <w:tcPr>
            <w:tcW w:w="1559" w:type="dxa"/>
            <w:tcBorders>
              <w:bottom w:val="nil"/>
            </w:tcBorders>
            <w:noWrap/>
            <w:vAlign w:val="center"/>
          </w:tcPr>
          <w:p w14:paraId="3A0EBC5D" w14:textId="59EB5396" w:rsidR="00543D0F" w:rsidRPr="005D0129" w:rsidRDefault="00543D0F" w:rsidP="00B956EE">
            <w:pPr>
              <w:pStyle w:val="TableTextLeft"/>
              <w:jc w:val="right"/>
            </w:pPr>
            <w:r w:rsidRPr="005D0129">
              <w:t>0%</w:t>
            </w:r>
          </w:p>
        </w:tc>
        <w:tc>
          <w:tcPr>
            <w:tcW w:w="1842" w:type="dxa"/>
            <w:tcBorders>
              <w:bottom w:val="nil"/>
            </w:tcBorders>
            <w:noWrap/>
            <w:vAlign w:val="center"/>
          </w:tcPr>
          <w:p w14:paraId="625D1FAA" w14:textId="33F2957B" w:rsidR="00543D0F" w:rsidRPr="005D0129" w:rsidRDefault="00543D0F" w:rsidP="00543D0F">
            <w:pPr>
              <w:pStyle w:val="TableTextRight"/>
            </w:pPr>
            <w:r w:rsidRPr="005D0129">
              <w:t>56</w:t>
            </w:r>
          </w:p>
        </w:tc>
        <w:tc>
          <w:tcPr>
            <w:tcW w:w="1275" w:type="dxa"/>
            <w:tcBorders>
              <w:bottom w:val="nil"/>
            </w:tcBorders>
            <w:noWrap/>
            <w:vAlign w:val="center"/>
          </w:tcPr>
          <w:p w14:paraId="29949B78" w14:textId="7C5D706A" w:rsidR="00543D0F" w:rsidRPr="005D0129" w:rsidRDefault="00543D0F" w:rsidP="00543D0F">
            <w:pPr>
              <w:pStyle w:val="TableTextRight"/>
            </w:pPr>
            <w:r w:rsidRPr="005D0129">
              <w:t>67</w:t>
            </w:r>
          </w:p>
        </w:tc>
      </w:tr>
      <w:tr w:rsidR="00543D0F" w:rsidRPr="005D0129" w14:paraId="5F73D73A" w14:textId="77777777" w:rsidTr="00B956EE">
        <w:trPr>
          <w:cnfStyle w:val="000000100000" w:firstRow="0" w:lastRow="0" w:firstColumn="0" w:lastColumn="0" w:oddVBand="0" w:evenVBand="0" w:oddHBand="1" w:evenHBand="0" w:firstRowFirstColumn="0" w:firstRowLastColumn="0" w:lastRowFirstColumn="0" w:lastRowLastColumn="0"/>
          <w:trHeight w:hRule="exact" w:val="283"/>
        </w:trPr>
        <w:tc>
          <w:tcPr>
            <w:tcW w:w="3828" w:type="dxa"/>
            <w:tcBorders>
              <w:bottom w:val="single" w:sz="4" w:space="0" w:color="004F4D" w:themeColor="text2"/>
            </w:tcBorders>
            <w:shd w:val="clear" w:color="auto" w:fill="E5EDED"/>
            <w:noWrap/>
            <w:vAlign w:val="center"/>
          </w:tcPr>
          <w:p w14:paraId="07B5A2E6" w14:textId="27AE7F75" w:rsidR="00543D0F" w:rsidRPr="005D0129" w:rsidRDefault="00543D0F" w:rsidP="00543D0F">
            <w:pPr>
              <w:pStyle w:val="TableTextLeft"/>
            </w:pPr>
            <w:r w:rsidRPr="005D0129">
              <w:rPr>
                <w:b/>
                <w:bCs/>
              </w:rPr>
              <w:t xml:space="preserve">All Industries </w:t>
            </w:r>
          </w:p>
        </w:tc>
        <w:tc>
          <w:tcPr>
            <w:tcW w:w="1559" w:type="dxa"/>
            <w:tcBorders>
              <w:bottom w:val="single" w:sz="4" w:space="0" w:color="004F4D" w:themeColor="text2"/>
            </w:tcBorders>
            <w:shd w:val="clear" w:color="auto" w:fill="E5EDED"/>
            <w:noWrap/>
            <w:vAlign w:val="center"/>
          </w:tcPr>
          <w:p w14:paraId="5E3711C4" w14:textId="6C5C632C" w:rsidR="00543D0F" w:rsidRPr="005D0129" w:rsidRDefault="00543D0F" w:rsidP="00B956EE">
            <w:pPr>
              <w:pStyle w:val="TableTextLeft"/>
              <w:jc w:val="right"/>
            </w:pPr>
            <w:r w:rsidRPr="005D0129">
              <w:rPr>
                <w:b/>
                <w:bCs/>
              </w:rPr>
              <w:t>2.3%</w:t>
            </w:r>
          </w:p>
        </w:tc>
        <w:tc>
          <w:tcPr>
            <w:tcW w:w="1842" w:type="dxa"/>
            <w:tcBorders>
              <w:bottom w:val="single" w:sz="4" w:space="0" w:color="004F4D" w:themeColor="text2"/>
            </w:tcBorders>
            <w:shd w:val="clear" w:color="auto" w:fill="E5EDED"/>
            <w:noWrap/>
            <w:vAlign w:val="center"/>
          </w:tcPr>
          <w:p w14:paraId="01B17F99" w14:textId="2F558D9D" w:rsidR="00543D0F" w:rsidRPr="005D0129" w:rsidRDefault="00543D0F" w:rsidP="00543D0F">
            <w:pPr>
              <w:pStyle w:val="TableTextRight"/>
            </w:pPr>
            <w:r w:rsidRPr="005D0129">
              <w:rPr>
                <w:b/>
                <w:bCs/>
              </w:rPr>
              <w:t>56</w:t>
            </w:r>
          </w:p>
        </w:tc>
        <w:tc>
          <w:tcPr>
            <w:tcW w:w="1275" w:type="dxa"/>
            <w:tcBorders>
              <w:bottom w:val="single" w:sz="4" w:space="0" w:color="004F4D" w:themeColor="text2"/>
            </w:tcBorders>
            <w:shd w:val="clear" w:color="auto" w:fill="E5EDED"/>
            <w:noWrap/>
            <w:vAlign w:val="center"/>
          </w:tcPr>
          <w:p w14:paraId="1178B992" w14:textId="002698FB" w:rsidR="00543D0F" w:rsidRPr="005D0129" w:rsidRDefault="00543D0F" w:rsidP="00543D0F">
            <w:pPr>
              <w:pStyle w:val="TableTextRight"/>
            </w:pPr>
            <w:r w:rsidRPr="005D0129">
              <w:rPr>
                <w:b/>
                <w:bCs/>
              </w:rPr>
              <w:t>71</w:t>
            </w:r>
          </w:p>
        </w:tc>
      </w:tr>
    </w:tbl>
    <w:p w14:paraId="14F93501" w14:textId="3AA85E17" w:rsidR="003D04FC" w:rsidRDefault="003D04FC" w:rsidP="003D04FC">
      <w:pPr>
        <w:pStyle w:val="ChartorTableNote"/>
      </w:pPr>
      <w:r>
        <w:t xml:space="preserve">Note: </w:t>
      </w:r>
      <w:r w:rsidRPr="0035122E">
        <w:t xml:space="preserve">Shows the </w:t>
      </w:r>
      <w:r w:rsidRPr="002444E9">
        <w:t>reduction</w:t>
      </w:r>
      <w:r w:rsidRPr="0035122E">
        <w:t xml:space="preserve"> </w:t>
      </w:r>
      <w:r>
        <w:t xml:space="preserve">in the </w:t>
      </w:r>
      <w:r w:rsidRPr="0035122E">
        <w:t xml:space="preserve">number of days </w:t>
      </w:r>
      <w:r>
        <w:t>in the</w:t>
      </w:r>
      <w:r w:rsidRPr="0035122E">
        <w:t xml:space="preserve"> reported 95th percentile payment time to achieve at least 80</w:t>
      </w:r>
      <w:r>
        <w:t> </w:t>
      </w:r>
      <w:r w:rsidRPr="0035122E">
        <w:t>per cent and 90</w:t>
      </w:r>
      <w:r w:rsidR="009E2BAB">
        <w:t> </w:t>
      </w:r>
      <w:r w:rsidRPr="0035122E">
        <w:t>per</w:t>
      </w:r>
      <w:r w:rsidR="009E2BAB">
        <w:t> </w:t>
      </w:r>
      <w:r w:rsidRPr="0035122E">
        <w:t xml:space="preserve">cent </w:t>
      </w:r>
      <w:r>
        <w:t xml:space="preserve">of </w:t>
      </w:r>
      <w:r w:rsidR="00F54340">
        <w:t>the</w:t>
      </w:r>
      <w:r>
        <w:t xml:space="preserve"> </w:t>
      </w:r>
      <w:r w:rsidRPr="0035122E">
        <w:t xml:space="preserve">industry </w:t>
      </w:r>
      <w:r>
        <w:t xml:space="preserve">as </w:t>
      </w:r>
      <w:r w:rsidRPr="0035122E">
        <w:t>fast payers, as at 31</w:t>
      </w:r>
      <w:r w:rsidR="005717EB">
        <w:t> </w:t>
      </w:r>
      <w:r w:rsidRPr="0035122E">
        <w:t>December</w:t>
      </w:r>
      <w:r w:rsidR="005717EB">
        <w:t> </w:t>
      </w:r>
      <w:r w:rsidRPr="0035122E">
        <w:t>2025.</w:t>
      </w:r>
    </w:p>
    <w:p w14:paraId="45EFD0D7" w14:textId="18E7D39A" w:rsidR="001D3AFE" w:rsidRPr="002F5F97" w:rsidRDefault="005F06A8" w:rsidP="002444E9">
      <w:r w:rsidRPr="002F5F97">
        <w:t xml:space="preserve">Being publicly acknowledged as </w:t>
      </w:r>
      <w:r w:rsidR="00F54340">
        <w:t>f</w:t>
      </w:r>
      <w:r w:rsidRPr="002F5F97">
        <w:t xml:space="preserve">ast </w:t>
      </w:r>
      <w:r w:rsidR="00F54340">
        <w:t>s</w:t>
      </w:r>
      <w:r w:rsidRPr="002F5F97">
        <w:t>mall business payer</w:t>
      </w:r>
      <w:r w:rsidR="00F54340">
        <w:t>s</w:t>
      </w:r>
      <w:r w:rsidRPr="002F5F97">
        <w:t xml:space="preserve"> provides reputational signals to </w:t>
      </w:r>
      <w:r w:rsidRPr="002444E9">
        <w:t>the</w:t>
      </w:r>
      <w:r w:rsidRPr="002F5F97">
        <w:t xml:space="preserve"> market that </w:t>
      </w:r>
      <w:r w:rsidR="00F54340">
        <w:t>a</w:t>
      </w:r>
      <w:r w:rsidRPr="002F5F97">
        <w:t xml:space="preserve"> business supports small businesses. This status can be used in marketing, procurement and corporate reporting to differentiate </w:t>
      </w:r>
      <w:r w:rsidR="00E62079" w:rsidRPr="002F5F97">
        <w:t>a</w:t>
      </w:r>
      <w:r w:rsidRPr="002F5F97">
        <w:t xml:space="preserve"> business from competitors that have slower payment practices.</w:t>
      </w:r>
      <w:r w:rsidR="001D3AFE" w:rsidRPr="002F5F97">
        <w:br w:type="page"/>
      </w:r>
    </w:p>
    <w:p w14:paraId="4AAFF09C" w14:textId="4E54C856" w:rsidR="001D3AFE" w:rsidRPr="002F5F97" w:rsidRDefault="001D3AFE" w:rsidP="001D3AFE">
      <w:pPr>
        <w:pStyle w:val="ChapterHeading1"/>
      </w:pPr>
      <w:bookmarkStart w:id="39" w:name="_Toc220068377"/>
      <w:r w:rsidRPr="002F5F97">
        <w:lastRenderedPageBreak/>
        <w:t>Slow small business payer</w:t>
      </w:r>
      <w:bookmarkEnd w:id="39"/>
    </w:p>
    <w:p w14:paraId="0BB4200A" w14:textId="65F517B4" w:rsidR="00D1147C" w:rsidRPr="002F5F97" w:rsidRDefault="00D1147C" w:rsidP="00EB4072">
      <w:r w:rsidRPr="002F5F97">
        <w:t xml:space="preserve">With the reformed </w:t>
      </w:r>
      <w:r w:rsidR="00881985">
        <w:t>S</w:t>
      </w:r>
      <w:r w:rsidRPr="002F5F97">
        <w:t xml:space="preserve">cheme now in operation across </w:t>
      </w:r>
      <w:r w:rsidR="00F92996">
        <w:t>2</w:t>
      </w:r>
      <w:r w:rsidRPr="002F5F97">
        <w:t xml:space="preserve"> full reporting cycles, the</w:t>
      </w:r>
      <w:r w:rsidR="00F92996">
        <w:t xml:space="preserve"> </w:t>
      </w:r>
      <w:r w:rsidRPr="002F5F97">
        <w:t>Regulator</w:t>
      </w:r>
      <w:r w:rsidR="00F92996">
        <w:t xml:space="preserve"> </w:t>
      </w:r>
      <w:r w:rsidRPr="002F5F97">
        <w:t>is focused on identifying slow small business payers.</w:t>
      </w:r>
    </w:p>
    <w:p w14:paraId="50CA0C23" w14:textId="6DB17E2F" w:rsidR="00200CC1" w:rsidRPr="002F5F97" w:rsidRDefault="00D1147C" w:rsidP="00EB4072">
      <w:r w:rsidRPr="002F5F97">
        <w:t xml:space="preserve">The Regulator and/or the Minister </w:t>
      </w:r>
      <w:r w:rsidR="005E730A">
        <w:t>may</w:t>
      </w:r>
      <w:r w:rsidRPr="002F5F97">
        <w:t xml:space="preserve"> issue </w:t>
      </w:r>
      <w:r w:rsidR="00881985">
        <w:t xml:space="preserve">a </w:t>
      </w:r>
      <w:r w:rsidRPr="002F5F97">
        <w:t>slow small business payer direction</w:t>
      </w:r>
      <w:r w:rsidR="00764BE9">
        <w:t xml:space="preserve"> (</w:t>
      </w:r>
      <w:r w:rsidR="00764BE9" w:rsidRPr="00764BE9">
        <w:rPr>
          <w:b/>
          <w:bCs/>
        </w:rPr>
        <w:t>direction</w:t>
      </w:r>
      <w:r w:rsidR="00764BE9">
        <w:t>)</w:t>
      </w:r>
      <w:r w:rsidR="005A1841">
        <w:t xml:space="preserve"> to the slowest payers</w:t>
      </w:r>
      <w:r w:rsidRPr="002F5F97">
        <w:t>, in</w:t>
      </w:r>
      <w:r w:rsidR="00490DFB">
        <w:t> </w:t>
      </w:r>
      <w:r w:rsidRPr="002F5F97">
        <w:t>line</w:t>
      </w:r>
      <w:r w:rsidR="00490DFB">
        <w:t> </w:t>
      </w:r>
      <w:r w:rsidRPr="002F5F97">
        <w:t>with their compliance and enforcement powers.</w:t>
      </w:r>
    </w:p>
    <w:p w14:paraId="441E0A7E" w14:textId="63E0BF27" w:rsidR="00102305" w:rsidRPr="002F5F97" w:rsidRDefault="00200CC1" w:rsidP="00102305">
      <w:pPr>
        <w:pStyle w:val="Heading2"/>
        <w:rPr>
          <w:rFonts w:cs="Times New Roman"/>
          <w:color w:val="auto"/>
          <w:sz w:val="22"/>
          <w:szCs w:val="20"/>
        </w:rPr>
      </w:pPr>
      <w:r w:rsidRPr="002F5F97">
        <w:t>When is an entity considered to be a</w:t>
      </w:r>
      <w:r w:rsidR="00490DFB">
        <w:t xml:space="preserve"> </w:t>
      </w:r>
      <w:r w:rsidRPr="002F5F97">
        <w:t>slow</w:t>
      </w:r>
      <w:r w:rsidR="00490DFB">
        <w:t xml:space="preserve"> </w:t>
      </w:r>
      <w:r w:rsidRPr="002F5F97">
        <w:t>small</w:t>
      </w:r>
      <w:r w:rsidR="00490DFB">
        <w:t> </w:t>
      </w:r>
      <w:r w:rsidRPr="002F5F97">
        <w:t>business payer?</w:t>
      </w:r>
    </w:p>
    <w:p w14:paraId="7E901B11" w14:textId="512801CE" w:rsidR="00494ED8" w:rsidRPr="002F5F97" w:rsidRDefault="00494ED8" w:rsidP="00494ED8">
      <w:r w:rsidRPr="002F5F97">
        <w:t xml:space="preserve">A reporting entity or a reporting nominee is identified as a slow small business for a </w:t>
      </w:r>
      <w:r w:rsidRPr="002F5F97">
        <w:rPr>
          <w:b/>
          <w:bCs/>
        </w:rPr>
        <w:t>reporting cycle</w:t>
      </w:r>
      <w:r w:rsidRPr="002F5F97">
        <w:t xml:space="preserve"> if:</w:t>
      </w:r>
    </w:p>
    <w:p w14:paraId="796B4934" w14:textId="23E728CF" w:rsidR="00494ED8" w:rsidRPr="002F5F97" w:rsidRDefault="00494ED8" w:rsidP="00494ED8">
      <w:pPr>
        <w:pStyle w:val="Bullet"/>
      </w:pPr>
      <w:r w:rsidRPr="002F5F97">
        <w:tab/>
      </w:r>
      <w:r w:rsidR="00473C81">
        <w:t>i</w:t>
      </w:r>
      <w:r w:rsidRPr="002F5F97">
        <w:t>t has given the Regulator a payment times report for a reporting period that ended within that reporting cycle</w:t>
      </w:r>
      <w:r w:rsidR="00043D9E">
        <w:t>,</w:t>
      </w:r>
      <w:r w:rsidRPr="002F5F97">
        <w:t xml:space="preserve"> and that payment times report has a 95th percentile payment time that is more than 30</w:t>
      </w:r>
      <w:r w:rsidR="00490DFB">
        <w:t> </w:t>
      </w:r>
      <w:r w:rsidRPr="002F5F97">
        <w:t xml:space="preserve">days, and </w:t>
      </w:r>
    </w:p>
    <w:p w14:paraId="23E45963" w14:textId="30385F8D" w:rsidR="00494ED8" w:rsidRPr="002F5F97" w:rsidRDefault="00494ED8" w:rsidP="00494ED8">
      <w:pPr>
        <w:pStyle w:val="Bullet"/>
      </w:pPr>
      <w:r w:rsidRPr="002F5F97">
        <w:tab/>
      </w:r>
      <w:r w:rsidR="00473C81">
        <w:t>t</w:t>
      </w:r>
      <w:r w:rsidRPr="002F5F97">
        <w:t>heir 95th percentile payment time ranks:</w:t>
      </w:r>
    </w:p>
    <w:p w14:paraId="0A45EA6F" w14:textId="7A526A3F" w:rsidR="00494ED8" w:rsidRPr="002F5F97" w:rsidRDefault="00494ED8" w:rsidP="00494ED8">
      <w:pPr>
        <w:pStyle w:val="Dash"/>
      </w:pPr>
      <w:r w:rsidRPr="002F5F97">
        <w:tab/>
        <w:t>in the bottom 20</w:t>
      </w:r>
      <w:r w:rsidR="00490DFB">
        <w:t> </w:t>
      </w:r>
      <w:r w:rsidRPr="002F5F97">
        <w:t>per</w:t>
      </w:r>
      <w:r w:rsidR="00490DFB">
        <w:t> </w:t>
      </w:r>
      <w:r w:rsidRPr="002F5F97">
        <w:t>cent of all reporting entities and reporting nominees overall, o</w:t>
      </w:r>
      <w:r w:rsidR="0050293B">
        <w:t>r</w:t>
      </w:r>
    </w:p>
    <w:p w14:paraId="373F5208" w14:textId="39D10079" w:rsidR="00494ED8" w:rsidRPr="002F5F97" w:rsidRDefault="00494ED8" w:rsidP="00494ED8">
      <w:pPr>
        <w:pStyle w:val="Dash"/>
      </w:pPr>
      <w:r w:rsidRPr="002F5F97">
        <w:tab/>
        <w:t>in the bottom 20</w:t>
      </w:r>
      <w:r w:rsidR="00490DFB">
        <w:t> </w:t>
      </w:r>
      <w:r w:rsidRPr="002F5F97">
        <w:t>per</w:t>
      </w:r>
      <w:r w:rsidR="00490DFB">
        <w:t> </w:t>
      </w:r>
      <w:r w:rsidRPr="002F5F97">
        <w:t>cent in a division of the ANZSIC, based on its reported primary</w:t>
      </w:r>
      <w:r w:rsidR="0050293B">
        <w:t> </w:t>
      </w:r>
      <w:r w:rsidRPr="002F5F97">
        <w:t>business activity.</w:t>
      </w:r>
    </w:p>
    <w:p w14:paraId="133ACF1B" w14:textId="067BEC22" w:rsidR="00494ED8" w:rsidRPr="002F5F97" w:rsidRDefault="00494ED8" w:rsidP="00494ED8">
      <w:r w:rsidRPr="002F5F97">
        <w:t>Payment times reports from the following entities are excluded from the calculation for</w:t>
      </w:r>
      <w:r w:rsidR="0050293B">
        <w:t> </w:t>
      </w:r>
      <w:r w:rsidRPr="002F5F97">
        <w:t>the purposes of identifying the bottom 20</w:t>
      </w:r>
      <w:r w:rsidR="0020695A">
        <w:t> </w:t>
      </w:r>
      <w:r w:rsidRPr="002F5F97">
        <w:t>per</w:t>
      </w:r>
      <w:r w:rsidR="0020695A">
        <w:t> </w:t>
      </w:r>
      <w:r w:rsidRPr="002F5F97">
        <w:t xml:space="preserve">cent: </w:t>
      </w:r>
    </w:p>
    <w:p w14:paraId="5227FC40" w14:textId="299D0D18" w:rsidR="00494ED8" w:rsidRPr="002F5F97" w:rsidRDefault="00494ED8" w:rsidP="00494ED8">
      <w:pPr>
        <w:pStyle w:val="Bullet"/>
      </w:pPr>
      <w:r w:rsidRPr="002F5F97">
        <w:tab/>
        <w:t xml:space="preserve">volunteer entities, and </w:t>
      </w:r>
    </w:p>
    <w:p w14:paraId="7D4BC794" w14:textId="0E639EFE" w:rsidR="00102305" w:rsidRPr="002F5F97" w:rsidRDefault="00494ED8" w:rsidP="00494ED8">
      <w:pPr>
        <w:pStyle w:val="Bullet"/>
      </w:pPr>
      <w:r w:rsidRPr="002F5F97">
        <w:tab/>
        <w:t>entities that are not required to provide details of their payment times as they submit modified reports</w:t>
      </w:r>
      <w:r w:rsidR="00A31338">
        <w:t>.</w:t>
      </w:r>
    </w:p>
    <w:p w14:paraId="2AB4C970" w14:textId="052B27DA" w:rsidR="00E838B2" w:rsidRPr="002F5F97" w:rsidRDefault="004031CA" w:rsidP="00E838B2">
      <w:pPr>
        <w:pStyle w:val="Heading3"/>
        <w:rPr>
          <w:rFonts w:cs="Times New Roman"/>
          <w:iCs/>
          <w:color w:val="auto"/>
          <w:kern w:val="0"/>
          <w:sz w:val="22"/>
          <w:szCs w:val="20"/>
        </w:rPr>
      </w:pPr>
      <w:r w:rsidRPr="002F5F97">
        <w:rPr>
          <w:noProof/>
        </w:rPr>
        <w:drawing>
          <wp:anchor distT="0" distB="0" distL="114300" distR="114300" simplePos="0" relativeHeight="251658250" behindDoc="0" locked="0" layoutInCell="1" allowOverlap="1" wp14:anchorId="0DA69FD7" wp14:editId="4880B98C">
            <wp:simplePos x="0" y="0"/>
            <wp:positionH relativeFrom="column">
              <wp:posOffset>-1270</wp:posOffset>
            </wp:positionH>
            <wp:positionV relativeFrom="paragraph">
              <wp:posOffset>366395</wp:posOffset>
            </wp:positionV>
            <wp:extent cx="792000" cy="792000"/>
            <wp:effectExtent l="0" t="0" r="0" b="8255"/>
            <wp:wrapSquare wrapText="bothSides"/>
            <wp:docPr id="171029781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97818" name="Picture 3">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96DAC541-7B7A-43D3-8B79-37D633B846F1}">
                          <asvg:svgBlip xmlns:asvg="http://schemas.microsoft.com/office/drawing/2016/SVG/main" r:embed="rId134"/>
                        </a:ext>
                      </a:extLst>
                    </a:blip>
                    <a:stretch>
                      <a:fillRect/>
                    </a:stretch>
                  </pic:blipFill>
                  <pic:spPr bwMode="auto">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sidR="00E83CC7" w:rsidRPr="002F5F97">
        <w:t>The</w:t>
      </w:r>
      <w:r w:rsidR="005571A5" w:rsidRPr="002F5F97">
        <w:t xml:space="preserve"> 30</w:t>
      </w:r>
      <w:r w:rsidR="005D0129">
        <w:noBreakHyphen/>
      </w:r>
      <w:r w:rsidR="005571A5" w:rsidRPr="002F5F97">
        <w:t xml:space="preserve">day </w:t>
      </w:r>
      <w:r w:rsidR="005D0129">
        <w:t>‘</w:t>
      </w:r>
      <w:r w:rsidR="005571A5" w:rsidRPr="002F5F97">
        <w:t>safe harbour</w:t>
      </w:r>
      <w:r w:rsidR="005D0129">
        <w:t>’</w:t>
      </w:r>
      <w:r w:rsidR="005571A5" w:rsidRPr="002F5F97">
        <w:t>: fairness in slow payer identification</w:t>
      </w:r>
    </w:p>
    <w:p w14:paraId="7893F5E2" w14:textId="0959C4B9" w:rsidR="002E12DD" w:rsidRPr="002F5F97" w:rsidRDefault="002E12DD" w:rsidP="002E12DD">
      <w:r w:rsidRPr="002F5F97">
        <w:t>The Regulator will not classify entities as slow small business payers if</w:t>
      </w:r>
      <w:r w:rsidR="004E4FF2">
        <w:t> </w:t>
      </w:r>
      <w:r w:rsidRPr="002F5F97">
        <w:t>they pay 95</w:t>
      </w:r>
      <w:r w:rsidR="004031CA">
        <w:t> </w:t>
      </w:r>
      <w:r w:rsidRPr="002F5F97">
        <w:t>per</w:t>
      </w:r>
      <w:r w:rsidR="004031CA">
        <w:t> </w:t>
      </w:r>
      <w:r w:rsidRPr="002F5F97">
        <w:t>cent of their small business invoices within 30</w:t>
      </w:r>
      <w:r w:rsidR="004E4FF2">
        <w:t> </w:t>
      </w:r>
      <w:r w:rsidRPr="002F5F97">
        <w:t>days, even</w:t>
      </w:r>
      <w:r w:rsidR="004E4FF2">
        <w:t> </w:t>
      </w:r>
      <w:r w:rsidRPr="002F5F97">
        <w:t>if they fall within the slowest 20</w:t>
      </w:r>
      <w:r w:rsidR="004E4FF2">
        <w:t> </w:t>
      </w:r>
      <w:r w:rsidRPr="002F5F97">
        <w:t>per</w:t>
      </w:r>
      <w:r w:rsidR="004E4FF2">
        <w:t> </w:t>
      </w:r>
      <w:r w:rsidRPr="002F5F97">
        <w:t>cent of entities.</w:t>
      </w:r>
    </w:p>
    <w:p w14:paraId="5F4CE931" w14:textId="32945759" w:rsidR="002E12DD" w:rsidRPr="002F5F97" w:rsidRDefault="002E12DD" w:rsidP="002E12DD">
      <w:r w:rsidRPr="002F5F97">
        <w:t xml:space="preserve">This </w:t>
      </w:r>
      <w:r w:rsidR="005D0129">
        <w:t>‘</w:t>
      </w:r>
      <w:r w:rsidRPr="002F5F97">
        <w:t>safe harbour</w:t>
      </w:r>
      <w:r w:rsidR="005D0129">
        <w:t>’</w:t>
      </w:r>
      <w:r w:rsidRPr="002F5F97">
        <w:t xml:space="preserve"> protects businesses that meet a reasonable payment standard</w:t>
      </w:r>
      <w:r w:rsidR="00ED6521">
        <w:t xml:space="preserve"> and</w:t>
      </w:r>
      <w:r w:rsidRPr="002F5F97">
        <w:t xml:space="preserve"> ensur</w:t>
      </w:r>
      <w:r w:rsidR="00ED6521">
        <w:t>es</w:t>
      </w:r>
      <w:r w:rsidRPr="002F5F97">
        <w:t xml:space="preserve"> that only genuinely slow paying entities are identified. It</w:t>
      </w:r>
      <w:r w:rsidR="008775A9">
        <w:t> </w:t>
      </w:r>
      <w:r w:rsidRPr="002F5F97">
        <w:t>reinforces fairness and proportionality in how payment performance is assessed under the Scheme.</w:t>
      </w:r>
    </w:p>
    <w:p w14:paraId="4EF1FE20" w14:textId="04B45736" w:rsidR="00E838B2" w:rsidRPr="002F5F97" w:rsidRDefault="002E12DD" w:rsidP="002E12DD">
      <w:r w:rsidRPr="002F5F97">
        <w:t>In Reporting Cycle 9, only 469</w:t>
      </w:r>
      <w:r w:rsidR="004E4FF2">
        <w:t> </w:t>
      </w:r>
      <w:r w:rsidRPr="002F5F97">
        <w:t>entities reported a 95</w:t>
      </w:r>
      <w:r w:rsidRPr="004E4FF2">
        <w:t>th</w:t>
      </w:r>
      <w:r w:rsidR="004E4FF2">
        <w:t> </w:t>
      </w:r>
      <w:r w:rsidRPr="002F5F97">
        <w:t>percentile payment time of 30</w:t>
      </w:r>
      <w:r w:rsidR="004E4FF2">
        <w:t> </w:t>
      </w:r>
      <w:r w:rsidRPr="002F5F97">
        <w:t>days or less. The average 95</w:t>
      </w:r>
      <w:r w:rsidRPr="004E4FF2">
        <w:t>th</w:t>
      </w:r>
      <w:r w:rsidR="004E4FF2">
        <w:t> </w:t>
      </w:r>
      <w:r w:rsidRPr="002F5F97">
        <w:t>percentile payment time across all entities was 64</w:t>
      </w:r>
      <w:r w:rsidR="004E4FF2">
        <w:t> </w:t>
      </w:r>
      <w:r w:rsidRPr="002F5F97">
        <w:t>days.</w:t>
      </w:r>
    </w:p>
    <w:p w14:paraId="51E2C97F" w14:textId="001E8AE5" w:rsidR="0083337E" w:rsidRPr="002F5F97" w:rsidRDefault="00134007" w:rsidP="0083337E">
      <w:pPr>
        <w:pStyle w:val="Heading3"/>
        <w:rPr>
          <w:rFonts w:cs="Times New Roman"/>
          <w:iCs/>
          <w:color w:val="auto"/>
          <w:kern w:val="0"/>
          <w:sz w:val="22"/>
          <w:szCs w:val="20"/>
        </w:rPr>
      </w:pPr>
      <w:r w:rsidRPr="002F5F97">
        <w:t xml:space="preserve">Reporting cycle vs </w:t>
      </w:r>
      <w:r w:rsidR="006719E8">
        <w:t>r</w:t>
      </w:r>
      <w:r w:rsidRPr="002F5F97">
        <w:t>eporting period</w:t>
      </w:r>
    </w:p>
    <w:p w14:paraId="44FF98EA" w14:textId="0759BA59" w:rsidR="004413E4" w:rsidRPr="002F5F97" w:rsidRDefault="004413E4" w:rsidP="004413E4">
      <w:r w:rsidRPr="002F5F97">
        <w:t xml:space="preserve">A reporting cycle differs </w:t>
      </w:r>
      <w:r w:rsidR="0044446B" w:rsidRPr="002F5F97">
        <w:t>from</w:t>
      </w:r>
      <w:r w:rsidRPr="002F5F97">
        <w:t xml:space="preserve"> a reporting period. To compar</w:t>
      </w:r>
      <w:r w:rsidR="00BF4A1E">
        <w:t>e</w:t>
      </w:r>
      <w:r w:rsidRPr="002F5F97">
        <w:t xml:space="preserve"> payment times for entities with different financial years and reporting periods, payment times reports are assigned to a reporting cycle based on the end date of the relevant reporting period</w:t>
      </w:r>
      <w:r w:rsidR="00D25B36">
        <w:t xml:space="preserve"> (see Appen</w:t>
      </w:r>
      <w:r w:rsidR="00BF4A1E">
        <w:t>dix A)</w:t>
      </w:r>
      <w:r w:rsidRPr="002F5F97">
        <w:t>.</w:t>
      </w:r>
    </w:p>
    <w:p w14:paraId="1C9A282B" w14:textId="77777777" w:rsidR="004413E4" w:rsidRPr="002F5F97" w:rsidRDefault="004413E4" w:rsidP="004413E4">
      <w:r w:rsidRPr="002F5F97">
        <w:t xml:space="preserve">There are two reporting </w:t>
      </w:r>
      <w:r w:rsidRPr="002F5F97">
        <w:rPr>
          <w:b/>
          <w:bCs/>
        </w:rPr>
        <w:t>cycles</w:t>
      </w:r>
      <w:r w:rsidRPr="002F5F97">
        <w:t xml:space="preserve"> each year: </w:t>
      </w:r>
    </w:p>
    <w:p w14:paraId="6103C752" w14:textId="77777777" w:rsidR="004413E4" w:rsidRPr="002F5F97" w:rsidRDefault="004413E4" w:rsidP="004413E4">
      <w:pPr>
        <w:pStyle w:val="Bullet"/>
      </w:pPr>
      <w:r w:rsidRPr="002F5F97">
        <w:t>1 January to 30 June, and</w:t>
      </w:r>
    </w:p>
    <w:p w14:paraId="5CC4A594" w14:textId="0D47F4E8" w:rsidR="002707C2" w:rsidRPr="002F5F97" w:rsidRDefault="004413E4" w:rsidP="00805861">
      <w:pPr>
        <w:pStyle w:val="Bullet"/>
        <w:spacing w:after="160" w:line="259" w:lineRule="auto"/>
      </w:pPr>
      <w:r w:rsidRPr="002F5F97">
        <w:t>1 July to 31 December.</w:t>
      </w:r>
      <w:r w:rsidR="002707C2" w:rsidRPr="002F5F97">
        <w:br w:type="page"/>
      </w:r>
    </w:p>
    <w:p w14:paraId="1EFF329E" w14:textId="3201C25C" w:rsidR="00434F5D" w:rsidRPr="002F5F97" w:rsidRDefault="009C1090" w:rsidP="00434F5D">
      <w:pPr>
        <w:pStyle w:val="Heading2"/>
        <w:rPr>
          <w:rFonts w:cs="Times New Roman"/>
          <w:color w:val="auto"/>
          <w:sz w:val="22"/>
          <w:szCs w:val="20"/>
        </w:rPr>
      </w:pPr>
      <w:r w:rsidRPr="002F5F97">
        <w:lastRenderedPageBreak/>
        <w:t>Slow small business payer direction</w:t>
      </w:r>
    </w:p>
    <w:p w14:paraId="6DCFCD91" w14:textId="219519D1" w:rsidR="00EE5636" w:rsidRPr="002F5F97" w:rsidRDefault="00EE5636" w:rsidP="00EE5636">
      <w:r w:rsidRPr="002F5F97">
        <w:t xml:space="preserve">A reporting entity or reporting nominee may be subject to a direction if it is identified as a </w:t>
      </w:r>
      <w:r w:rsidR="00EC0C83">
        <w:t>S</w:t>
      </w:r>
      <w:r w:rsidRPr="002F5F97">
        <w:t xml:space="preserve">low </w:t>
      </w:r>
      <w:r w:rsidR="00EC0C83">
        <w:t>S</w:t>
      </w:r>
      <w:r w:rsidRPr="002F5F97">
        <w:t xml:space="preserve">mall </w:t>
      </w:r>
      <w:r w:rsidR="00EC0C83">
        <w:t>B</w:t>
      </w:r>
      <w:r w:rsidRPr="002F5F97">
        <w:t xml:space="preserve">usiness </w:t>
      </w:r>
      <w:r w:rsidR="00EC0C83">
        <w:t>P</w:t>
      </w:r>
      <w:r w:rsidRPr="002F5F97">
        <w:t xml:space="preserve">ayer in </w:t>
      </w:r>
      <w:r w:rsidRPr="002F5F97">
        <w:rPr>
          <w:b/>
          <w:bCs/>
        </w:rPr>
        <w:t>2 consecutive reporting cycles</w:t>
      </w:r>
      <w:r w:rsidRPr="002F5F97">
        <w:t xml:space="preserve">. </w:t>
      </w:r>
    </w:p>
    <w:p w14:paraId="580E172E" w14:textId="09674256" w:rsidR="00EE5636" w:rsidRPr="002F5F97" w:rsidRDefault="00EE5636" w:rsidP="00EE5636">
      <w:r w:rsidRPr="002F5F97">
        <w:t xml:space="preserve">Importantly, failure to submit a payment times report does not exempt an entity from being subject to a direction. Where a report has not been submitted </w:t>
      </w:r>
      <w:r w:rsidR="00EC0C83">
        <w:t>(</w:t>
      </w:r>
      <w:r w:rsidRPr="002F5F97">
        <w:t>for a prior or future cycle</w:t>
      </w:r>
      <w:r w:rsidR="00EC0C83">
        <w:t>)</w:t>
      </w:r>
      <w:r w:rsidRPr="002F5F97">
        <w:t xml:space="preserve"> the entity is taken to have been identified as a slow small business payer for that </w:t>
      </w:r>
      <w:r w:rsidR="00EE7936">
        <w:t>cycle</w:t>
      </w:r>
      <w:r w:rsidRPr="002F5F97">
        <w:t>.</w:t>
      </w:r>
    </w:p>
    <w:p w14:paraId="2F9C21F1" w14:textId="409B5344" w:rsidR="00EE5636" w:rsidRPr="002F5F97" w:rsidRDefault="00EE5636" w:rsidP="00EE5636">
      <w:r w:rsidRPr="002F5F97">
        <w:t xml:space="preserve">The decision to give a direction remains at the discretion of the Regulator </w:t>
      </w:r>
      <w:r w:rsidR="0046320D" w:rsidRPr="002F5F97">
        <w:t>and/</w:t>
      </w:r>
      <w:r w:rsidRPr="002F5F97">
        <w:t>or Minister.</w:t>
      </w:r>
    </w:p>
    <w:p w14:paraId="13CEF96A" w14:textId="77777777" w:rsidR="00EE5636" w:rsidRPr="002F5F97" w:rsidRDefault="00EE5636" w:rsidP="00EE5636">
      <w:r w:rsidRPr="002F5F97">
        <w:t>Before a direction is issued:</w:t>
      </w:r>
    </w:p>
    <w:p w14:paraId="06430957" w14:textId="39D8082A" w:rsidR="00EE5636" w:rsidRPr="002F5F97" w:rsidRDefault="00EE5636" w:rsidP="00EE5636">
      <w:pPr>
        <w:pStyle w:val="Bullet"/>
      </w:pPr>
      <w:r w:rsidRPr="002F5F97">
        <w:tab/>
      </w:r>
      <w:r w:rsidR="00EC0C83">
        <w:t>a</w:t>
      </w:r>
      <w:r w:rsidRPr="002F5F97">
        <w:t>ll relevant matters and supporting information will be considered, and</w:t>
      </w:r>
    </w:p>
    <w:p w14:paraId="3F45870E" w14:textId="7DD27CD4" w:rsidR="00434F5D" w:rsidRPr="002F5F97" w:rsidRDefault="00EE5636" w:rsidP="00EE5636">
      <w:pPr>
        <w:pStyle w:val="Bullet"/>
      </w:pPr>
      <w:r w:rsidRPr="002F5F97">
        <w:tab/>
      </w:r>
      <w:r w:rsidR="00EC0C83">
        <w:t>e</w:t>
      </w:r>
      <w:r w:rsidRPr="002F5F97">
        <w:t>ntities will be given an opportunity to provide written submissions for consideration by the decision maker.</w:t>
      </w:r>
    </w:p>
    <w:p w14:paraId="600EDE53" w14:textId="2B4D3D6F" w:rsidR="00434F5D" w:rsidRPr="002F5F97" w:rsidRDefault="003D3C8F" w:rsidP="00434F5D">
      <w:pPr>
        <w:pStyle w:val="Heading3"/>
        <w:rPr>
          <w:rFonts w:cs="Times New Roman"/>
          <w:iCs/>
          <w:color w:val="auto"/>
          <w:kern w:val="0"/>
          <w:sz w:val="22"/>
          <w:szCs w:val="20"/>
        </w:rPr>
      </w:pPr>
      <w:r w:rsidRPr="002F5F97">
        <w:t>W</w:t>
      </w:r>
      <w:r w:rsidR="00434F5D" w:rsidRPr="002F5F97">
        <w:t>he</w:t>
      </w:r>
      <w:r w:rsidRPr="002F5F97">
        <w:t>n may directions be issued?</w:t>
      </w:r>
    </w:p>
    <w:p w14:paraId="3A6E616C" w14:textId="3DF04EDA" w:rsidR="004143CE" w:rsidRPr="002F5F97" w:rsidRDefault="004143CE" w:rsidP="004143CE">
      <w:r w:rsidRPr="002F5F97">
        <w:t xml:space="preserve">Reporting Cycle 9 and Reporting Cycle 10 are the first 2 consecutive reporting cycles that will be considered for identifying </w:t>
      </w:r>
      <w:r w:rsidR="0023602C" w:rsidRPr="002F5F97">
        <w:t>slow small business payer</w:t>
      </w:r>
      <w:r w:rsidR="0023602C">
        <w:t>s</w:t>
      </w:r>
      <w:r w:rsidR="0023602C" w:rsidRPr="002F5F97">
        <w:t xml:space="preserve"> </w:t>
      </w:r>
      <w:r w:rsidRPr="002F5F97">
        <w:t>and issuing directions.</w:t>
      </w:r>
    </w:p>
    <w:p w14:paraId="3573F7A3" w14:textId="583E53E1" w:rsidR="00434F5D" w:rsidRPr="002F5F97" w:rsidRDefault="004143CE" w:rsidP="004143CE">
      <w:r w:rsidRPr="002F5F97">
        <w:t>The first directions will be considered after 31</w:t>
      </w:r>
      <w:r w:rsidR="00DE22D5">
        <w:t> </w:t>
      </w:r>
      <w:r w:rsidRPr="002F5F97">
        <w:t>March</w:t>
      </w:r>
      <w:r w:rsidR="00DE22D5">
        <w:t> </w:t>
      </w:r>
      <w:r w:rsidRPr="002F5F97">
        <w:t>2026 when reports for Reporting</w:t>
      </w:r>
      <w:r w:rsidR="0023602C">
        <w:t xml:space="preserve"> </w:t>
      </w:r>
      <w:r w:rsidRPr="002F5F97">
        <w:t>Cycle</w:t>
      </w:r>
      <w:r w:rsidR="00DE22D5">
        <w:t> </w:t>
      </w:r>
      <w:r w:rsidRPr="002F5F97">
        <w:t>10 are due to be given to the Regulator.</w:t>
      </w:r>
    </w:p>
    <w:p w14:paraId="15E94A3B" w14:textId="75A9E2F1" w:rsidR="00292FF4" w:rsidRPr="002F5F97" w:rsidRDefault="00292FF4" w:rsidP="00292FF4">
      <w:pPr>
        <w:pStyle w:val="Heading3"/>
        <w:rPr>
          <w:rFonts w:cs="Times New Roman"/>
          <w:iCs/>
          <w:color w:val="auto"/>
          <w:kern w:val="0"/>
          <w:sz w:val="22"/>
          <w:szCs w:val="20"/>
        </w:rPr>
      </w:pPr>
      <w:r w:rsidRPr="002F5F97">
        <w:t xml:space="preserve">What </w:t>
      </w:r>
      <w:r w:rsidR="003F5EC6" w:rsidRPr="002F5F97">
        <w:t>may a direction require an entity to do</w:t>
      </w:r>
      <w:r w:rsidRPr="002F5F97">
        <w:t>?</w:t>
      </w:r>
    </w:p>
    <w:p w14:paraId="2EFF47F8" w14:textId="370FB18E" w:rsidR="006B1C7B" w:rsidRPr="002F5F97" w:rsidRDefault="006B1C7B" w:rsidP="006B1C7B">
      <w:r w:rsidRPr="002F5F97">
        <w:t xml:space="preserve">If a reporting entity or reporting nominee receives a direction, it may be required to publicly disclose its status as a </w:t>
      </w:r>
      <w:r w:rsidR="00DB07D9">
        <w:t>S</w:t>
      </w:r>
      <w:r w:rsidR="00DB07D9" w:rsidRPr="002F5F97">
        <w:t xml:space="preserve">low </w:t>
      </w:r>
      <w:r w:rsidR="00DB07D9">
        <w:t>S</w:t>
      </w:r>
      <w:r w:rsidR="00DB07D9" w:rsidRPr="002F5F97">
        <w:t xml:space="preserve">mall </w:t>
      </w:r>
      <w:r w:rsidR="00DB07D9">
        <w:t>B</w:t>
      </w:r>
      <w:r w:rsidR="00DB07D9" w:rsidRPr="002F5F97">
        <w:t xml:space="preserve">usiness </w:t>
      </w:r>
      <w:r w:rsidR="00DB07D9">
        <w:t>P</w:t>
      </w:r>
      <w:r w:rsidR="00DB07D9" w:rsidRPr="002F5F97">
        <w:t>ayer</w:t>
      </w:r>
      <w:r w:rsidRPr="002F5F97">
        <w:t>.</w:t>
      </w:r>
    </w:p>
    <w:p w14:paraId="1278AFC4" w14:textId="04B61620" w:rsidR="006B1C7B" w:rsidRPr="002F5F97" w:rsidRDefault="006B1C7B" w:rsidP="006B1C7B">
      <w:r w:rsidRPr="002F5F97">
        <w:t>This disclosure may need to appear on the entity</w:t>
      </w:r>
      <w:r w:rsidR="005D0129">
        <w:t>’</w:t>
      </w:r>
      <w:r w:rsidRPr="002F5F97">
        <w:t>s:</w:t>
      </w:r>
    </w:p>
    <w:p w14:paraId="3AFBAE4C" w14:textId="78F58A38" w:rsidR="006B1C7B" w:rsidRPr="002F5F97" w:rsidRDefault="006B1C7B" w:rsidP="006B1C7B">
      <w:pPr>
        <w:pStyle w:val="Bullet"/>
      </w:pPr>
      <w:r w:rsidRPr="002F5F97">
        <w:tab/>
        <w:t>website</w:t>
      </w:r>
    </w:p>
    <w:p w14:paraId="645A6702" w14:textId="33D88FD1" w:rsidR="006B1C7B" w:rsidRPr="002F5F97" w:rsidRDefault="006B1C7B" w:rsidP="006B1C7B">
      <w:pPr>
        <w:pStyle w:val="Bullet"/>
      </w:pPr>
      <w:r w:rsidRPr="002F5F97">
        <w:tab/>
        <w:t>procurement and tender documents</w:t>
      </w:r>
    </w:p>
    <w:p w14:paraId="7B2EA9EA" w14:textId="0457E84C" w:rsidR="006B1C7B" w:rsidRPr="002F5F97" w:rsidRDefault="00DB07D9" w:rsidP="006B1C7B">
      <w:pPr>
        <w:pStyle w:val="Bullet"/>
      </w:pPr>
      <w:r>
        <w:t>e</w:t>
      </w:r>
      <w:r w:rsidR="00566A62">
        <w:t xml:space="preserve">nvironmental, </w:t>
      </w:r>
      <w:r w:rsidR="00344D1C">
        <w:t>s</w:t>
      </w:r>
      <w:r w:rsidR="00566A62">
        <w:t>ocial</w:t>
      </w:r>
      <w:r w:rsidR="00344D1C">
        <w:t xml:space="preserve"> and governance (</w:t>
      </w:r>
      <w:r w:rsidR="006B1C7B" w:rsidRPr="002F5F97">
        <w:t>ESG</w:t>
      </w:r>
      <w:r w:rsidR="00344D1C">
        <w:t>)</w:t>
      </w:r>
      <w:r w:rsidR="006B1C7B" w:rsidRPr="002F5F97">
        <w:t xml:space="preserve"> sustainability reports, and/or</w:t>
      </w:r>
    </w:p>
    <w:p w14:paraId="31D16950" w14:textId="0D7C12CA" w:rsidR="00292FF4" w:rsidRPr="002F5F97" w:rsidRDefault="006B1C7B" w:rsidP="006B1C7B">
      <w:pPr>
        <w:pStyle w:val="Bullet"/>
      </w:pPr>
      <w:r w:rsidRPr="002F5F97">
        <w:tab/>
        <w:t>other relevant public</w:t>
      </w:r>
      <w:r w:rsidR="005D0129">
        <w:noBreakHyphen/>
      </w:r>
      <w:r w:rsidRPr="002F5F97">
        <w:t>facing materials.</w:t>
      </w:r>
    </w:p>
    <w:p w14:paraId="57046B3A" w14:textId="5951190B" w:rsidR="003F5EC6" w:rsidRPr="002F5F97" w:rsidRDefault="003F5EC6" w:rsidP="003F5EC6">
      <w:pPr>
        <w:pStyle w:val="Heading3"/>
        <w:rPr>
          <w:rFonts w:cs="Times New Roman"/>
          <w:iCs/>
          <w:color w:val="auto"/>
          <w:kern w:val="0"/>
          <w:sz w:val="22"/>
          <w:szCs w:val="20"/>
        </w:rPr>
      </w:pPr>
      <w:r w:rsidRPr="002F5F97">
        <w:t>Compliance with directions</w:t>
      </w:r>
    </w:p>
    <w:p w14:paraId="79FCA74A" w14:textId="3DE11B36" w:rsidR="00390800" w:rsidRPr="002F5F97" w:rsidRDefault="00390800" w:rsidP="00390800">
      <w:r w:rsidRPr="002F5F97">
        <w:t xml:space="preserve">Entities that fail to comply with a direction are liable to civil penalties. </w:t>
      </w:r>
    </w:p>
    <w:p w14:paraId="5B5C0F51" w14:textId="1267580C" w:rsidR="00292FF4" w:rsidRPr="002F5F97" w:rsidRDefault="00390800" w:rsidP="00390800">
      <w:r w:rsidRPr="002F5F97">
        <w:t>As part of the Regulator</w:t>
      </w:r>
      <w:r w:rsidR="005D0129">
        <w:t>’</w:t>
      </w:r>
      <w:r w:rsidRPr="002F5F97">
        <w:t xml:space="preserve">s 2025–26 Compliance and Enforcement Priorities, we will actively monitor compliance with directions issued by the Regulator </w:t>
      </w:r>
      <w:r w:rsidR="00B65255" w:rsidRPr="002F5F97">
        <w:t>and/</w:t>
      </w:r>
      <w:r w:rsidRPr="002F5F97">
        <w:t>or the Minister.</w:t>
      </w:r>
    </w:p>
    <w:p w14:paraId="6385A369" w14:textId="7853D9CB" w:rsidR="001D3AFE" w:rsidRPr="002F5F97" w:rsidRDefault="001D3AFE">
      <w:pPr>
        <w:spacing w:before="0" w:after="160" w:line="259" w:lineRule="auto"/>
      </w:pPr>
      <w:r w:rsidRPr="002F5F97">
        <w:br w:type="page"/>
      </w:r>
    </w:p>
    <w:p w14:paraId="248D6ABE" w14:textId="01F17577" w:rsidR="001D3AFE" w:rsidRPr="002F5F97" w:rsidRDefault="001D3AFE" w:rsidP="001D3AFE">
      <w:pPr>
        <w:pStyle w:val="ChapterHeading1"/>
      </w:pPr>
      <w:bookmarkStart w:id="40" w:name="_Toc220068378"/>
      <w:r w:rsidRPr="002F5F97">
        <w:lastRenderedPageBreak/>
        <w:t>S</w:t>
      </w:r>
      <w:r w:rsidR="00E8772B" w:rsidRPr="002F5F97">
        <w:t xml:space="preserve">mall </w:t>
      </w:r>
      <w:r w:rsidR="008A3118" w:rsidRPr="002F5F97">
        <w:t>B</w:t>
      </w:r>
      <w:r w:rsidR="00E8772B" w:rsidRPr="002F5F97">
        <w:t xml:space="preserve">usiness </w:t>
      </w:r>
      <w:r w:rsidR="008A3118" w:rsidRPr="002F5F97">
        <w:t>I</w:t>
      </w:r>
      <w:r w:rsidR="00E8772B" w:rsidRPr="002F5F97">
        <w:t>dentification</w:t>
      </w:r>
      <w:r w:rsidR="008A3118" w:rsidRPr="002F5F97">
        <w:t xml:space="preserve"> T</w:t>
      </w:r>
      <w:r w:rsidR="00E8772B" w:rsidRPr="002F5F97">
        <w:t>ool</w:t>
      </w:r>
      <w:bookmarkEnd w:id="40"/>
    </w:p>
    <w:p w14:paraId="39FF7A1F" w14:textId="54E962D6" w:rsidR="005B638D" w:rsidRPr="002F5F97" w:rsidRDefault="005B638D" w:rsidP="005B638D">
      <w:r w:rsidRPr="002F5F97">
        <w:t xml:space="preserve">We encourage all reporting entities to read the updated </w:t>
      </w:r>
      <w:hyperlink r:id="rId135" w:history="1">
        <w:r w:rsidRPr="0067501E">
          <w:rPr>
            <w:rStyle w:val="Hyperlink"/>
          </w:rPr>
          <w:t>Information Sheet 6</w:t>
        </w:r>
      </w:hyperlink>
      <w:r w:rsidRPr="002F5F97">
        <w:t xml:space="preserve"> published in</w:t>
      </w:r>
      <w:r w:rsidR="008679CA">
        <w:t> </w:t>
      </w:r>
      <w:r w:rsidRPr="002F5F97">
        <w:t>December 2025, which provides clearer, consolidated guidance on the use of the SBI</w:t>
      </w:r>
      <w:r w:rsidR="008679CA">
        <w:t> </w:t>
      </w:r>
      <w:r w:rsidRPr="002F5F97">
        <w:t>Tool.</w:t>
      </w:r>
    </w:p>
    <w:p w14:paraId="18FCCFC1" w14:textId="77777777" w:rsidR="005B638D" w:rsidRPr="002F5F97" w:rsidRDefault="005B638D" w:rsidP="005B638D">
      <w:r w:rsidRPr="002F5F97">
        <w:t>The updated information sheet outlines:</w:t>
      </w:r>
    </w:p>
    <w:p w14:paraId="35BAE672" w14:textId="6223F8F8" w:rsidR="005B638D" w:rsidRPr="002F5F97" w:rsidRDefault="005B638D" w:rsidP="005B638D">
      <w:pPr>
        <w:pStyle w:val="Bullet"/>
      </w:pPr>
      <w:r w:rsidRPr="002F5F97">
        <w:tab/>
        <w:t>what the SBI Tool is used for</w:t>
      </w:r>
    </w:p>
    <w:p w14:paraId="5E277A41" w14:textId="40292436" w:rsidR="005B638D" w:rsidRPr="002F5F97" w:rsidRDefault="005B638D" w:rsidP="005B638D">
      <w:pPr>
        <w:pStyle w:val="Bullet"/>
      </w:pPr>
      <w:r w:rsidRPr="002F5F97">
        <w:tab/>
        <w:t>how to interpret outcomes</w:t>
      </w:r>
    </w:p>
    <w:p w14:paraId="2B89FD76" w14:textId="7A9E28F3" w:rsidR="005B638D" w:rsidRPr="002F5F97" w:rsidRDefault="005B638D" w:rsidP="005B638D">
      <w:pPr>
        <w:pStyle w:val="Bullet"/>
      </w:pPr>
      <w:r w:rsidRPr="002F5F97">
        <w:tab/>
        <w:t>when to re</w:t>
      </w:r>
      <w:r w:rsidR="005D0129">
        <w:noBreakHyphen/>
      </w:r>
      <w:r w:rsidRPr="002F5F97">
        <w:t>check supplier classifications, and</w:t>
      </w:r>
    </w:p>
    <w:p w14:paraId="67CD5648" w14:textId="711D9AA7" w:rsidR="005B638D" w:rsidRPr="002F5F97" w:rsidRDefault="005B638D" w:rsidP="005B638D">
      <w:pPr>
        <w:pStyle w:val="Bullet"/>
      </w:pPr>
      <w:r w:rsidRPr="002F5F97">
        <w:tab/>
        <w:t>how to contact the Regulator to request updates outside the annual cycle.</w:t>
      </w:r>
    </w:p>
    <w:p w14:paraId="1051A1B0" w14:textId="242994E3" w:rsidR="001D3AFE" w:rsidRPr="002F5F97" w:rsidRDefault="005B638D" w:rsidP="005B638D">
      <w:r w:rsidRPr="002F5F97">
        <w:t xml:space="preserve">The strengthened information sheet provides reporting entities </w:t>
      </w:r>
      <w:r w:rsidR="00A819C1">
        <w:t xml:space="preserve">with </w:t>
      </w:r>
      <w:r w:rsidRPr="002F5F97">
        <w:t>clearer guardrails</w:t>
      </w:r>
      <w:r w:rsidR="00A819C1">
        <w:t xml:space="preserve"> </w:t>
      </w:r>
      <w:r w:rsidRPr="002F5F97">
        <w:t xml:space="preserve">while maintaining the </w:t>
      </w:r>
      <w:r w:rsidR="00A819C1">
        <w:t>SBI T</w:t>
      </w:r>
      <w:r w:rsidRPr="002F5F97">
        <w:t>ool</w:t>
      </w:r>
      <w:r w:rsidR="005D0129">
        <w:t>’</w:t>
      </w:r>
      <w:r w:rsidRPr="002F5F97">
        <w:t xml:space="preserve">s ease of use. </w:t>
      </w:r>
      <w:r w:rsidR="00F41F5A">
        <w:t>It</w:t>
      </w:r>
      <w:r w:rsidRPr="002F5F97">
        <w:t xml:space="preserve"> focus</w:t>
      </w:r>
      <w:r w:rsidR="003B13DD">
        <w:t>es</w:t>
      </w:r>
      <w:r w:rsidR="00AF5F9E">
        <w:t xml:space="preserve"> </w:t>
      </w:r>
      <w:r w:rsidRPr="002F5F97">
        <w:t xml:space="preserve">on how </w:t>
      </w:r>
      <w:r w:rsidR="00A819C1">
        <w:t>it</w:t>
      </w:r>
      <w:r w:rsidRPr="002F5F97">
        <w:t xml:space="preserve"> should be used, when its underlying data can change, and what the Regulator requires when submitting a request to change an entity</w:t>
      </w:r>
      <w:r w:rsidR="005D0129">
        <w:t>’</w:t>
      </w:r>
      <w:r w:rsidRPr="002F5F97">
        <w:t>s classification.</w:t>
      </w:r>
    </w:p>
    <w:p w14:paraId="69C9ED7C" w14:textId="3E66C9F7" w:rsidR="0082537F" w:rsidRPr="002F5F97" w:rsidRDefault="006C20E2" w:rsidP="00911711">
      <w:pPr>
        <w:pStyle w:val="Heading2"/>
      </w:pPr>
      <w:r w:rsidRPr="002F5F97">
        <w:t xml:space="preserve">Purpose </w:t>
      </w:r>
      <w:r w:rsidR="00AA56A2" w:rsidRPr="002F5F97">
        <w:t>of the SBI Tool</w:t>
      </w:r>
    </w:p>
    <w:p w14:paraId="5E2F73FC" w14:textId="212F89DB" w:rsidR="0082537F" w:rsidRPr="002F5F97" w:rsidRDefault="00BD1355" w:rsidP="00E25416">
      <w:r w:rsidRPr="002F5F97">
        <w:t xml:space="preserve">The SBI Tool is designed to help reporting entities determine </w:t>
      </w:r>
      <w:r w:rsidR="00EE76D2">
        <w:t>which of</w:t>
      </w:r>
      <w:r w:rsidRPr="002F5F97">
        <w:t xml:space="preserve"> their suppliers are classified as small businesses for the purposes of </w:t>
      </w:r>
      <w:r w:rsidR="00EE76D2">
        <w:t>p</w:t>
      </w:r>
      <w:r w:rsidRPr="002F5F97">
        <w:t xml:space="preserve">ayment </w:t>
      </w:r>
      <w:r w:rsidR="00EE76D2">
        <w:t>t</w:t>
      </w:r>
      <w:r w:rsidRPr="002F5F97">
        <w:t xml:space="preserve">imes </w:t>
      </w:r>
      <w:r w:rsidR="00EE76D2">
        <w:t>r</w:t>
      </w:r>
      <w:r w:rsidRPr="002F5F97">
        <w:t>eporting.</w:t>
      </w:r>
    </w:p>
    <w:tbl>
      <w:tblPr>
        <w:tblW w:w="5000" w:type="pct"/>
        <w:shd w:val="clear" w:color="auto" w:fill="CCDCDB"/>
        <w:tblCellMar>
          <w:top w:w="57" w:type="dxa"/>
          <w:left w:w="284" w:type="dxa"/>
          <w:bottom w:w="170" w:type="dxa"/>
          <w:right w:w="284" w:type="dxa"/>
        </w:tblCellMar>
        <w:tblLook w:val="01E0" w:firstRow="1" w:lastRow="1" w:firstColumn="1" w:lastColumn="1" w:noHBand="0" w:noVBand="0"/>
      </w:tblPr>
      <w:tblGrid>
        <w:gridCol w:w="8504"/>
      </w:tblGrid>
      <w:tr w:rsidR="00BD1355" w:rsidRPr="005D0129" w14:paraId="61DFD5E5" w14:textId="77777777" w:rsidTr="00F71E11">
        <w:tc>
          <w:tcPr>
            <w:tcW w:w="5000" w:type="pct"/>
            <w:shd w:val="clear" w:color="auto" w:fill="E5EDED"/>
          </w:tcPr>
          <w:p w14:paraId="0AD6BAFE" w14:textId="2A946096" w:rsidR="00BD1355" w:rsidRPr="005D0129" w:rsidRDefault="00403438" w:rsidP="004B1044">
            <w:pPr>
              <w:pStyle w:val="BoxHeading-Greenbox"/>
            </w:pPr>
            <w:r w:rsidRPr="005D0129">
              <w:t>Did you know?</w:t>
            </w:r>
          </w:p>
          <w:p w14:paraId="6AD053A6" w14:textId="6BB61300" w:rsidR="00BD1355" w:rsidRPr="005D0129" w:rsidRDefault="00403438" w:rsidP="004B1044">
            <w:pPr>
              <w:pStyle w:val="BoxText"/>
              <w:rPr>
                <w:b/>
                <w:bCs/>
              </w:rPr>
            </w:pPr>
            <w:r w:rsidRPr="005D0129">
              <w:rPr>
                <w:b/>
                <w:bCs/>
              </w:rPr>
              <w:t>Use of the SBI Tool is required by law</w:t>
            </w:r>
          </w:p>
          <w:p w14:paraId="0029E26B" w14:textId="4522E9C1" w:rsidR="00BD1355" w:rsidRPr="005D0129" w:rsidRDefault="002E5536" w:rsidP="002E5536">
            <w:pPr>
              <w:pStyle w:val="BoxText"/>
            </w:pPr>
            <w:r w:rsidRPr="005D0129">
              <w:t xml:space="preserve">Reporting entities </w:t>
            </w:r>
            <w:r w:rsidRPr="005D0129">
              <w:rPr>
                <w:b/>
                <w:bCs/>
              </w:rPr>
              <w:t>must</w:t>
            </w:r>
            <w:r w:rsidRPr="005D0129">
              <w:t xml:space="preserve"> use the tool to identify small business suppliers each time a payment times report is submitted.</w:t>
            </w:r>
          </w:p>
        </w:tc>
      </w:tr>
    </w:tbl>
    <w:p w14:paraId="10356DBC" w14:textId="1B19ADA8" w:rsidR="006C20E2" w:rsidRPr="00911711" w:rsidRDefault="006B5E06" w:rsidP="00911711">
      <w:pPr>
        <w:pStyle w:val="Heading3"/>
      </w:pPr>
      <w:r w:rsidRPr="00911711">
        <w:t>Trends in SBI Tool usage</w:t>
      </w:r>
    </w:p>
    <w:p w14:paraId="6CBF7FE3" w14:textId="20E3B015" w:rsidR="006C20E2" w:rsidRPr="002F5F97" w:rsidRDefault="00BB1323" w:rsidP="006C20E2">
      <w:r w:rsidRPr="002F5F97">
        <w:t>Over the past year, the Regulator has observed strong and consistent use of the SBI Tool, particularly in the lead</w:t>
      </w:r>
      <w:r w:rsidR="005D0129">
        <w:noBreakHyphen/>
      </w:r>
      <w:r w:rsidRPr="002F5F97">
        <w:t xml:space="preserve">up to reporting periods. This pattern indicates </w:t>
      </w:r>
      <w:r w:rsidR="00F23E43">
        <w:t>it</w:t>
      </w:r>
      <w:r w:rsidRPr="002F5F97">
        <w:t xml:space="preserve"> is being used for its intended purpose: checking small business status ahead of </w:t>
      </w:r>
      <w:r w:rsidR="00F23E43" w:rsidRPr="002F5F97">
        <w:t>prepar</w:t>
      </w:r>
      <w:r w:rsidR="00F23E43">
        <w:t>ing</w:t>
      </w:r>
      <w:r w:rsidR="00F23E43" w:rsidRPr="002F5F97">
        <w:t xml:space="preserve"> </w:t>
      </w:r>
      <w:r w:rsidRPr="002F5F97">
        <w:t>and submi</w:t>
      </w:r>
      <w:r w:rsidR="00F23E43">
        <w:t>tting</w:t>
      </w:r>
      <w:r w:rsidR="00F23E43" w:rsidRPr="00F23E43">
        <w:t xml:space="preserve"> </w:t>
      </w:r>
      <w:r w:rsidR="00F23E43" w:rsidRPr="002F5F97">
        <w:t>report</w:t>
      </w:r>
      <w:r w:rsidR="00F23E43">
        <w:t>s</w:t>
      </w:r>
      <w:r w:rsidRPr="002F5F97">
        <w:t>.</w:t>
      </w:r>
    </w:p>
    <w:p w14:paraId="6F35BC42" w14:textId="77777777" w:rsidR="00BB1323" w:rsidRPr="00911711" w:rsidRDefault="00BB1323" w:rsidP="00911711">
      <w:pPr>
        <w:pStyle w:val="Heading3"/>
      </w:pPr>
      <w:r w:rsidRPr="00911711">
        <w:t>When can SBI Tool results change?</w:t>
      </w:r>
    </w:p>
    <w:p w14:paraId="4138CB8F" w14:textId="5ABAAADA" w:rsidR="00BB1323" w:rsidRPr="002F5F97" w:rsidRDefault="00B70E7B" w:rsidP="00BB1323">
      <w:r w:rsidRPr="002F5F97">
        <w:t>Information Sheet 6 clarifies that SBI Tool outcomes are point</w:t>
      </w:r>
      <w:r w:rsidR="005D0129">
        <w:noBreakHyphen/>
      </w:r>
      <w:r w:rsidRPr="002F5F97">
        <w:t>in</w:t>
      </w:r>
      <w:r w:rsidR="005D0129">
        <w:noBreakHyphen/>
      </w:r>
      <w:r w:rsidRPr="002F5F97">
        <w:t>time assessments. Changes to the underlying data may occur in two ways:</w:t>
      </w:r>
    </w:p>
    <w:p w14:paraId="5463BC46" w14:textId="45F2EDCE" w:rsidR="00F66595" w:rsidRPr="002F5F97" w:rsidRDefault="009259DF" w:rsidP="00F66595">
      <w:r w:rsidRPr="002F5F97">
        <w:rPr>
          <w:noProof/>
        </w:rPr>
        <w:drawing>
          <wp:anchor distT="0" distB="0" distL="114300" distR="114300" simplePos="0" relativeHeight="251658240" behindDoc="1" locked="0" layoutInCell="1" allowOverlap="1" wp14:anchorId="25EFF94F" wp14:editId="45B3FFB6">
            <wp:simplePos x="0" y="0"/>
            <wp:positionH relativeFrom="column">
              <wp:posOffset>22860</wp:posOffset>
            </wp:positionH>
            <wp:positionV relativeFrom="paragraph">
              <wp:posOffset>40386</wp:posOffset>
            </wp:positionV>
            <wp:extent cx="882650" cy="882650"/>
            <wp:effectExtent l="0" t="0" r="0" b="0"/>
            <wp:wrapSquare wrapText="bothSides"/>
            <wp:docPr id="213475234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52342" name="Picture 43">
                      <a:extLst>
                        <a:ext uri="{C183D7F6-B498-43B3-948B-1728B52AA6E4}">
                          <adec:decorative xmlns:adec="http://schemas.microsoft.com/office/drawing/2017/decorative" val="1"/>
                        </a:ext>
                      </a:extLst>
                    </pic:cNvPr>
                    <pic:cNvPicPr>
                      <a:picLocks noChangeAspect="1" noChangeArrowheads="1"/>
                    </pic:cNvPicPr>
                  </pic:nvPicPr>
                  <pic:blipFill>
                    <a:blip r:embed="rId136">
                      <a:extLst>
                        <a:ext uri="{96DAC541-7B7A-43D3-8B79-37D633B846F1}">
                          <asvg:svgBlip xmlns:asvg="http://schemas.microsoft.com/office/drawing/2016/SVG/main" r:embed="rId137"/>
                        </a:ext>
                      </a:extLst>
                    </a:blip>
                    <a:stretch>
                      <a:fillRect/>
                    </a:stretch>
                  </pic:blipFill>
                  <pic:spPr bwMode="auto">
                    <a:xfrm>
                      <a:off x="0" y="0"/>
                      <a:ext cx="882650" cy="882650"/>
                    </a:xfrm>
                    <a:prstGeom prst="rect">
                      <a:avLst/>
                    </a:prstGeom>
                  </pic:spPr>
                </pic:pic>
              </a:graphicData>
            </a:graphic>
            <wp14:sizeRelH relativeFrom="margin">
              <wp14:pctWidth>0</wp14:pctWidth>
            </wp14:sizeRelH>
          </wp:anchor>
        </w:drawing>
      </w:r>
      <w:r w:rsidR="00F66595" w:rsidRPr="002F5F97">
        <w:rPr>
          <w:b/>
          <w:bCs/>
        </w:rPr>
        <w:t>Annual updates:</w:t>
      </w:r>
      <w:r w:rsidR="00F66595" w:rsidRPr="002F5F97">
        <w:t xml:space="preserve"> The Regulator refreshes the </w:t>
      </w:r>
      <w:r w:rsidR="00F23E43" w:rsidRPr="002F5F97">
        <w:t>SBI Tool</w:t>
      </w:r>
      <w:r w:rsidR="00F23E43">
        <w:t>’s</w:t>
      </w:r>
      <w:r w:rsidR="00F23E43" w:rsidRPr="002F5F97">
        <w:t xml:space="preserve"> </w:t>
      </w:r>
      <w:r w:rsidR="00F66595" w:rsidRPr="002F5F97">
        <w:t>inputs each year to</w:t>
      </w:r>
      <w:r w:rsidR="00263DEF">
        <w:t> </w:t>
      </w:r>
      <w:r w:rsidR="00F66595" w:rsidRPr="002F5F97">
        <w:t>reflect the most current available data.</w:t>
      </w:r>
    </w:p>
    <w:p w14:paraId="3EDA2C44" w14:textId="55BAC528" w:rsidR="006C20E2" w:rsidRPr="002F5F97" w:rsidRDefault="00F66595" w:rsidP="00F66595">
      <w:r w:rsidRPr="002F5F97">
        <w:rPr>
          <w:b/>
          <w:bCs/>
        </w:rPr>
        <w:t>Ad hoc changes:</w:t>
      </w:r>
      <w:r w:rsidRPr="002F5F97">
        <w:t xml:space="preserve"> The data may also be updated at any time, when a request to change a supplier</w:t>
      </w:r>
      <w:r w:rsidR="005D0129">
        <w:t>’</w:t>
      </w:r>
      <w:r w:rsidRPr="002F5F97">
        <w:t>s classification is received and approved by</w:t>
      </w:r>
      <w:r w:rsidR="00263DEF">
        <w:t> </w:t>
      </w:r>
      <w:r w:rsidRPr="002F5F97">
        <w:t>the Regulator.</w:t>
      </w:r>
    </w:p>
    <w:p w14:paraId="1B937A27" w14:textId="36B419EB" w:rsidR="00911711" w:rsidRDefault="00911711">
      <w:pPr>
        <w:spacing w:before="0" w:after="160" w:line="259" w:lineRule="auto"/>
      </w:pPr>
      <w:r>
        <w:br w:type="page"/>
      </w:r>
    </w:p>
    <w:p w14:paraId="1DC1B860" w14:textId="792D79E3" w:rsidR="006C20E2" w:rsidRPr="002F5F97" w:rsidRDefault="005D635E" w:rsidP="00C51C44">
      <w:pPr>
        <w:pStyle w:val="Heading3"/>
      </w:pPr>
      <w:r w:rsidRPr="002F5F97">
        <w:t>How to request an ad hoc change</w:t>
      </w:r>
    </w:p>
    <w:p w14:paraId="79FA9948" w14:textId="52A13090" w:rsidR="00EB05CE" w:rsidRPr="002F5F97" w:rsidRDefault="00900A78" w:rsidP="00EB05CE">
      <w:r>
        <w:t>E</w:t>
      </w:r>
      <w:r w:rsidR="00EB05CE" w:rsidRPr="002F5F97">
        <w:t xml:space="preserve">ntities must submit a </w:t>
      </w:r>
      <w:r w:rsidR="005D0129">
        <w:t>‘</w:t>
      </w:r>
      <w:r w:rsidR="00EB05CE" w:rsidRPr="002F5F97">
        <w:t>Notification to Correct the SBI Tool</w:t>
      </w:r>
      <w:r w:rsidR="005D0129">
        <w:t>’</w:t>
      </w:r>
      <w:r w:rsidR="00EB05CE" w:rsidRPr="002F5F97">
        <w:t xml:space="preserve"> </w:t>
      </w:r>
      <w:r w:rsidR="0001709A">
        <w:t xml:space="preserve">form </w:t>
      </w:r>
      <w:r w:rsidR="00EB05CE" w:rsidRPr="002F5F97">
        <w:t xml:space="preserve">to the Regulator through the </w:t>
      </w:r>
      <w:r>
        <w:t>p</w:t>
      </w:r>
      <w:r w:rsidR="00EB05CE" w:rsidRPr="002F5F97">
        <w:t xml:space="preserve">ortal. Each request </w:t>
      </w:r>
      <w:r w:rsidR="00EB05CE" w:rsidRPr="002F5F97">
        <w:rPr>
          <w:b/>
          <w:bCs/>
        </w:rPr>
        <w:t>must be supported by one of the following</w:t>
      </w:r>
      <w:r w:rsidR="00EB05CE" w:rsidRPr="002F5F97">
        <w:t>:</w:t>
      </w:r>
    </w:p>
    <w:p w14:paraId="1DD75F36" w14:textId="1BE62C7A" w:rsidR="00EB05CE" w:rsidRPr="002F5F97" w:rsidRDefault="00EB05CE" w:rsidP="00EB05CE">
      <w:pPr>
        <w:pStyle w:val="Bullet"/>
      </w:pPr>
      <w:r w:rsidRPr="002F5F97">
        <w:tab/>
        <w:t>a statutory declaration affirming the supplier was paid $10</w:t>
      </w:r>
      <w:r w:rsidR="00C51C44">
        <w:t> </w:t>
      </w:r>
      <w:r w:rsidRPr="002F5F97">
        <w:t xml:space="preserve">million or more in their financial year, </w:t>
      </w:r>
      <w:r w:rsidRPr="002F5F97">
        <w:rPr>
          <w:b/>
          <w:bCs/>
        </w:rPr>
        <w:t>or</w:t>
      </w:r>
    </w:p>
    <w:p w14:paraId="6A6C5E6D" w14:textId="1B3C7CBB" w:rsidR="00EB05CE" w:rsidRPr="002F5F97" w:rsidRDefault="00EB05CE" w:rsidP="00EB05CE">
      <w:pPr>
        <w:pStyle w:val="Bullet"/>
      </w:pPr>
      <w:r w:rsidRPr="002F5F97">
        <w:tab/>
        <w:t>documentary evidence showing the supplier was paid $10</w:t>
      </w:r>
      <w:r w:rsidR="00C51C44">
        <w:t> </w:t>
      </w:r>
      <w:r w:rsidRPr="002F5F97">
        <w:t xml:space="preserve">million or more in their financial year (e.g. contracts, statements, or supplier confirmation identifying the relevant financial year), </w:t>
      </w:r>
      <w:r w:rsidRPr="002F5F97">
        <w:rPr>
          <w:b/>
          <w:bCs/>
        </w:rPr>
        <w:t>or</w:t>
      </w:r>
    </w:p>
    <w:p w14:paraId="5A6F6432" w14:textId="0090AC37" w:rsidR="00EB05CE" w:rsidRPr="002F5F97" w:rsidRDefault="00EB05CE" w:rsidP="00EB05CE">
      <w:pPr>
        <w:pStyle w:val="Bullet"/>
      </w:pPr>
      <w:r w:rsidRPr="002F5F97">
        <w:tab/>
        <w:t>evidence that the supplier is part of a corporate group with consolidated annual revenue of $10</w:t>
      </w:r>
      <w:r w:rsidR="00C51C44">
        <w:t> </w:t>
      </w:r>
      <w:r w:rsidRPr="002F5F97">
        <w:t>million or more. For example:</w:t>
      </w:r>
    </w:p>
    <w:p w14:paraId="7E63C1E1" w14:textId="5A699990" w:rsidR="00EB05CE" w:rsidRPr="002F5F97" w:rsidRDefault="00EB05CE" w:rsidP="00EB05CE">
      <w:pPr>
        <w:pStyle w:val="Dash"/>
      </w:pPr>
      <w:r w:rsidRPr="002F5F97">
        <w:tab/>
        <w:t>the supplier</w:t>
      </w:r>
      <w:r w:rsidR="005D0129">
        <w:t>’</w:t>
      </w:r>
      <w:r w:rsidRPr="002F5F97">
        <w:t>s parent is listed as a reporting entity on the Payment Times Reports</w:t>
      </w:r>
      <w:r w:rsidR="00C51C44">
        <w:t> </w:t>
      </w:r>
      <w:r w:rsidRPr="002F5F97">
        <w:t xml:space="preserve">Register, </w:t>
      </w:r>
      <w:r w:rsidRPr="002F5F97">
        <w:rPr>
          <w:b/>
          <w:bCs/>
        </w:rPr>
        <w:t>or</w:t>
      </w:r>
    </w:p>
    <w:p w14:paraId="5411CE45" w14:textId="2E39AB26" w:rsidR="00EB05CE" w:rsidRPr="002F5F97" w:rsidRDefault="00EB05CE" w:rsidP="00EB05CE">
      <w:pPr>
        <w:pStyle w:val="Dash"/>
      </w:pPr>
      <w:r w:rsidRPr="002F5F97">
        <w:tab/>
        <w:t>financial statements showing consolidated revenue above the threshold.</w:t>
      </w:r>
    </w:p>
    <w:p w14:paraId="2BCB025C" w14:textId="2ED4C92D" w:rsidR="006C20E2" w:rsidRPr="002F5F97" w:rsidRDefault="00EB05CE" w:rsidP="00EB05CE">
      <w:r w:rsidRPr="002F5F97">
        <w:t>If you</w:t>
      </w:r>
      <w:r w:rsidR="005D0129">
        <w:t>’</w:t>
      </w:r>
      <w:r w:rsidRPr="002F5F97">
        <w:t>re unable to provide the required evidence, you may ask the supplier to contact the</w:t>
      </w:r>
      <w:r w:rsidR="00C51C44">
        <w:t> </w:t>
      </w:r>
      <w:r w:rsidRPr="002F5F97">
        <w:t>Regulator directly to request a correction to their classification for the purposes of payment times reporting.</w:t>
      </w:r>
    </w:p>
    <w:p w14:paraId="18E22070" w14:textId="6BE22F10" w:rsidR="003835E8" w:rsidRPr="002F5F97" w:rsidRDefault="00413626" w:rsidP="003835E8">
      <w:pPr>
        <w:pStyle w:val="Heading4"/>
      </w:pPr>
      <w:r w:rsidRPr="002F5F97">
        <w:t xml:space="preserve">Processing </w:t>
      </w:r>
      <w:r w:rsidR="00E4790F" w:rsidRPr="002F5F97">
        <w:t>times</w:t>
      </w:r>
    </w:p>
    <w:p w14:paraId="36032B87" w14:textId="3B579ED6" w:rsidR="003835E8" w:rsidRPr="002F5F97" w:rsidRDefault="00A02149" w:rsidP="003835E8">
      <w:r w:rsidRPr="002F5F97">
        <w:t xml:space="preserve">The Regulator is committed to processing </w:t>
      </w:r>
      <w:r w:rsidR="001A0AAC">
        <w:t>these n</w:t>
      </w:r>
      <w:r w:rsidRPr="002F5F97">
        <w:t>otification</w:t>
      </w:r>
      <w:r w:rsidR="0001709A">
        <w:t xml:space="preserve"> forms</w:t>
      </w:r>
      <w:r w:rsidRPr="002F5F97">
        <w:t xml:space="preserve"> within 28 days, provided all required documentation has been submitted for consideration.</w:t>
      </w:r>
    </w:p>
    <w:p w14:paraId="65199312" w14:textId="4FBD6668" w:rsidR="003835E8" w:rsidRDefault="002A28EA" w:rsidP="001D3AFE">
      <w:pPr>
        <w:pStyle w:val="DoubleDot"/>
        <w:numPr>
          <w:ilvl w:val="0"/>
          <w:numId w:val="0"/>
        </w:numPr>
      </w:pPr>
      <w:r w:rsidRPr="002F5F97">
        <w:t>For the period 1</w:t>
      </w:r>
      <w:r w:rsidR="00217D02">
        <w:t> </w:t>
      </w:r>
      <w:r w:rsidRPr="002F5F97">
        <w:t>July</w:t>
      </w:r>
      <w:r w:rsidR="001A0AAC">
        <w:t xml:space="preserve"> to </w:t>
      </w:r>
      <w:r w:rsidRPr="002F5F97">
        <w:t>31</w:t>
      </w:r>
      <w:r w:rsidR="00217D02">
        <w:t> </w:t>
      </w:r>
      <w:r w:rsidRPr="002F5F97">
        <w:t>December 2025</w:t>
      </w:r>
      <w:r w:rsidR="001A0AAC">
        <w:t>, the Regulator received</w:t>
      </w:r>
      <w:r w:rsidRPr="002F5F97">
        <w:t>:</w:t>
      </w:r>
      <w:r w:rsidR="00217D02">
        <w:t xml:space="preserve"> </w:t>
      </w:r>
    </w:p>
    <w:p w14:paraId="395B6510" w14:textId="4A1A9493" w:rsidR="00787E5B" w:rsidRDefault="00787E5B" w:rsidP="001D3AFE">
      <w:pPr>
        <w:pStyle w:val="DoubleDot"/>
        <w:numPr>
          <w:ilvl w:val="0"/>
          <w:numId w:val="0"/>
        </w:numPr>
      </w:pPr>
      <w:r>
        <w:rPr>
          <w:noProof/>
        </w:rPr>
        <w:drawing>
          <wp:inline distT="0" distB="0" distL="0" distR="0" wp14:anchorId="78C2A4DD" wp14:editId="4BA792C5">
            <wp:extent cx="5081026" cy="1106426"/>
            <wp:effectExtent l="0" t="0" r="5715" b="0"/>
            <wp:docPr id="351627861" name="Picture 7" descr="73 requests to correct the SBI Tool and 13.6 days average time to process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27861" name="Picture 7" descr="73 requests to correct the SBI Tool and 13.6 days average time to process correction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081026" cy="1106426"/>
                    </a:xfrm>
                    <a:prstGeom prst="rect">
                      <a:avLst/>
                    </a:prstGeom>
                  </pic:spPr>
                </pic:pic>
              </a:graphicData>
            </a:graphic>
          </wp:inline>
        </w:drawing>
      </w:r>
    </w:p>
    <w:p w14:paraId="625BC254" w14:textId="050BB416" w:rsidR="000D040C" w:rsidRPr="002F5F97" w:rsidRDefault="000D040C">
      <w:pPr>
        <w:spacing w:before="0" w:after="160" w:line="259" w:lineRule="auto"/>
      </w:pPr>
      <w:r w:rsidRPr="002F5F97">
        <w:br w:type="page"/>
      </w:r>
    </w:p>
    <w:p w14:paraId="316B1A04" w14:textId="0D0152CD" w:rsidR="000D040C" w:rsidRPr="002F5F97" w:rsidRDefault="000D040C" w:rsidP="000D040C">
      <w:pPr>
        <w:pStyle w:val="ChapterHeading1"/>
      </w:pPr>
      <w:bookmarkStart w:id="41" w:name="_Toc220068379"/>
      <w:r w:rsidRPr="002F5F97">
        <w:t>Applications</w:t>
      </w:r>
      <w:bookmarkEnd w:id="41"/>
    </w:p>
    <w:p w14:paraId="1EC9EDF5" w14:textId="5F59241D" w:rsidR="000D040C" w:rsidRDefault="00B609B2" w:rsidP="000D040C">
      <w:r w:rsidRPr="002F5F97">
        <w:t>Over the 6</w:t>
      </w:r>
      <w:r w:rsidR="00410BE7">
        <w:t xml:space="preserve"> </w:t>
      </w:r>
      <w:r w:rsidRPr="002F5F97">
        <w:t>month</w:t>
      </w:r>
      <w:r w:rsidR="00410BE7">
        <w:t>s from</w:t>
      </w:r>
      <w:r w:rsidRPr="002F5F97">
        <w:t xml:space="preserve"> 1</w:t>
      </w:r>
      <w:r w:rsidR="0040519B">
        <w:t> </w:t>
      </w:r>
      <w:r w:rsidRPr="002F5F97">
        <w:t>July to 31</w:t>
      </w:r>
      <w:r w:rsidR="00CD5D93">
        <w:t> </w:t>
      </w:r>
      <w:r w:rsidRPr="002F5F97">
        <w:t>December</w:t>
      </w:r>
      <w:r w:rsidR="00CD5D93">
        <w:t> </w:t>
      </w:r>
      <w:r w:rsidRPr="002F5F97">
        <w:t>2025, the Regulator processed a total of</w:t>
      </w:r>
      <w:r w:rsidR="0040519B">
        <w:t> </w:t>
      </w:r>
      <w:r w:rsidRPr="002F5F97">
        <w:rPr>
          <w:b/>
          <w:bCs/>
        </w:rPr>
        <w:t>484</w:t>
      </w:r>
      <w:r w:rsidR="00CD5D93">
        <w:rPr>
          <w:b/>
          <w:bCs/>
        </w:rPr>
        <w:t> </w:t>
      </w:r>
      <w:r w:rsidRPr="002F5F97">
        <w:rPr>
          <w:b/>
          <w:bCs/>
        </w:rPr>
        <w:t>applications</w:t>
      </w:r>
      <w:r w:rsidRPr="002F5F97">
        <w:t>. The</w:t>
      </w:r>
      <w:r w:rsidR="00AB55E0">
        <w:t>se</w:t>
      </w:r>
      <w:r w:rsidRPr="002F5F97">
        <w:t xml:space="preserve"> applications were either approved, rejected or withdrawn at the</w:t>
      </w:r>
      <w:r w:rsidR="0040519B">
        <w:t> </w:t>
      </w:r>
      <w:r w:rsidRPr="002F5F97">
        <w:t>request of the applicant.</w:t>
      </w:r>
    </w:p>
    <w:p w14:paraId="256E1034" w14:textId="0590E700" w:rsidR="00ED37B9" w:rsidRDefault="00ED37B9" w:rsidP="00ED37B9">
      <w:pPr>
        <w:pStyle w:val="ChartMainHeading"/>
        <w:jc w:val="left"/>
      </w:pPr>
      <w:r>
        <w:t>Applications breakdown</w:t>
      </w:r>
    </w:p>
    <w:p w14:paraId="4D4651A3" w14:textId="6F8162D1" w:rsidR="00ED37B9" w:rsidRPr="00ED37B9" w:rsidRDefault="00ED37B9" w:rsidP="00ED37B9">
      <w:pPr>
        <w:rPr>
          <w:lang w:eastAsia="en-AU"/>
        </w:rPr>
      </w:pPr>
      <w:r>
        <w:rPr>
          <w:noProof/>
          <w:lang w:eastAsia="en-AU"/>
        </w:rPr>
        <w:drawing>
          <wp:inline distT="0" distB="0" distL="0" distR="0" wp14:anchorId="51B8CDC8" wp14:editId="224642FF">
            <wp:extent cx="5400040" cy="2686685"/>
            <wp:effectExtent l="0" t="0" r="0" b="0"/>
            <wp:docPr id="120444744" name="Picture 2" descr="The Applications breakdown infographic shows 484 applications processed between July and December 2025 and it took 12.2 days on average to process the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4744" name="Picture 2" descr="The Applications breakdown infographic shows 484 applications processed between July and December 2025 and it took 12.2 days on average to process the applications. "/>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400040" cy="2686685"/>
                    </a:xfrm>
                    <a:prstGeom prst="rect">
                      <a:avLst/>
                    </a:prstGeom>
                  </pic:spPr>
                </pic:pic>
              </a:graphicData>
            </a:graphic>
          </wp:inline>
        </w:drawing>
      </w:r>
    </w:p>
    <w:p w14:paraId="7757ABF2" w14:textId="4DF2C3CE" w:rsidR="00373D35" w:rsidRPr="002F5F97" w:rsidRDefault="00ED37B9" w:rsidP="00ED37B9">
      <w:pPr>
        <w:pStyle w:val="ChartorTableNote"/>
      </w:pPr>
      <w:r>
        <w:t>Note: Numbers within green circles depict applications processed under each category</w:t>
      </w:r>
    </w:p>
    <w:p w14:paraId="6504F94B" w14:textId="3B3B8C7C" w:rsidR="00761579" w:rsidRPr="002F5F97" w:rsidRDefault="00E26D03" w:rsidP="00761579">
      <w:r w:rsidRPr="002F5F97">
        <w:t>The Regulator continues to process a large number of applications. Processing times can vary by application type and range from 6.7</w:t>
      </w:r>
      <w:r w:rsidR="007000BE">
        <w:t> </w:t>
      </w:r>
      <w:r w:rsidRPr="002F5F97">
        <w:t>days to 55.4</w:t>
      </w:r>
      <w:r w:rsidR="007000BE">
        <w:t> </w:t>
      </w:r>
      <w:r w:rsidRPr="002F5F97">
        <w:t>days. The most common reasons for delays in processing applications are issues with the application form and the evidence provided. This means we have to write to applicants to request additional information which takes tim</w:t>
      </w:r>
      <w:r w:rsidR="003772DA">
        <w:t>e</w:t>
      </w:r>
      <w:r w:rsidRPr="002F5F97">
        <w:t>. To avoid delays in processing times, see</w:t>
      </w:r>
      <w:r w:rsidR="00044A69">
        <w:t xml:space="preserve"> the section</w:t>
      </w:r>
      <w:r w:rsidRPr="002F5F97">
        <w:t xml:space="preserve"> </w:t>
      </w:r>
      <w:r w:rsidRPr="00044A69">
        <w:rPr>
          <w:b/>
          <w:bCs/>
        </w:rPr>
        <w:t>Tips to avoid common errors</w:t>
      </w:r>
      <w:r w:rsidRPr="002F5F97">
        <w:t>.</w:t>
      </w:r>
    </w:p>
    <w:p w14:paraId="61E7E275" w14:textId="4A9F3FD4" w:rsidR="000D040C" w:rsidRPr="002F5F97" w:rsidRDefault="000D040C">
      <w:pPr>
        <w:spacing w:before="0" w:after="160" w:line="259" w:lineRule="auto"/>
      </w:pPr>
      <w:r w:rsidRPr="002F5F97">
        <w:br w:type="page"/>
      </w:r>
    </w:p>
    <w:p w14:paraId="4E03D908" w14:textId="450F8536" w:rsidR="002F03A8" w:rsidRPr="002F5F97" w:rsidRDefault="00AE3ED6" w:rsidP="002F03A8">
      <w:pPr>
        <w:pStyle w:val="ChapterHeading1"/>
      </w:pPr>
      <w:bookmarkStart w:id="42" w:name="_Toc220068380"/>
      <w:r w:rsidRPr="002F5F97">
        <w:t>Tips to avoid common errors</w:t>
      </w:r>
      <w:bookmarkEnd w:id="42"/>
    </w:p>
    <w:p w14:paraId="3632EFF9" w14:textId="7318F7C9" w:rsidR="000D040C" w:rsidRPr="002F5F97" w:rsidRDefault="00AA64D4" w:rsidP="000D040C">
      <w:r w:rsidRPr="002F5F97">
        <w:t xml:space="preserve">The Regulator continues to identify common errors that can lead to inaccurate or misleading reports, incorrectly completed Entity Information </w:t>
      </w:r>
      <w:r w:rsidR="00505ECB">
        <w:t>f</w:t>
      </w:r>
      <w:r w:rsidRPr="002F5F97">
        <w:t>orms and invalid or</w:t>
      </w:r>
      <w:r w:rsidR="0000688B">
        <w:t> </w:t>
      </w:r>
      <w:r w:rsidRPr="002F5F97">
        <w:t>incomplete applications. Administrative errors such as these may result in entities failing</w:t>
      </w:r>
      <w:r w:rsidR="0000688B">
        <w:t> </w:t>
      </w:r>
      <w:r w:rsidRPr="002F5F97">
        <w:t xml:space="preserve">to meet their obligations under the Act, the Payment Times Reporting Rules 2024 </w:t>
      </w:r>
      <w:r w:rsidR="00DD4942" w:rsidRPr="002F5F97">
        <w:t>(</w:t>
      </w:r>
      <w:r w:rsidR="00DD4942" w:rsidRPr="008610C0">
        <w:t>the</w:t>
      </w:r>
      <w:r w:rsidR="0000688B" w:rsidRPr="00292F4A">
        <w:rPr>
          <w:b/>
          <w:bCs/>
        </w:rPr>
        <w:t> </w:t>
      </w:r>
      <w:r w:rsidR="00DD4942" w:rsidRPr="00292F4A">
        <w:rPr>
          <w:b/>
          <w:bCs/>
        </w:rPr>
        <w:t>Rules</w:t>
      </w:r>
      <w:r w:rsidR="00DD4942" w:rsidRPr="002F5F97">
        <w:t>)</w:t>
      </w:r>
      <w:r w:rsidR="00292F4A">
        <w:t xml:space="preserve"> </w:t>
      </w:r>
      <w:r w:rsidRPr="002F5F97">
        <w:t>and cause delays in processing applications.</w:t>
      </w:r>
    </w:p>
    <w:p w14:paraId="49CCBDF0" w14:textId="77777777" w:rsidR="002F03A8" w:rsidRPr="002F5F97" w:rsidRDefault="002F03A8" w:rsidP="002F03A8">
      <w:pPr>
        <w:pStyle w:val="Heading2"/>
        <w:rPr>
          <w:rFonts w:cs="Times New Roman"/>
          <w:color w:val="auto"/>
          <w:sz w:val="22"/>
          <w:szCs w:val="20"/>
        </w:rPr>
      </w:pPr>
      <w:r w:rsidRPr="002F5F97">
        <w:t>Applications and notices: tips to avoid delays</w:t>
      </w:r>
    </w:p>
    <w:p w14:paraId="5495738F" w14:textId="4954FC9C" w:rsidR="009C6C12" w:rsidRPr="002F5F97" w:rsidRDefault="009C6C12" w:rsidP="009C6C12">
      <w:r w:rsidRPr="002F5F97">
        <w:t>A large number of applications continue to be submitted without the appropriate evidence or information</w:t>
      </w:r>
      <w:r w:rsidR="004A3DCC">
        <w:t>:</w:t>
      </w:r>
    </w:p>
    <w:p w14:paraId="047F1E9A" w14:textId="3FC027AA" w:rsidR="009C6C12" w:rsidRPr="002F5F97" w:rsidRDefault="009C6C12" w:rsidP="009C6C12">
      <w:pPr>
        <w:pStyle w:val="Bullet"/>
      </w:pPr>
      <w:r w:rsidRPr="002F5F97">
        <w:tab/>
      </w:r>
      <w:r w:rsidR="004A3DCC">
        <w:t>m</w:t>
      </w:r>
      <w:r w:rsidRPr="002F5F97">
        <w:t>ore than 40</w:t>
      </w:r>
      <w:r w:rsidR="00164EF8">
        <w:t> </w:t>
      </w:r>
      <w:r w:rsidRPr="002F5F97">
        <w:t>per</w:t>
      </w:r>
      <w:r w:rsidR="00164EF8">
        <w:t> </w:t>
      </w:r>
      <w:r w:rsidRPr="002F5F97">
        <w:t xml:space="preserve">cent of </w:t>
      </w:r>
      <w:r w:rsidR="005B2385" w:rsidRPr="002F5F97">
        <w:t xml:space="preserve">applications </w:t>
      </w:r>
      <w:r w:rsidR="005B2385">
        <w:t xml:space="preserve">to be a </w:t>
      </w:r>
      <w:r w:rsidRPr="002F5F97">
        <w:t xml:space="preserve">subsidiary </w:t>
      </w:r>
      <w:r w:rsidR="005B2385">
        <w:t xml:space="preserve">reporting entity </w:t>
      </w:r>
      <w:r w:rsidRPr="002F5F97">
        <w:t>required additional information due to</w:t>
      </w:r>
      <w:r w:rsidR="00164EF8">
        <w:t> </w:t>
      </w:r>
      <w:r w:rsidRPr="002F5F97">
        <w:t>not meeting evidentiary thresholds</w:t>
      </w:r>
    </w:p>
    <w:p w14:paraId="1BC5B1C5" w14:textId="0459B754" w:rsidR="009C6C12" w:rsidRPr="002F5F97" w:rsidRDefault="004A3DCC" w:rsidP="009C6C12">
      <w:pPr>
        <w:pStyle w:val="Bullet"/>
      </w:pPr>
      <w:r>
        <w:t>a</w:t>
      </w:r>
      <w:r w:rsidR="009C6C12" w:rsidRPr="002F5F97">
        <w:t>lmost 30</w:t>
      </w:r>
      <w:r w:rsidR="00164EF8">
        <w:t> </w:t>
      </w:r>
      <w:r w:rsidR="009C6C12" w:rsidRPr="002F5F97">
        <w:t>per</w:t>
      </w:r>
      <w:r w:rsidR="00164EF8">
        <w:t> </w:t>
      </w:r>
      <w:r w:rsidR="009C6C12" w:rsidRPr="002F5F97">
        <w:t xml:space="preserve">cent of </w:t>
      </w:r>
      <w:r w:rsidR="00D245AE" w:rsidRPr="002F5F97">
        <w:t xml:space="preserve">applications </w:t>
      </w:r>
      <w:r w:rsidR="00D245AE">
        <w:t xml:space="preserve">to be a </w:t>
      </w:r>
      <w:r w:rsidR="00D245AE" w:rsidRPr="002F5F97">
        <w:t xml:space="preserve">subsidiary </w:t>
      </w:r>
      <w:r w:rsidR="00D245AE">
        <w:t>reporting entity were</w:t>
      </w:r>
      <w:r w:rsidR="009C6C12" w:rsidRPr="002F5F97">
        <w:t xml:space="preserve"> withdrawn or rejected, either because of insufficient evidence or the wrong application type was submitted, and</w:t>
      </w:r>
    </w:p>
    <w:p w14:paraId="0A419269" w14:textId="7D8DE5AA" w:rsidR="009C6C12" w:rsidRPr="002F5F97" w:rsidRDefault="009C6C12" w:rsidP="009C6C12">
      <w:pPr>
        <w:pStyle w:val="Bullet"/>
      </w:pPr>
      <w:r w:rsidRPr="002F5F97">
        <w:tab/>
      </w:r>
      <w:r w:rsidR="004A3DCC">
        <w:t>o</w:t>
      </w:r>
      <w:r w:rsidRPr="002F5F97">
        <w:t>nly 36</w:t>
      </w:r>
      <w:r w:rsidR="00164EF8">
        <w:t> </w:t>
      </w:r>
      <w:r w:rsidRPr="002F5F97">
        <w:t>per</w:t>
      </w:r>
      <w:r w:rsidR="00164EF8">
        <w:t> </w:t>
      </w:r>
      <w:r w:rsidRPr="002F5F97">
        <w:t xml:space="preserve">cent of </w:t>
      </w:r>
      <w:r w:rsidR="00702C9C">
        <w:t xml:space="preserve">the </w:t>
      </w:r>
      <w:r w:rsidR="00702C9C" w:rsidRPr="002F5F97">
        <w:t xml:space="preserve">submitted </w:t>
      </w:r>
      <w:r w:rsidRPr="002F5F97">
        <w:t>notices to cease reporting were valid.</w:t>
      </w:r>
    </w:p>
    <w:p w14:paraId="59AB7299" w14:textId="2497CE7B" w:rsidR="002F03A8" w:rsidRPr="002F5F97" w:rsidRDefault="009C6C12" w:rsidP="009C6C12">
      <w:r w:rsidRPr="002F5F97">
        <w:t>Due to the wrong application type being submitted, the Regulator did not approve</w:t>
      </w:r>
      <w:r w:rsidR="00164EF8">
        <w:t> </w:t>
      </w:r>
      <w:r w:rsidRPr="002F5F97">
        <w:t>any</w:t>
      </w:r>
      <w:r w:rsidR="00164EF8">
        <w:t> </w:t>
      </w:r>
      <w:r w:rsidR="00702C9C" w:rsidRPr="002F5F97">
        <w:t xml:space="preserve">applications </w:t>
      </w:r>
      <w:r w:rsidR="00702C9C">
        <w:t xml:space="preserve">to be an </w:t>
      </w:r>
      <w:r w:rsidRPr="002F5F97">
        <w:t xml:space="preserve">exempt entity or </w:t>
      </w:r>
      <w:r w:rsidR="00413DAB">
        <w:t xml:space="preserve">a </w:t>
      </w:r>
      <w:r w:rsidRPr="002F5F97">
        <w:t>reporting nominee during the period</w:t>
      </w:r>
      <w:r w:rsidR="00164EF8">
        <w:t> </w:t>
      </w:r>
      <w:r w:rsidRPr="002F5F97">
        <w:t>1</w:t>
      </w:r>
      <w:r w:rsidR="00164EF8">
        <w:t> </w:t>
      </w:r>
      <w:r w:rsidRPr="002F5F97">
        <w:t>July</w:t>
      </w:r>
      <w:r w:rsidR="00164EF8">
        <w:t> </w:t>
      </w:r>
      <w:r w:rsidRPr="002F5F97">
        <w:t>to</w:t>
      </w:r>
      <w:r w:rsidR="00164EF8">
        <w:t> </w:t>
      </w:r>
      <w:r w:rsidRPr="002F5F97">
        <w:t>31</w:t>
      </w:r>
      <w:r w:rsidR="00164EF8">
        <w:t> </w:t>
      </w:r>
      <w:r w:rsidRPr="002F5F97">
        <w:t>December</w:t>
      </w:r>
      <w:r w:rsidR="00164EF8">
        <w:t> </w:t>
      </w:r>
      <w:r w:rsidRPr="002F5F97">
        <w:t>2025. Careless errors such as these cause unnecessary delays in processing applications.</w:t>
      </w:r>
    </w:p>
    <w:p w14:paraId="138AA11C" w14:textId="77777777" w:rsidR="002F03A8" w:rsidRPr="002F5F97" w:rsidRDefault="002F03A8" w:rsidP="002F03A8">
      <w:pPr>
        <w:pStyle w:val="Heading3"/>
        <w:rPr>
          <w:rFonts w:cs="Times New Roman"/>
          <w:iCs/>
          <w:color w:val="auto"/>
          <w:kern w:val="0"/>
          <w:sz w:val="22"/>
          <w:szCs w:val="20"/>
        </w:rPr>
      </w:pPr>
      <w:r w:rsidRPr="002F5F97">
        <w:t>How you can help reduce processing times</w:t>
      </w:r>
    </w:p>
    <w:p w14:paraId="48535F80" w14:textId="51B48D02" w:rsidR="002F03A8" w:rsidRPr="002F5F97" w:rsidRDefault="0071139F" w:rsidP="002F03A8">
      <w:r w:rsidRPr="002F5F97">
        <w:t>To help strengthen your application and assist with assessment, consider the</w:t>
      </w:r>
      <w:r w:rsidR="00E91AE3">
        <w:t>se tips:</w:t>
      </w:r>
      <w:r w:rsidRPr="002F5F97">
        <w:t xml:space="preserve"> </w:t>
      </w:r>
    </w:p>
    <w:p w14:paraId="40CAC4FB" w14:textId="77777777" w:rsidR="00D56FDF" w:rsidRPr="002F5F97" w:rsidRDefault="00D56FDF" w:rsidP="00D56FDF">
      <w:pPr>
        <w:pStyle w:val="Bullet"/>
      </w:pPr>
      <w:r w:rsidRPr="002F5F97">
        <w:rPr>
          <w:b/>
          <w:bCs/>
        </w:rPr>
        <w:t>Complete all parts</w:t>
      </w:r>
      <w:r w:rsidRPr="002F5F97">
        <w:t xml:space="preserve"> of the application form.</w:t>
      </w:r>
    </w:p>
    <w:p w14:paraId="3DF3AB19" w14:textId="4AD507FE" w:rsidR="00D56FDF" w:rsidRPr="002F5F97" w:rsidRDefault="00D56FDF" w:rsidP="00D56FDF">
      <w:pPr>
        <w:pStyle w:val="Bullet"/>
      </w:pPr>
      <w:r w:rsidRPr="002F5F97">
        <w:rPr>
          <w:b/>
          <w:bCs/>
        </w:rPr>
        <w:t>Provide relevant documentary evidence</w:t>
      </w:r>
      <w:r w:rsidRPr="002F5F97">
        <w:t xml:space="preserve"> that supports your application. Refer to the</w:t>
      </w:r>
      <w:r w:rsidR="000A29B1">
        <w:t> </w:t>
      </w:r>
      <w:r w:rsidRPr="002F5F97">
        <w:t>published Guidance Materials for examples specific to your application type.</w:t>
      </w:r>
    </w:p>
    <w:p w14:paraId="47F7B6B9" w14:textId="77777777" w:rsidR="00D56FDF" w:rsidRPr="002F5F97" w:rsidRDefault="00D56FDF" w:rsidP="00D56FDF">
      <w:pPr>
        <w:pStyle w:val="Bullet"/>
      </w:pPr>
      <w:r w:rsidRPr="002F5F97">
        <w:t xml:space="preserve">Include a </w:t>
      </w:r>
      <w:r w:rsidRPr="002F5F97">
        <w:rPr>
          <w:b/>
          <w:bCs/>
        </w:rPr>
        <w:t>valid date of effect</w:t>
      </w:r>
      <w:r w:rsidRPr="002F5F97">
        <w:t>:</w:t>
      </w:r>
    </w:p>
    <w:p w14:paraId="0529AC7B" w14:textId="569014BE" w:rsidR="00D56FDF" w:rsidRPr="002F5F97" w:rsidRDefault="00D56FDF" w:rsidP="00A31D3C">
      <w:pPr>
        <w:pStyle w:val="Dash"/>
      </w:pPr>
      <w:r w:rsidRPr="002F5F97">
        <w:t xml:space="preserve">For example, </w:t>
      </w:r>
      <w:r w:rsidR="00BA5A4D">
        <w:t xml:space="preserve">an </w:t>
      </w:r>
      <w:r w:rsidR="00BA5A4D" w:rsidRPr="002F5F97">
        <w:t xml:space="preserve">application </w:t>
      </w:r>
      <w:r w:rsidR="00BA5A4D">
        <w:t xml:space="preserve">to be a </w:t>
      </w:r>
      <w:r w:rsidR="00BA5A4D" w:rsidRPr="002F5F97">
        <w:t xml:space="preserve">subsidiary </w:t>
      </w:r>
      <w:r w:rsidR="00BA5A4D">
        <w:t xml:space="preserve">reporting entity </w:t>
      </w:r>
      <w:r w:rsidRPr="002F5F97">
        <w:t>can only take effect from the start of the provisional reporting period in which the application is submitted, or from the start of the following period. The date of effect cannot be backdated.</w:t>
      </w:r>
    </w:p>
    <w:p w14:paraId="2ACA92EC" w14:textId="5D2A163F" w:rsidR="00D56FDF" w:rsidRPr="002F5F97" w:rsidRDefault="00D56FDF" w:rsidP="00D56FDF">
      <w:pPr>
        <w:pStyle w:val="Bullet"/>
      </w:pPr>
      <w:r w:rsidRPr="002F5F97">
        <w:rPr>
          <w:b/>
          <w:bCs/>
        </w:rPr>
        <w:t xml:space="preserve">Do not submit a </w:t>
      </w:r>
      <w:r w:rsidR="00816F6C">
        <w:rPr>
          <w:b/>
          <w:bCs/>
        </w:rPr>
        <w:t xml:space="preserve">notice to </w:t>
      </w:r>
      <w:r w:rsidRPr="002F5F97">
        <w:rPr>
          <w:b/>
          <w:bCs/>
        </w:rPr>
        <w:t>ce</w:t>
      </w:r>
      <w:r w:rsidR="00816F6C">
        <w:rPr>
          <w:b/>
          <w:bCs/>
        </w:rPr>
        <w:t>a</w:t>
      </w:r>
      <w:r w:rsidRPr="002F5F97">
        <w:rPr>
          <w:b/>
          <w:bCs/>
        </w:rPr>
        <w:t>s</w:t>
      </w:r>
      <w:r w:rsidR="00816F6C">
        <w:rPr>
          <w:b/>
          <w:bCs/>
        </w:rPr>
        <w:t>e r</w:t>
      </w:r>
      <w:r w:rsidRPr="002F5F97">
        <w:rPr>
          <w:b/>
          <w:bCs/>
        </w:rPr>
        <w:t>e</w:t>
      </w:r>
      <w:r w:rsidR="00816F6C">
        <w:rPr>
          <w:b/>
          <w:bCs/>
        </w:rPr>
        <w:t>porting</w:t>
      </w:r>
      <w:r w:rsidRPr="002F5F97">
        <w:t xml:space="preserve"> if the entity:</w:t>
      </w:r>
    </w:p>
    <w:p w14:paraId="38732FF7" w14:textId="161CD69A" w:rsidR="00D56FDF" w:rsidRPr="002F5F97" w:rsidRDefault="00D56FDF" w:rsidP="00A31D3C">
      <w:pPr>
        <w:pStyle w:val="Dash"/>
      </w:pPr>
      <w:r w:rsidRPr="002F5F97">
        <w:t>was a reporting entity before 1</w:t>
      </w:r>
      <w:r w:rsidR="000A29B1">
        <w:t> </w:t>
      </w:r>
      <w:r w:rsidRPr="002F5F97">
        <w:t>July</w:t>
      </w:r>
      <w:r w:rsidR="000A29B1">
        <w:t> </w:t>
      </w:r>
      <w:r w:rsidRPr="002F5F97">
        <w:t>2024, and</w:t>
      </w:r>
    </w:p>
    <w:p w14:paraId="3603F477" w14:textId="6C03065C" w:rsidR="00D56FDF" w:rsidRPr="002F5F97" w:rsidRDefault="00855689" w:rsidP="00A31D3C">
      <w:pPr>
        <w:pStyle w:val="Dash"/>
      </w:pPr>
      <w:r>
        <w:t xml:space="preserve">did </w:t>
      </w:r>
      <w:r w:rsidR="00D56FDF" w:rsidRPr="002F5F97">
        <w:t>no</w:t>
      </w:r>
      <w:r>
        <w:t xml:space="preserve">t </w:t>
      </w:r>
      <w:r w:rsidR="00D56FDF" w:rsidRPr="002F5F97">
        <w:t xml:space="preserve">meet the reporting entity criteria under the </w:t>
      </w:r>
      <w:r w:rsidR="00D56FDF" w:rsidRPr="002F5F97">
        <w:rPr>
          <w:b/>
          <w:bCs/>
        </w:rPr>
        <w:t>reformed scheme</w:t>
      </w:r>
      <w:r w:rsidR="00F12DD2">
        <w:rPr>
          <w:b/>
          <w:bCs/>
        </w:rPr>
        <w:t xml:space="preserve"> </w:t>
      </w:r>
      <w:r w:rsidR="00F12DD2" w:rsidRPr="00FF1ACF">
        <w:t>at the start of the entity’s first reporting</w:t>
      </w:r>
      <w:r w:rsidR="004C422C">
        <w:t xml:space="preserve"> period</w:t>
      </w:r>
      <w:r w:rsidR="00FF1ACF" w:rsidRPr="00FF1ACF">
        <w:t xml:space="preserve"> on or after 1 July 2024</w:t>
      </w:r>
      <w:r w:rsidR="00D56FDF" w:rsidRPr="002F5F97">
        <w:t>. In</w:t>
      </w:r>
      <w:r w:rsidR="00633623">
        <w:t> </w:t>
      </w:r>
      <w:r w:rsidR="00D56FDF" w:rsidRPr="002F5F97">
        <w:t>this</w:t>
      </w:r>
      <w:r w:rsidR="00633623">
        <w:t> </w:t>
      </w:r>
      <w:r w:rsidR="00D56FDF" w:rsidRPr="002F5F97">
        <w:t xml:space="preserve">case, the obligation </w:t>
      </w:r>
      <w:r w:rsidR="00313AF6">
        <w:t xml:space="preserve">to report </w:t>
      </w:r>
      <w:r w:rsidR="00D56FDF" w:rsidRPr="002F5F97">
        <w:t>ceases automatically.</w:t>
      </w:r>
    </w:p>
    <w:p w14:paraId="50C65BFC" w14:textId="23AE06ED" w:rsidR="00D56FDF" w:rsidRPr="002F5F97" w:rsidRDefault="00D56FDF" w:rsidP="00D56FDF">
      <w:pPr>
        <w:pStyle w:val="Bullet"/>
      </w:pPr>
      <w:r w:rsidRPr="002F5F97">
        <w:t xml:space="preserve">An entity can only cease to be a reporting entity if its </w:t>
      </w:r>
      <w:r w:rsidRPr="002F5F97">
        <w:rPr>
          <w:b/>
          <w:bCs/>
        </w:rPr>
        <w:t>consolidated revenue falls below $100</w:t>
      </w:r>
      <w:r w:rsidR="001447AB">
        <w:rPr>
          <w:b/>
          <w:bCs/>
        </w:rPr>
        <w:t> </w:t>
      </w:r>
      <w:r w:rsidRPr="002F5F97">
        <w:rPr>
          <w:b/>
          <w:bCs/>
        </w:rPr>
        <w:t xml:space="preserve">million in </w:t>
      </w:r>
      <w:r w:rsidR="00313AF6">
        <w:rPr>
          <w:b/>
          <w:bCs/>
        </w:rPr>
        <w:t>2</w:t>
      </w:r>
      <w:r w:rsidRPr="002F5F97">
        <w:rPr>
          <w:b/>
          <w:bCs/>
        </w:rPr>
        <w:t xml:space="preserve"> consecutive reporting periods.</w:t>
      </w:r>
    </w:p>
    <w:p w14:paraId="64C3BBD2" w14:textId="7365319B" w:rsidR="00D56FDF" w:rsidRPr="002F5F97" w:rsidRDefault="00D56FDF" w:rsidP="00A31D3C">
      <w:pPr>
        <w:pStyle w:val="Dash"/>
      </w:pPr>
      <w:r w:rsidRPr="002F5F97">
        <w:t xml:space="preserve">An entity cannot give </w:t>
      </w:r>
      <w:r w:rsidR="002C0E46">
        <w:t xml:space="preserve">a </w:t>
      </w:r>
      <w:r w:rsidRPr="002F5F97">
        <w:t>notice to cease reporting after just one year of falling below</w:t>
      </w:r>
      <w:r w:rsidR="001447AB">
        <w:t> </w:t>
      </w:r>
      <w:r w:rsidRPr="002F5F97">
        <w:t>the</w:t>
      </w:r>
      <w:r w:rsidR="001447AB">
        <w:t> </w:t>
      </w:r>
      <w:r w:rsidRPr="002F5F97">
        <w:t>threshold.</w:t>
      </w:r>
    </w:p>
    <w:p w14:paraId="41839169" w14:textId="35DF29F6" w:rsidR="002F03A8" w:rsidRPr="002F5F97" w:rsidRDefault="00D56FDF" w:rsidP="00805861">
      <w:pPr>
        <w:pStyle w:val="Bullet"/>
      </w:pPr>
      <w:r w:rsidRPr="002F5F97">
        <w:t>If a reporting entity is acquired by another reporting entity during its reporting period, it</w:t>
      </w:r>
      <w:r w:rsidR="007D1F51">
        <w:t> </w:t>
      </w:r>
      <w:r w:rsidRPr="002F5F97">
        <w:t xml:space="preserve">cannot submit a </w:t>
      </w:r>
      <w:r w:rsidR="005568A6" w:rsidRPr="002F5F97">
        <w:t xml:space="preserve">notice to cease reporting </w:t>
      </w:r>
      <w:r w:rsidRPr="002F5F97">
        <w:t xml:space="preserve">until the start of its next reporting period </w:t>
      </w:r>
      <w:r w:rsidR="005568A6">
        <w:t>after</w:t>
      </w:r>
      <w:r w:rsidRPr="002F5F97">
        <w:t xml:space="preserve"> the acquisition.</w:t>
      </w:r>
    </w:p>
    <w:p w14:paraId="0E7A86EC" w14:textId="1B05FDAA" w:rsidR="00CD2B9A" w:rsidRPr="002F5F97" w:rsidRDefault="00CD2B9A" w:rsidP="00CD2B9A">
      <w:pPr>
        <w:pStyle w:val="Heading2"/>
        <w:rPr>
          <w:rFonts w:cs="Times New Roman"/>
          <w:color w:val="auto"/>
          <w:sz w:val="22"/>
          <w:szCs w:val="20"/>
        </w:rPr>
      </w:pPr>
      <w:r w:rsidRPr="002F5F97">
        <w:t>Reporting: tips to avoid submitting false or misleading information</w:t>
      </w:r>
    </w:p>
    <w:p w14:paraId="0D96B6AC" w14:textId="35007875" w:rsidR="00CD2B9A" w:rsidRPr="002F5F97" w:rsidRDefault="00070EEB" w:rsidP="00CD2B9A">
      <w:bookmarkStart w:id="43" w:name="_Hlk218865011"/>
      <w:r w:rsidRPr="002F5F97">
        <w:t>The Regulator has identified several common issues that have resulted in:</w:t>
      </w:r>
    </w:p>
    <w:bookmarkEnd w:id="43"/>
    <w:p w14:paraId="5B401222" w14:textId="77777777" w:rsidR="00D172BE" w:rsidRPr="002F5F97" w:rsidRDefault="00D172BE" w:rsidP="00D172BE">
      <w:pPr>
        <w:pStyle w:val="Bullet"/>
      </w:pPr>
      <w:r w:rsidRPr="002F5F97">
        <w:t>false or misleading reports, and</w:t>
      </w:r>
    </w:p>
    <w:p w14:paraId="4404828F" w14:textId="5A75BCEC" w:rsidR="00D172BE" w:rsidRPr="002F5F97" w:rsidRDefault="00D172BE" w:rsidP="00D172BE">
      <w:pPr>
        <w:pStyle w:val="Bullet"/>
      </w:pPr>
      <w:r w:rsidRPr="002F5F97">
        <w:t xml:space="preserve">incorrectly completed Entity Information </w:t>
      </w:r>
      <w:r w:rsidR="008B232A">
        <w:t>f</w:t>
      </w:r>
      <w:r w:rsidRPr="002F5F97">
        <w:t>orms.</w:t>
      </w:r>
    </w:p>
    <w:p w14:paraId="16965CD7" w14:textId="0BFD9B23" w:rsidR="00616C48" w:rsidRPr="002F5F97" w:rsidRDefault="00616C48" w:rsidP="00616C48">
      <w:r w:rsidRPr="002F5F97">
        <w:t>Providing false or misleading information to the Regulator can lead to non</w:t>
      </w:r>
      <w:r w:rsidR="005D0129">
        <w:noBreakHyphen/>
      </w:r>
      <w:r w:rsidRPr="002F5F97">
        <w:t>compliance with the Act and the Rules and may result in regulatory action.</w:t>
      </w:r>
    </w:p>
    <w:p w14:paraId="21746D16" w14:textId="0FF25126" w:rsidR="00616C48" w:rsidRPr="002F5F97" w:rsidRDefault="00616C48" w:rsidP="00616C48">
      <w:r w:rsidRPr="002F5F97">
        <w:t>Between 1</w:t>
      </w:r>
      <w:r w:rsidR="00D74249">
        <w:t> </w:t>
      </w:r>
      <w:r w:rsidRPr="002F5F97">
        <w:t>July and 31</w:t>
      </w:r>
      <w:r w:rsidR="00D74249">
        <w:t> </w:t>
      </w:r>
      <w:r w:rsidRPr="002F5F97">
        <w:t>December</w:t>
      </w:r>
      <w:r w:rsidR="00D74249">
        <w:t> </w:t>
      </w:r>
      <w:r w:rsidRPr="002F5F97">
        <w:t>2025, 312</w:t>
      </w:r>
      <w:r w:rsidR="00D74249">
        <w:t> </w:t>
      </w:r>
      <w:r w:rsidRPr="002F5F97">
        <w:t>reports were revised or removed from the Payment Times Reports Register following engagement with entities.</w:t>
      </w:r>
    </w:p>
    <w:p w14:paraId="04CDAE24" w14:textId="06857C59" w:rsidR="009C0152" w:rsidRPr="002F5F97" w:rsidRDefault="00616C48" w:rsidP="00616C48">
      <w:r w:rsidRPr="002F5F97">
        <w:t xml:space="preserve">We continue to work closely with entities to correct reported data and strengthen the integrity of the </w:t>
      </w:r>
      <w:r w:rsidR="00E43AB2" w:rsidRPr="002F5F97">
        <w:t xml:space="preserve">Payment Times Reports </w:t>
      </w:r>
      <w:r w:rsidRPr="002F5F97">
        <w:t>Register.</w:t>
      </w:r>
    </w:p>
    <w:p w14:paraId="352E6851" w14:textId="7E0D6CF7" w:rsidR="00E636A2" w:rsidRPr="002F5F97" w:rsidRDefault="00E636A2" w:rsidP="00E636A2">
      <w:pPr>
        <w:pStyle w:val="Heading3"/>
        <w:rPr>
          <w:rFonts w:cs="Times New Roman"/>
          <w:iCs/>
          <w:color w:val="auto"/>
          <w:kern w:val="0"/>
          <w:sz w:val="22"/>
          <w:szCs w:val="20"/>
        </w:rPr>
      </w:pPr>
      <w:r w:rsidRPr="002F5F97">
        <w:t>Common reporting issues and how to avoid them</w:t>
      </w:r>
    </w:p>
    <w:p w14:paraId="5B2E3894" w14:textId="79929B80" w:rsidR="00485229" w:rsidRPr="002F5F97" w:rsidRDefault="007105D1" w:rsidP="00485229">
      <w:pPr>
        <w:pStyle w:val="Heading4"/>
        <w:rPr>
          <w:rFonts w:cs="Times New Roman"/>
          <w:color w:val="auto"/>
          <w:szCs w:val="20"/>
        </w:rPr>
      </w:pPr>
      <w:r w:rsidRPr="002F5F97">
        <w:t>1. Consolidated reporting</w:t>
      </w:r>
    </w:p>
    <w:p w14:paraId="13995B81" w14:textId="77777777" w:rsidR="004038E8" w:rsidRPr="002F5F97" w:rsidRDefault="004038E8" w:rsidP="004038E8">
      <w:r w:rsidRPr="002F5F97">
        <w:rPr>
          <w:b/>
          <w:bCs/>
        </w:rPr>
        <w:t>Issue:</w:t>
      </w:r>
      <w:r w:rsidRPr="002F5F97">
        <w:t xml:space="preserve"> Controlled entities are incorrectly submitting their own reports.</w:t>
      </w:r>
    </w:p>
    <w:p w14:paraId="7D581131" w14:textId="29B1E1FE" w:rsidR="004038E8" w:rsidRPr="002F5F97" w:rsidRDefault="004038E8" w:rsidP="004038E8">
      <w:r w:rsidRPr="002F5F97">
        <w:rPr>
          <w:b/>
          <w:bCs/>
        </w:rPr>
        <w:t>Clarification:</w:t>
      </w:r>
      <w:r w:rsidRPr="002F5F97">
        <w:t xml:space="preserve"> A reporting entity is the highest</w:t>
      </w:r>
      <w:r w:rsidR="005D0129">
        <w:noBreakHyphen/>
      </w:r>
      <w:r w:rsidRPr="002F5F97">
        <w:t>level entity (parent entity) in a corporate group. It meets all criteria under section</w:t>
      </w:r>
      <w:r w:rsidR="008D6681">
        <w:t> </w:t>
      </w:r>
      <w:r w:rsidRPr="002F5F97">
        <w:t>7 of the Act</w:t>
      </w:r>
      <w:r w:rsidR="00713897">
        <w:t xml:space="preserve">, </w:t>
      </w:r>
      <w:r w:rsidRPr="002F5F97">
        <w:t>including not being controlled by another entity that also qualifies as a reporting entity.</w:t>
      </w:r>
    </w:p>
    <w:p w14:paraId="369880E2" w14:textId="0725FFB8" w:rsidR="004038E8" w:rsidRPr="002F5F97" w:rsidRDefault="004038E8" w:rsidP="004038E8">
      <w:r w:rsidRPr="002F5F97">
        <w:t>An entity that is controlled by a reporting entity should not submit its own report</w:t>
      </w:r>
      <w:r w:rsidR="00713897">
        <w:t>,</w:t>
      </w:r>
      <w:r w:rsidRPr="002F5F97">
        <w:t xml:space="preserve"> </w:t>
      </w:r>
      <w:r w:rsidRPr="00713897">
        <w:rPr>
          <w:b/>
          <w:bCs/>
        </w:rPr>
        <w:t>unless</w:t>
      </w:r>
      <w:r w:rsidRPr="002F5F97">
        <w:t xml:space="preserve">: </w:t>
      </w:r>
    </w:p>
    <w:p w14:paraId="13953027" w14:textId="3AA11F30" w:rsidR="004038E8" w:rsidRPr="002F5F97" w:rsidRDefault="004038E8" w:rsidP="004038E8">
      <w:pPr>
        <w:pStyle w:val="Bullet"/>
      </w:pPr>
      <w:r w:rsidRPr="002F5F97">
        <w:tab/>
        <w:t>it has applied for, and received, a determination from the Regulator to be a subsidiary reporting entity, or</w:t>
      </w:r>
    </w:p>
    <w:p w14:paraId="330FBE1A" w14:textId="79EFA71A" w:rsidR="00CF574B" w:rsidRPr="00C76826" w:rsidRDefault="004038E8" w:rsidP="00CF574B">
      <w:pPr>
        <w:pStyle w:val="Bullet"/>
      </w:pPr>
      <w:r w:rsidRPr="002F5F97">
        <w:tab/>
        <w:t>its parent entity does not meet the reporting entity criteria, in which case the controlled entity may be a reporting entity in its own right.</w:t>
      </w:r>
      <w:r w:rsidR="00AB48B5" w:rsidRPr="00C76826">
        <w:rPr>
          <w:highlight w:val="magenta"/>
        </w:rPr>
        <w:t xml:space="preserve"> </w:t>
      </w:r>
    </w:p>
    <w:tbl>
      <w:tblPr>
        <w:tblW w:w="5000" w:type="pct"/>
        <w:shd w:val="clear" w:color="auto" w:fill="CCDCDB"/>
        <w:tblCellMar>
          <w:top w:w="57" w:type="dxa"/>
          <w:left w:w="284" w:type="dxa"/>
          <w:bottom w:w="170" w:type="dxa"/>
          <w:right w:w="284" w:type="dxa"/>
        </w:tblCellMar>
        <w:tblLook w:val="01E0" w:firstRow="1" w:lastRow="1" w:firstColumn="1" w:lastColumn="1" w:noHBand="0" w:noVBand="0"/>
      </w:tblPr>
      <w:tblGrid>
        <w:gridCol w:w="8504"/>
      </w:tblGrid>
      <w:tr w:rsidR="00ED3B20" w:rsidRPr="005D0129" w14:paraId="3101CFF1" w14:textId="77777777" w:rsidTr="00922DAA">
        <w:tc>
          <w:tcPr>
            <w:tcW w:w="5000" w:type="pct"/>
            <w:shd w:val="clear" w:color="auto" w:fill="E5EDED"/>
          </w:tcPr>
          <w:p w14:paraId="1660DCC2" w14:textId="44175799" w:rsidR="001C79DC" w:rsidRPr="005D0129" w:rsidRDefault="00433798" w:rsidP="00433798">
            <w:pPr>
              <w:pStyle w:val="BoxHeading-Greenbox"/>
            </w:pPr>
            <w:r w:rsidRPr="005D0129">
              <w:t>Examples</w:t>
            </w:r>
            <w:r w:rsidR="001C79DC" w:rsidRPr="005D0129">
              <w:t>:</w:t>
            </w:r>
          </w:p>
          <w:p w14:paraId="1D01C224" w14:textId="3D5E00AC" w:rsidR="001C79DC" w:rsidRPr="00CF574B" w:rsidRDefault="001C79DC" w:rsidP="00CF574B">
            <w:pPr>
              <w:pStyle w:val="BoxHeading2-Greenbox"/>
              <w:rPr>
                <w:b/>
                <w:bCs/>
              </w:rPr>
            </w:pPr>
            <w:r w:rsidRPr="00CF574B">
              <w:rPr>
                <w:b/>
                <w:bCs/>
              </w:rPr>
              <w:t>Scenario 1</w:t>
            </w:r>
          </w:p>
          <w:p w14:paraId="67819360" w14:textId="77777777" w:rsidR="001C79DC" w:rsidRPr="005D0129" w:rsidRDefault="001C79DC" w:rsidP="00EA42C3">
            <w:pPr>
              <w:spacing w:after="0"/>
            </w:pPr>
            <w:r w:rsidRPr="005D0129">
              <w:rPr>
                <w:noProof/>
              </w:rPr>
              <w:drawing>
                <wp:inline distT="0" distB="0" distL="0" distR="0" wp14:anchorId="79D20964" wp14:editId="4877A1EF">
                  <wp:extent cx="5038598" cy="1689326"/>
                  <wp:effectExtent l="0" t="0" r="0" b="6350"/>
                  <wp:docPr id="33488760" name="Picture 14" descr="Scenario one includes an image of a corporate structure showing it satisfies all criteria to be a report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8760" name="Picture 14" descr="Scenario one includes an image of a corporate structure showing it satisfies all criteria to be a reporting entity."/>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5038598" cy="1689326"/>
                          </a:xfrm>
                          <a:prstGeom prst="rect">
                            <a:avLst/>
                          </a:prstGeom>
                          <a:noFill/>
                        </pic:spPr>
                      </pic:pic>
                    </a:graphicData>
                  </a:graphic>
                </wp:inline>
              </w:drawing>
            </w:r>
          </w:p>
          <w:p w14:paraId="61082602" w14:textId="23722092" w:rsidR="00EE2777" w:rsidRPr="005D0129" w:rsidRDefault="00EE2777" w:rsidP="00EE2777">
            <w:pPr>
              <w:pStyle w:val="BoxText"/>
            </w:pPr>
            <w:r w:rsidRPr="005D0129">
              <w:t>In this scenario, if Acme Group Pty Ltd satisfies all criteria to be a reporting entity, it is the only entity in the group required to submit a payment times report.</w:t>
            </w:r>
            <w:r w:rsidR="00EA42C3" w:rsidRPr="005D0129">
              <w:t xml:space="preserve"> </w:t>
            </w:r>
            <w:r w:rsidRPr="005D0129">
              <w:t xml:space="preserve">As </w:t>
            </w:r>
            <w:r w:rsidR="00160143">
              <w:t>the</w:t>
            </w:r>
            <w:r w:rsidRPr="005D0129">
              <w:t xml:space="preserve"> reporting entity, Acme Group Pty Ltd must prepare and submit a consolidated</w:t>
            </w:r>
            <w:r w:rsidR="00160143">
              <w:t xml:space="preserve"> </w:t>
            </w:r>
            <w:r w:rsidRPr="005D0129">
              <w:t>report, covering the payment times information for:</w:t>
            </w:r>
          </w:p>
          <w:p w14:paraId="41C45BE2" w14:textId="1523E377" w:rsidR="00EE2777" w:rsidRPr="005D0129" w:rsidRDefault="00EE2777" w:rsidP="00EE2777">
            <w:pPr>
              <w:pStyle w:val="BoxBullet"/>
              <w:spacing w:after="0"/>
            </w:pPr>
            <w:r w:rsidRPr="005D0129">
              <w:t>Acme Group Pty Ltd</w:t>
            </w:r>
          </w:p>
          <w:p w14:paraId="2505BC01" w14:textId="29E818AA" w:rsidR="00EE2777" w:rsidRPr="005D0129" w:rsidRDefault="00EE2777" w:rsidP="00EE2777">
            <w:pPr>
              <w:pStyle w:val="BoxBullet"/>
              <w:spacing w:after="0"/>
            </w:pPr>
            <w:r w:rsidRPr="005D0129">
              <w:t>Acme Manufacturing Pty Ltd</w:t>
            </w:r>
          </w:p>
          <w:p w14:paraId="680A301A" w14:textId="462A3179" w:rsidR="00EE2777" w:rsidRPr="005D0129" w:rsidRDefault="00EE2777" w:rsidP="00EE2777">
            <w:pPr>
              <w:pStyle w:val="BoxBullet"/>
              <w:spacing w:after="0"/>
            </w:pPr>
            <w:r w:rsidRPr="005D0129">
              <w:t>Acme Retail Pty Ltd</w:t>
            </w:r>
          </w:p>
          <w:p w14:paraId="01BA6127" w14:textId="0039DBD9" w:rsidR="00EE2777" w:rsidRPr="005D0129" w:rsidRDefault="00EE2777" w:rsidP="00EE2777">
            <w:pPr>
              <w:pStyle w:val="BoxBullet"/>
              <w:spacing w:after="0"/>
            </w:pPr>
            <w:r w:rsidRPr="005D0129">
              <w:t>Acme Logistics Pty Ltd</w:t>
            </w:r>
          </w:p>
          <w:p w14:paraId="1EBC012A" w14:textId="7972CC66" w:rsidR="001C79DC" w:rsidRPr="00CF574B" w:rsidRDefault="001C79DC" w:rsidP="00F6464E">
            <w:pPr>
              <w:pStyle w:val="BoxHeading2-Greenbox"/>
              <w:spacing w:before="120" w:after="0"/>
              <w:rPr>
                <w:b/>
                <w:bCs/>
              </w:rPr>
            </w:pPr>
            <w:r w:rsidRPr="00CF574B">
              <w:rPr>
                <w:b/>
                <w:bCs/>
              </w:rPr>
              <w:t>Scenario 2</w:t>
            </w:r>
          </w:p>
          <w:p w14:paraId="2D857A9B" w14:textId="77777777" w:rsidR="001C79DC" w:rsidRPr="005D0129" w:rsidRDefault="001C79DC" w:rsidP="001C79DC">
            <w:r w:rsidRPr="005D0129">
              <w:rPr>
                <w:noProof/>
              </w:rPr>
              <w:drawing>
                <wp:inline distT="0" distB="0" distL="0" distR="0" wp14:anchorId="0B0ADBAB" wp14:editId="5A2A280A">
                  <wp:extent cx="5039989" cy="1591134"/>
                  <wp:effectExtent l="0" t="0" r="0" b="9525"/>
                  <wp:docPr id="1412500599" name="Picture 13" descr="Scenario two includes an image of a corporate structure showing the controlling entity does not satisfy all criteria to be a reporting entity. In that case, entities that are controlled may be a reporting entity in its ow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00599" name="Picture 13" descr="Scenario two includes an image of a corporate structure showing the controlling entity does not satisfy all criteria to be a reporting entity. In that case, entities that are controlled may be a reporting entity in its own right."/>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039989" cy="1591134"/>
                          </a:xfrm>
                          <a:prstGeom prst="rect">
                            <a:avLst/>
                          </a:prstGeom>
                          <a:noFill/>
                        </pic:spPr>
                      </pic:pic>
                    </a:graphicData>
                  </a:graphic>
                </wp:inline>
              </w:drawing>
            </w:r>
          </w:p>
          <w:p w14:paraId="53EC0DB4" w14:textId="06718016" w:rsidR="00F6464E" w:rsidRPr="005D0129" w:rsidRDefault="00F6464E" w:rsidP="00F6464E">
            <w:pPr>
              <w:pStyle w:val="BoxText"/>
            </w:pPr>
            <w:r w:rsidRPr="005D0129">
              <w:t xml:space="preserve">In this scenario, if Atlas Global Holdings Inc. does not satisfy all criteria to be a reporting entity, then Atlas Oceania Pty Ltd and Atlas Australia Pty Ltd may each be a reporting entity as they are not controlled by a reporting entity. </w:t>
            </w:r>
          </w:p>
          <w:p w14:paraId="21D69646" w14:textId="77777777" w:rsidR="00F6464E" w:rsidRPr="005D0129" w:rsidRDefault="00F6464E" w:rsidP="00F6464E">
            <w:pPr>
              <w:pStyle w:val="BoxText"/>
            </w:pPr>
            <w:r w:rsidRPr="005D0129">
              <w:t>If Atlas Oceania Pty Ltd and Atlas Australia Pty Ltd each satisfy all criteria to be a reporting entity, their reporting obligations are:</w:t>
            </w:r>
          </w:p>
          <w:p w14:paraId="7A97B3C6" w14:textId="77777777" w:rsidR="00F6464E" w:rsidRPr="005D0129" w:rsidRDefault="00F6464E" w:rsidP="00F6464E">
            <w:pPr>
              <w:pStyle w:val="BoxText"/>
            </w:pPr>
            <w:r w:rsidRPr="008576C5">
              <w:rPr>
                <w:b/>
                <w:bCs/>
              </w:rPr>
              <w:t>Atlas Oceania Pty Ltd</w:t>
            </w:r>
            <w:r w:rsidRPr="005D0129">
              <w:t xml:space="preserve"> must prepare and submit a consolidated report, covering the payment times information for:</w:t>
            </w:r>
          </w:p>
          <w:p w14:paraId="28D8A57F" w14:textId="77777777" w:rsidR="00F6464E" w:rsidRPr="005D0129" w:rsidRDefault="00F6464E" w:rsidP="00F6464E">
            <w:pPr>
              <w:pStyle w:val="BoxBullet"/>
              <w:spacing w:after="0"/>
            </w:pPr>
            <w:r w:rsidRPr="005D0129">
              <w:t>Atlas Oceania Pty Ltd</w:t>
            </w:r>
          </w:p>
          <w:p w14:paraId="1A51C8A3" w14:textId="77777777" w:rsidR="00F6464E" w:rsidRPr="005D0129" w:rsidRDefault="00F6464E" w:rsidP="00F6464E">
            <w:pPr>
              <w:pStyle w:val="BoxBullet"/>
              <w:spacing w:after="0"/>
            </w:pPr>
            <w:r w:rsidRPr="005D0129">
              <w:t>Atlas Oceania Transport Pty Ltd</w:t>
            </w:r>
          </w:p>
          <w:p w14:paraId="4166B040" w14:textId="77777777" w:rsidR="00F6464E" w:rsidRPr="005D0129" w:rsidRDefault="00F6464E" w:rsidP="00F6464E">
            <w:pPr>
              <w:pStyle w:val="BoxText"/>
            </w:pPr>
            <w:r w:rsidRPr="008576C5">
              <w:rPr>
                <w:b/>
                <w:bCs/>
              </w:rPr>
              <w:t>Atlas Australia Pty Ltd</w:t>
            </w:r>
            <w:r w:rsidRPr="005D0129">
              <w:t xml:space="preserve"> must prepare and submit a consolidated report, covering the payment times information for:</w:t>
            </w:r>
          </w:p>
          <w:p w14:paraId="1B846E81" w14:textId="77777777" w:rsidR="00F6464E" w:rsidRPr="005D0129" w:rsidRDefault="00F6464E" w:rsidP="00F6464E">
            <w:pPr>
              <w:pStyle w:val="BoxBullet"/>
              <w:spacing w:after="0"/>
            </w:pPr>
            <w:r w:rsidRPr="005D0129">
              <w:t>Atlas Australia Pty Ltd</w:t>
            </w:r>
          </w:p>
          <w:p w14:paraId="429009E1" w14:textId="77777777" w:rsidR="00F6464E" w:rsidRPr="005D0129" w:rsidRDefault="00F6464E" w:rsidP="00F6464E">
            <w:pPr>
              <w:pStyle w:val="BoxBullet"/>
              <w:spacing w:after="0"/>
            </w:pPr>
            <w:r w:rsidRPr="005D0129">
              <w:t>Atlas Australia Operations Pty Ltd</w:t>
            </w:r>
          </w:p>
          <w:p w14:paraId="0B435433" w14:textId="62A8886A" w:rsidR="00ED3B20" w:rsidRPr="005D0129" w:rsidRDefault="00F6464E" w:rsidP="00F6464E">
            <w:pPr>
              <w:pStyle w:val="BoxBullet"/>
              <w:spacing w:after="0"/>
            </w:pPr>
            <w:r w:rsidRPr="005D0129">
              <w:t>Atlas Australia Services Pty Ltd</w:t>
            </w:r>
          </w:p>
        </w:tc>
      </w:tr>
    </w:tbl>
    <w:p w14:paraId="1603B176" w14:textId="2E5B12E1" w:rsidR="008D11CD" w:rsidRPr="002F5F97" w:rsidRDefault="008D11CD" w:rsidP="008D11CD">
      <w:pPr>
        <w:pStyle w:val="Heading4"/>
        <w:rPr>
          <w:rFonts w:cs="Times New Roman"/>
          <w:color w:val="auto"/>
          <w:szCs w:val="20"/>
        </w:rPr>
      </w:pPr>
      <w:r w:rsidRPr="002F5F97">
        <w:t>2. Range of most common</w:t>
      </w:r>
      <w:r w:rsidR="00304C5E" w:rsidRPr="002F5F97">
        <w:t xml:space="preserve"> payment terms</w:t>
      </w:r>
    </w:p>
    <w:p w14:paraId="41EB1D81" w14:textId="383D4E48" w:rsidR="00CA3BD8" w:rsidRDefault="00CA3BD8" w:rsidP="008A69C5">
      <w:pPr>
        <w:rPr>
          <w:b/>
          <w:bCs/>
        </w:rPr>
      </w:pPr>
      <w:r w:rsidRPr="00281C74">
        <w:rPr>
          <w:b/>
          <w:bCs/>
        </w:rPr>
        <w:t>Issue</w:t>
      </w:r>
      <w:r w:rsidRPr="002F5F97">
        <w:t xml:space="preserve">: Entities </w:t>
      </w:r>
      <w:r w:rsidRPr="008A69C5">
        <w:t>are</w:t>
      </w:r>
      <w:r w:rsidRPr="002F5F97">
        <w:t xml:space="preserve"> reporting minimum and maximum values for the most common payment terms that do not </w:t>
      </w:r>
      <w:r w:rsidR="00EA0088">
        <w:t>align with</w:t>
      </w:r>
      <w:r w:rsidRPr="002F5F97">
        <w:t xml:space="preserve"> the reporting entity</w:t>
      </w:r>
      <w:r w:rsidR="005D0129">
        <w:t>’</w:t>
      </w:r>
      <w:r w:rsidRPr="002F5F97">
        <w:t>s most common payment term.</w:t>
      </w:r>
    </w:p>
    <w:p w14:paraId="4241CDDB" w14:textId="386875E7" w:rsidR="00D96AC2" w:rsidRPr="008A69C5" w:rsidRDefault="00D96AC2" w:rsidP="008A69C5">
      <w:r w:rsidRPr="008A69C5">
        <w:rPr>
          <w:noProof/>
        </w:rPr>
        <w:drawing>
          <wp:anchor distT="0" distB="0" distL="114300" distR="114300" simplePos="0" relativeHeight="251658256" behindDoc="0" locked="0" layoutInCell="1" allowOverlap="1" wp14:anchorId="7411D2D1" wp14:editId="57932C5A">
            <wp:simplePos x="0" y="0"/>
            <wp:positionH relativeFrom="column">
              <wp:posOffset>-2540</wp:posOffset>
            </wp:positionH>
            <wp:positionV relativeFrom="paragraph">
              <wp:posOffset>-2540</wp:posOffset>
            </wp:positionV>
            <wp:extent cx="720000" cy="595654"/>
            <wp:effectExtent l="0" t="0" r="4445" b="0"/>
            <wp:wrapSquare wrapText="bothSides"/>
            <wp:docPr id="10526465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26216" name="Picture 1">
                      <a:extLst>
                        <a:ext uri="{C183D7F6-B498-43B3-948B-1728B52AA6E4}">
                          <adec:decorative xmlns:adec="http://schemas.microsoft.com/office/drawing/2017/decorative" val="1"/>
                        </a:ext>
                      </a:extLst>
                    </pic:cNvPr>
                    <pic:cNvPicPr/>
                  </pic:nvPicPr>
                  <pic:blipFill rotWithShape="1">
                    <a:blip r:embed="rId142">
                      <a:extLst>
                        <a:ext uri="{96DAC541-7B7A-43D3-8B79-37D633B846F1}">
                          <asvg:svgBlip xmlns:asvg="http://schemas.microsoft.com/office/drawing/2016/SVG/main" r:embed="rId143"/>
                        </a:ext>
                      </a:extLst>
                    </a:blip>
                    <a:srcRect t="7982" b="9198"/>
                    <a:stretch>
                      <a:fillRect/>
                    </a:stretch>
                  </pic:blipFill>
                  <pic:spPr bwMode="auto">
                    <a:xfrm>
                      <a:off x="0" y="0"/>
                      <a:ext cx="720000" cy="595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69C5">
        <w:t>Tip: These fields must reflect the minimum and maximum values of the most common payment terms reported by each individual entity in a consolidated group, which includes the reporting (parent) entity.</w:t>
      </w:r>
    </w:p>
    <w:p w14:paraId="38981879" w14:textId="7203629C" w:rsidR="00A51D7C" w:rsidRPr="008A69C5" w:rsidRDefault="00D96AC2" w:rsidP="008A69C5">
      <w:pPr>
        <w:ind w:left="1315" w:hanging="1315"/>
      </w:pPr>
      <w:r w:rsidRPr="008A69C5">
        <w:t>If the minimum and maximum are the same, this value must match the most common payment term field.</w:t>
      </w:r>
    </w:p>
    <w:p w14:paraId="13425B1A" w14:textId="1041930F" w:rsidR="00304C5E" w:rsidRPr="002F5F97" w:rsidRDefault="00304C5E" w:rsidP="00304C5E">
      <w:pPr>
        <w:pStyle w:val="Heading4"/>
        <w:rPr>
          <w:rFonts w:cs="Times New Roman"/>
          <w:color w:val="auto"/>
          <w:szCs w:val="20"/>
        </w:rPr>
      </w:pPr>
      <w:r w:rsidRPr="002F5F97">
        <w:t>3. 80</w:t>
      </w:r>
      <w:r w:rsidRPr="009651D1">
        <w:t>th</w:t>
      </w:r>
      <w:r w:rsidRPr="002F5F97">
        <w:t xml:space="preserve"> and 95</w:t>
      </w:r>
      <w:r w:rsidRPr="009651D1">
        <w:t>th</w:t>
      </w:r>
      <w:r w:rsidRPr="002F5F97">
        <w:t xml:space="preserve"> percentile payment times</w:t>
      </w:r>
    </w:p>
    <w:p w14:paraId="57F64FB0" w14:textId="3711A633" w:rsidR="00556CC5" w:rsidRDefault="00556CC5" w:rsidP="00556CC5">
      <w:r w:rsidRPr="002F5F97">
        <w:rPr>
          <w:b/>
          <w:bCs/>
        </w:rPr>
        <w:t>Issue 1:</w:t>
      </w:r>
      <w:r w:rsidRPr="002F5F97">
        <w:t xml:space="preserve"> The 80</w:t>
      </w:r>
      <w:r w:rsidRPr="009651D1">
        <w:t>th</w:t>
      </w:r>
      <w:r w:rsidRPr="002F5F97">
        <w:t xml:space="preserve"> and 95</w:t>
      </w:r>
      <w:r w:rsidRPr="00316F43">
        <w:t>th</w:t>
      </w:r>
      <w:r w:rsidR="00316F43">
        <w:t> </w:t>
      </w:r>
      <w:r w:rsidRPr="002F5F97">
        <w:t>percentile payment time values are inconsistent with the percentage of invoices paid within 30</w:t>
      </w:r>
      <w:r w:rsidR="009651D1">
        <w:t> </w:t>
      </w:r>
      <w:r w:rsidRPr="002F5F97">
        <w:t>days, 3</w:t>
      </w:r>
      <w:r w:rsidR="009651D1">
        <w:t>1–</w:t>
      </w:r>
      <w:r w:rsidRPr="002F5F97">
        <w:t xml:space="preserve">60 days and </w:t>
      </w:r>
      <w:r w:rsidR="008804D7">
        <w:t>more than</w:t>
      </w:r>
      <w:r w:rsidRPr="002F5F97">
        <w:t xml:space="preserve"> 60</w:t>
      </w:r>
      <w:r w:rsidR="009651D1">
        <w:t> </w:t>
      </w:r>
      <w:r w:rsidRPr="002F5F97">
        <w:t>days.</w:t>
      </w:r>
    </w:p>
    <w:p w14:paraId="0414502C" w14:textId="71CC771D" w:rsidR="004E76CC" w:rsidRDefault="004E76CC" w:rsidP="00B66B9D">
      <w:r w:rsidRPr="002F5F97">
        <w:rPr>
          <w:noProof/>
        </w:rPr>
        <w:drawing>
          <wp:anchor distT="0" distB="0" distL="114300" distR="114300" simplePos="0" relativeHeight="251658257" behindDoc="0" locked="0" layoutInCell="1" allowOverlap="1" wp14:anchorId="7DF346A5" wp14:editId="166C6609">
            <wp:simplePos x="0" y="0"/>
            <wp:positionH relativeFrom="column">
              <wp:posOffset>-2540</wp:posOffset>
            </wp:positionH>
            <wp:positionV relativeFrom="paragraph">
              <wp:posOffset>-2540</wp:posOffset>
            </wp:positionV>
            <wp:extent cx="720000" cy="595654"/>
            <wp:effectExtent l="0" t="0" r="4445" b="0"/>
            <wp:wrapSquare wrapText="bothSides"/>
            <wp:docPr id="10745391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26216" name="Picture 1">
                      <a:extLst>
                        <a:ext uri="{C183D7F6-B498-43B3-948B-1728B52AA6E4}">
                          <adec:decorative xmlns:adec="http://schemas.microsoft.com/office/drawing/2017/decorative" val="1"/>
                        </a:ext>
                      </a:extLst>
                    </pic:cNvPr>
                    <pic:cNvPicPr/>
                  </pic:nvPicPr>
                  <pic:blipFill rotWithShape="1">
                    <a:blip r:embed="rId142">
                      <a:extLst>
                        <a:ext uri="{96DAC541-7B7A-43D3-8B79-37D633B846F1}">
                          <asvg:svgBlip xmlns:asvg="http://schemas.microsoft.com/office/drawing/2016/SVG/main" r:embed="rId143"/>
                        </a:ext>
                      </a:extLst>
                    </a:blip>
                    <a:srcRect t="7982" b="9198"/>
                    <a:stretch>
                      <a:fillRect/>
                    </a:stretch>
                  </pic:blipFill>
                  <pic:spPr bwMode="auto">
                    <a:xfrm>
                      <a:off x="0" y="0"/>
                      <a:ext cx="720000" cy="595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5F97">
        <w:rPr>
          <w:b/>
          <w:bCs/>
        </w:rPr>
        <w:t>Tip:</w:t>
      </w:r>
      <w:r w:rsidRPr="002F5F97">
        <w:t xml:space="preserve"> </w:t>
      </w:r>
      <w:r w:rsidRPr="004E76CC">
        <w:t xml:space="preserve">If the 95th percentile payment time is 60 days or less, the sum of </w:t>
      </w:r>
      <w:r w:rsidR="007668D2">
        <w:t xml:space="preserve">the percentages for </w:t>
      </w:r>
      <w:r w:rsidR="005D0129">
        <w:t>‘</w:t>
      </w:r>
      <w:r w:rsidRPr="004E76CC">
        <w:t>Invoices paid within 30</w:t>
      </w:r>
      <w:r>
        <w:t> </w:t>
      </w:r>
      <w:r w:rsidRPr="004E76CC">
        <w:t>days</w:t>
      </w:r>
      <w:r w:rsidR="007668D2">
        <w:t>’</w:t>
      </w:r>
      <w:r w:rsidRPr="004E76CC">
        <w:t xml:space="preserve"> and </w:t>
      </w:r>
      <w:r w:rsidR="005D0129">
        <w:t>‘</w:t>
      </w:r>
      <w:r w:rsidRPr="004E76CC">
        <w:t>Invoices paid within</w:t>
      </w:r>
      <w:r w:rsidR="00691829">
        <w:br/>
      </w:r>
      <w:r w:rsidRPr="004E76CC">
        <w:t>31–60</w:t>
      </w:r>
      <w:r w:rsidR="009715D1">
        <w:t> </w:t>
      </w:r>
      <w:r w:rsidRPr="004E76CC">
        <w:t>days</w:t>
      </w:r>
      <w:r w:rsidR="005D0129">
        <w:t>’</w:t>
      </w:r>
      <w:r w:rsidRPr="004E76CC">
        <w:t xml:space="preserve"> should be equal to or greater than 95</w:t>
      </w:r>
      <w:r>
        <w:t> </w:t>
      </w:r>
      <w:r w:rsidRPr="004E76CC">
        <w:t>per</w:t>
      </w:r>
      <w:r>
        <w:t> </w:t>
      </w:r>
      <w:r w:rsidRPr="004E76CC">
        <w:t>cent.</w:t>
      </w:r>
    </w:p>
    <w:p w14:paraId="3C2BDEF5" w14:textId="77777777" w:rsidR="00B66B9D" w:rsidRPr="00B66B9D" w:rsidRDefault="00B66B9D" w:rsidP="00B66B9D"/>
    <w:p w14:paraId="0B96BA48" w14:textId="0FDF9244" w:rsidR="004E76CC" w:rsidRDefault="00556CC5" w:rsidP="004E76CC">
      <w:r w:rsidRPr="002F5F97">
        <w:rPr>
          <w:b/>
          <w:bCs/>
        </w:rPr>
        <w:t>Issue 2:</w:t>
      </w:r>
      <w:r w:rsidRPr="002F5F97">
        <w:t xml:space="preserve"> Entities are entering the number of days as decimal values in the 80</w:t>
      </w:r>
      <w:r w:rsidRPr="004E76CC">
        <w:t>th</w:t>
      </w:r>
      <w:r w:rsidRPr="002F5F97">
        <w:t xml:space="preserve"> and 95</w:t>
      </w:r>
      <w:r w:rsidR="00691829">
        <w:t>th </w:t>
      </w:r>
      <w:r w:rsidRPr="002F5F97">
        <w:t>percentile payment time fields.</w:t>
      </w:r>
    </w:p>
    <w:p w14:paraId="2ACF52AD" w14:textId="504D0722" w:rsidR="004E76CC" w:rsidRDefault="004E76CC" w:rsidP="004E76CC">
      <w:r w:rsidRPr="002F5F97">
        <w:rPr>
          <w:noProof/>
        </w:rPr>
        <w:drawing>
          <wp:anchor distT="0" distB="0" distL="114300" distR="114300" simplePos="0" relativeHeight="251658258" behindDoc="0" locked="0" layoutInCell="1" allowOverlap="1" wp14:anchorId="161F08F1" wp14:editId="68E43905">
            <wp:simplePos x="0" y="0"/>
            <wp:positionH relativeFrom="column">
              <wp:posOffset>-2540</wp:posOffset>
            </wp:positionH>
            <wp:positionV relativeFrom="paragraph">
              <wp:posOffset>-2540</wp:posOffset>
            </wp:positionV>
            <wp:extent cx="720000" cy="595654"/>
            <wp:effectExtent l="0" t="0" r="4445" b="0"/>
            <wp:wrapSquare wrapText="bothSides"/>
            <wp:docPr id="4577776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26216" name="Picture 1">
                      <a:extLst>
                        <a:ext uri="{C183D7F6-B498-43B3-948B-1728B52AA6E4}">
                          <adec:decorative xmlns:adec="http://schemas.microsoft.com/office/drawing/2017/decorative" val="1"/>
                        </a:ext>
                      </a:extLst>
                    </pic:cNvPr>
                    <pic:cNvPicPr/>
                  </pic:nvPicPr>
                  <pic:blipFill rotWithShape="1">
                    <a:blip r:embed="rId142">
                      <a:extLst>
                        <a:ext uri="{96DAC541-7B7A-43D3-8B79-37D633B846F1}">
                          <asvg:svgBlip xmlns:asvg="http://schemas.microsoft.com/office/drawing/2016/SVG/main" r:embed="rId143"/>
                        </a:ext>
                      </a:extLst>
                    </a:blip>
                    <a:srcRect t="7982" b="9198"/>
                    <a:stretch>
                      <a:fillRect/>
                    </a:stretch>
                  </pic:blipFill>
                  <pic:spPr bwMode="auto">
                    <a:xfrm>
                      <a:off x="0" y="0"/>
                      <a:ext cx="720000" cy="595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5F97">
        <w:rPr>
          <w:b/>
          <w:bCs/>
        </w:rPr>
        <w:t>Tip:</w:t>
      </w:r>
      <w:r>
        <w:t xml:space="preserve"> These fields must reflect the </w:t>
      </w:r>
      <w:r w:rsidRPr="00290FB4">
        <w:rPr>
          <w:b/>
          <w:bCs/>
        </w:rPr>
        <w:t>whole number</w:t>
      </w:r>
      <w:r>
        <w:t xml:space="preserve"> of days it took to pay 80 per cent and 95</w:t>
      </w:r>
      <w:r w:rsidR="00A97D8C">
        <w:t> </w:t>
      </w:r>
      <w:r>
        <w:t>per cent of small business invoices.</w:t>
      </w:r>
    </w:p>
    <w:p w14:paraId="27CA8CE9" w14:textId="2D47C1A6" w:rsidR="00DD4382" w:rsidRPr="00192A13" w:rsidRDefault="004E76CC" w:rsidP="008A69C5">
      <w:pPr>
        <w:ind w:left="1315" w:hanging="1315"/>
      </w:pPr>
      <w:r w:rsidRPr="008A69C5">
        <w:t>Decimal</w:t>
      </w:r>
      <w:r>
        <w:t xml:space="preserve"> values are not accepted and may result in incorrect and very large entries. For example, 45.3</w:t>
      </w:r>
      <w:r w:rsidR="009E6196">
        <w:t> </w:t>
      </w:r>
      <w:r>
        <w:t>days will be reported as 453</w:t>
      </w:r>
      <w:r w:rsidR="009E6196">
        <w:t> </w:t>
      </w:r>
      <w:r>
        <w:t>days, and 14.45</w:t>
      </w:r>
      <w:r w:rsidR="009E6196">
        <w:t> </w:t>
      </w:r>
      <w:r>
        <w:t>days will be reported as 1,445 days.</w:t>
      </w:r>
    </w:p>
    <w:p w14:paraId="557D7B99" w14:textId="28514292" w:rsidR="00A27567" w:rsidRDefault="00556CC5" w:rsidP="00556CC5">
      <w:pPr>
        <w:pStyle w:val="DoubleDot"/>
        <w:numPr>
          <w:ilvl w:val="0"/>
          <w:numId w:val="0"/>
        </w:numPr>
      </w:pPr>
      <w:r w:rsidRPr="002F5F97">
        <w:t>In Reporting Cycle 9, 20</w:t>
      </w:r>
      <w:r w:rsidR="00DF44E6">
        <w:t> </w:t>
      </w:r>
      <w:r w:rsidRPr="002F5F97">
        <w:t>payment times reports were submitted with a 95</w:t>
      </w:r>
      <w:r w:rsidRPr="009E6196">
        <w:t>th</w:t>
      </w:r>
      <w:r w:rsidR="009E6196" w:rsidRPr="009E6196">
        <w:t> </w:t>
      </w:r>
      <w:r w:rsidRPr="002F5F97">
        <w:t>percentile payment time of more than 365</w:t>
      </w:r>
      <w:r w:rsidR="00DF44E6">
        <w:t> </w:t>
      </w:r>
      <w:r w:rsidRPr="002F5F97">
        <w:t>days. The Regulator wrote to the relevant entities that submitted reports with potentially incorrect data, resulting in 7</w:t>
      </w:r>
      <w:r w:rsidR="00DF44E6">
        <w:t> </w:t>
      </w:r>
      <w:r w:rsidRPr="002F5F97">
        <w:t>reports being corrected.</w:t>
      </w:r>
    </w:p>
    <w:p w14:paraId="473A556F" w14:textId="77777777" w:rsidR="00BE7C17" w:rsidRPr="00BE7C17" w:rsidRDefault="00BE7C17" w:rsidP="00BE7C17">
      <w:pPr>
        <w:pStyle w:val="SingleParagraph"/>
      </w:pPr>
    </w:p>
    <w:tbl>
      <w:tblPr>
        <w:tblW w:w="5000" w:type="pct"/>
        <w:shd w:val="clear" w:color="auto" w:fill="CCDCDB"/>
        <w:tblCellMar>
          <w:top w:w="57" w:type="dxa"/>
          <w:left w:w="284" w:type="dxa"/>
          <w:bottom w:w="170" w:type="dxa"/>
          <w:right w:w="284" w:type="dxa"/>
        </w:tblCellMar>
        <w:tblLook w:val="01E0" w:firstRow="1" w:lastRow="1" w:firstColumn="1" w:lastColumn="1" w:noHBand="0" w:noVBand="0"/>
      </w:tblPr>
      <w:tblGrid>
        <w:gridCol w:w="8504"/>
      </w:tblGrid>
      <w:tr w:rsidR="004D719D" w:rsidRPr="005D0129" w14:paraId="70627C18" w14:textId="77777777" w:rsidTr="00240368">
        <w:tc>
          <w:tcPr>
            <w:tcW w:w="5000" w:type="pct"/>
            <w:shd w:val="clear" w:color="auto" w:fill="E5EDED"/>
          </w:tcPr>
          <w:p w14:paraId="65E2D50F" w14:textId="766AEC9E" w:rsidR="004D719D" w:rsidRPr="005D0129" w:rsidRDefault="00EB1C9C" w:rsidP="00A631EA">
            <w:pPr>
              <w:pStyle w:val="BoxHeading-Greenbox"/>
            </w:pPr>
            <w:bookmarkStart w:id="44" w:name="_Hlk219899885"/>
            <w:r w:rsidRPr="005D0129">
              <w:t>Did you know?</w:t>
            </w:r>
          </w:p>
          <w:p w14:paraId="7DEC616D" w14:textId="71089121" w:rsidR="004D719D" w:rsidRPr="005D0129" w:rsidRDefault="00A631EA" w:rsidP="00A631EA">
            <w:pPr>
              <w:pStyle w:val="BoxText"/>
            </w:pPr>
            <w:r w:rsidRPr="005D0129">
              <w:t>Incorrect entries in these fields may result in the entity being flagged for a slow</w:t>
            </w:r>
            <w:r w:rsidR="00BE090B">
              <w:t> </w:t>
            </w:r>
            <w:r w:rsidRPr="005D0129">
              <w:t xml:space="preserve">small business payer direction or not being identified as a </w:t>
            </w:r>
            <w:r w:rsidR="00D26BA0">
              <w:t>F</w:t>
            </w:r>
            <w:r w:rsidRPr="005D0129">
              <w:t xml:space="preserve">ast </w:t>
            </w:r>
            <w:r w:rsidR="00D26BA0">
              <w:t>S</w:t>
            </w:r>
            <w:r w:rsidRPr="005D0129">
              <w:t xml:space="preserve">mall </w:t>
            </w:r>
            <w:r w:rsidR="00D26BA0">
              <w:t>B</w:t>
            </w:r>
            <w:r w:rsidRPr="005D0129">
              <w:t>usiness</w:t>
            </w:r>
            <w:r w:rsidR="00D26BA0">
              <w:t xml:space="preserve"> P</w:t>
            </w:r>
            <w:r w:rsidRPr="005D0129">
              <w:t>ayer.</w:t>
            </w:r>
          </w:p>
        </w:tc>
      </w:tr>
      <w:bookmarkEnd w:id="44"/>
    </w:tbl>
    <w:p w14:paraId="038EDC1B" w14:textId="77777777" w:rsidR="00A27567" w:rsidRPr="002F5F97" w:rsidRDefault="00A27567" w:rsidP="00BE7C17">
      <w:pPr>
        <w:pStyle w:val="SingleParagraph"/>
      </w:pPr>
    </w:p>
    <w:p w14:paraId="00F892B1" w14:textId="77777777" w:rsidR="00BB0DE4" w:rsidRDefault="00BB0DE4">
      <w:pPr>
        <w:spacing w:before="0" w:after="160" w:line="259" w:lineRule="auto"/>
        <w:rPr>
          <w:rFonts w:asciiTheme="majorHAnsi" w:hAnsiTheme="majorHAnsi" w:cs="Arial"/>
          <w:b/>
          <w:bCs/>
          <w:color w:val="2C384A" w:themeColor="accent6"/>
          <w:kern w:val="32"/>
          <w:lang w:eastAsia="en-AU"/>
        </w:rPr>
      </w:pPr>
      <w:bookmarkStart w:id="45" w:name="_Hlk218865620"/>
      <w:r>
        <w:br w:type="page"/>
      </w:r>
    </w:p>
    <w:p w14:paraId="0D5C3B1A" w14:textId="67BAB682" w:rsidR="00BA6F8E" w:rsidRPr="002F5F97" w:rsidRDefault="00BA6F8E" w:rsidP="00BA6F8E">
      <w:pPr>
        <w:pStyle w:val="Heading4"/>
        <w:rPr>
          <w:rFonts w:cs="Times New Roman"/>
          <w:color w:val="auto"/>
          <w:szCs w:val="20"/>
        </w:rPr>
      </w:pPr>
      <w:r w:rsidRPr="002F5F97">
        <w:t>Entity information form completed incorrectly</w:t>
      </w:r>
    </w:p>
    <w:bookmarkEnd w:id="45"/>
    <w:p w14:paraId="38059C01" w14:textId="58CF4B4C" w:rsidR="00523ECF" w:rsidRPr="002F5F97" w:rsidRDefault="00523ECF" w:rsidP="00523ECF">
      <w:r w:rsidRPr="002F5F97">
        <w:t xml:space="preserve">The Regulator has identified that some </w:t>
      </w:r>
      <w:r w:rsidR="00B82C82" w:rsidRPr="002F5F97">
        <w:t>E</w:t>
      </w:r>
      <w:r w:rsidRPr="002F5F97">
        <w:t xml:space="preserve">ntity </w:t>
      </w:r>
      <w:r w:rsidR="00B82C82" w:rsidRPr="002F5F97">
        <w:t>I</w:t>
      </w:r>
      <w:r w:rsidRPr="002F5F97">
        <w:t xml:space="preserve">nformation </w:t>
      </w:r>
      <w:r w:rsidR="00DB528A">
        <w:t>f</w:t>
      </w:r>
      <w:r w:rsidRPr="002F5F97">
        <w:t xml:space="preserve">orms </w:t>
      </w:r>
      <w:r w:rsidR="00FE4B9C">
        <w:t xml:space="preserve">in the portal </w:t>
      </w:r>
      <w:r w:rsidRPr="002F5F97">
        <w:t>have been completed incorrectly. Some of the common errors include:</w:t>
      </w:r>
    </w:p>
    <w:p w14:paraId="4A3E9AAB" w14:textId="426CDCAF" w:rsidR="00523ECF" w:rsidRPr="002F5F97" w:rsidRDefault="00523ECF" w:rsidP="00D1611B">
      <w:pPr>
        <w:pStyle w:val="Bullet"/>
      </w:pPr>
      <w:r w:rsidRPr="002F5F97">
        <w:tab/>
      </w:r>
      <w:r w:rsidR="00B157D7">
        <w:t>i</w:t>
      </w:r>
      <w:r w:rsidRPr="002F5F97">
        <w:t xml:space="preserve">ndicating the entity is required to prepare financial reports under </w:t>
      </w:r>
      <w:r w:rsidR="00675A7C">
        <w:t xml:space="preserve">the </w:t>
      </w:r>
      <w:r w:rsidRPr="002F5F97">
        <w:t>A</w:t>
      </w:r>
      <w:r w:rsidR="00B157D7">
        <w:t xml:space="preserve">ustralian </w:t>
      </w:r>
      <w:r w:rsidRPr="002F5F97">
        <w:t>A</w:t>
      </w:r>
      <w:r w:rsidR="00B157D7">
        <w:t xml:space="preserve">ccounting </w:t>
      </w:r>
      <w:r w:rsidRPr="002F5F97">
        <w:t>S</w:t>
      </w:r>
      <w:r w:rsidR="00B157D7">
        <w:t xml:space="preserve">tandards </w:t>
      </w:r>
      <w:r w:rsidRPr="002F5F97">
        <w:t>B</w:t>
      </w:r>
      <w:r w:rsidR="00B157D7">
        <w:t>oard</w:t>
      </w:r>
      <w:r w:rsidR="00A4511E">
        <w:t>’s</w:t>
      </w:r>
      <w:r w:rsidRPr="002F5F97">
        <w:t xml:space="preserve"> </w:t>
      </w:r>
      <w:r w:rsidR="00D031C2">
        <w:t xml:space="preserve">(AASB) </w:t>
      </w:r>
      <w:r w:rsidR="00F93CC6">
        <w:t xml:space="preserve">Australian Accounting Standard AASB </w:t>
      </w:r>
      <w:r w:rsidRPr="002F5F97">
        <w:t>8</w:t>
      </w:r>
      <w:r w:rsidR="00F93CC6">
        <w:t xml:space="preserve"> – Operating Segments</w:t>
      </w:r>
      <w:r w:rsidRPr="002F5F97">
        <w:t xml:space="preserve">, </w:t>
      </w:r>
      <w:r w:rsidR="00D01278">
        <w:t>but</w:t>
      </w:r>
      <w:r w:rsidRPr="002F5F97">
        <w:t xml:space="preserve"> </w:t>
      </w:r>
      <w:r w:rsidR="00B157D7">
        <w:t xml:space="preserve">then </w:t>
      </w:r>
      <w:r w:rsidRPr="002F5F97">
        <w:t>submitting a standard report without identifying operating segments</w:t>
      </w:r>
    </w:p>
    <w:p w14:paraId="5EC076D3" w14:textId="50E35D10" w:rsidR="00523ECF" w:rsidRPr="002F5F97" w:rsidRDefault="00523ECF" w:rsidP="00D1611B">
      <w:pPr>
        <w:pStyle w:val="Bullet"/>
      </w:pPr>
      <w:r w:rsidRPr="002F5F97">
        <w:tab/>
      </w:r>
      <w:r w:rsidR="001E77BC">
        <w:t>l</w:t>
      </w:r>
      <w:r w:rsidRPr="002F5F97">
        <w:t>isting the entity as its own ultimate controlling entity</w:t>
      </w:r>
    </w:p>
    <w:p w14:paraId="189B5B4A" w14:textId="5DB4C1E0" w:rsidR="00523ECF" w:rsidRPr="002F5F97" w:rsidRDefault="00523ECF" w:rsidP="00D1611B">
      <w:pPr>
        <w:pStyle w:val="Bullet"/>
      </w:pPr>
      <w:r w:rsidRPr="002F5F97">
        <w:tab/>
      </w:r>
      <w:r w:rsidR="001E77BC">
        <w:t>i</w:t>
      </w:r>
      <w:r w:rsidRPr="002F5F97">
        <w:t xml:space="preserve">ncluding </w:t>
      </w:r>
      <w:r w:rsidR="005D0129">
        <w:t>‘</w:t>
      </w:r>
      <w:r w:rsidRPr="002F5F97">
        <w:t>subsidiary reporting entities</w:t>
      </w:r>
      <w:r w:rsidR="005D0129">
        <w:t>’</w:t>
      </w:r>
      <w:r w:rsidRPr="002F5F97">
        <w:t xml:space="preserve"> that have not received a determination from</w:t>
      </w:r>
      <w:r w:rsidR="000C68E7">
        <w:br/>
      </w:r>
      <w:r w:rsidRPr="002F5F97">
        <w:t xml:space="preserve">the Regulator, </w:t>
      </w:r>
      <w:r w:rsidR="00D01278">
        <w:t>or</w:t>
      </w:r>
    </w:p>
    <w:p w14:paraId="1B09E92C" w14:textId="162DF244" w:rsidR="00523ECF" w:rsidRPr="002F5F97" w:rsidRDefault="00523ECF" w:rsidP="00D1611B">
      <w:pPr>
        <w:pStyle w:val="Bullet"/>
      </w:pPr>
      <w:r w:rsidRPr="002F5F97">
        <w:tab/>
      </w:r>
      <w:r w:rsidR="001E77BC">
        <w:t>p</w:t>
      </w:r>
      <w:r w:rsidRPr="002F5F97">
        <w:t>roviding an ANZSIC subdivision, including title and code that does not reflect the entity</w:t>
      </w:r>
      <w:r w:rsidR="005D0129">
        <w:t>’</w:t>
      </w:r>
      <w:r w:rsidRPr="002F5F97">
        <w:t>s primary business activity.</w:t>
      </w:r>
    </w:p>
    <w:p w14:paraId="26541616" w14:textId="3551AC50" w:rsidR="00BA6F8E" w:rsidRPr="002F5F97" w:rsidRDefault="00523ECF" w:rsidP="00523ECF">
      <w:r w:rsidRPr="002F5F97">
        <w:t xml:space="preserve">Additionally, the Regulator has identified that </w:t>
      </w:r>
      <w:r w:rsidR="0079556F" w:rsidRPr="002F5F97">
        <w:t>E</w:t>
      </w:r>
      <w:r w:rsidRPr="002F5F97">
        <w:t xml:space="preserve">ntity </w:t>
      </w:r>
      <w:r w:rsidR="0079556F" w:rsidRPr="002F5F97">
        <w:t>I</w:t>
      </w:r>
      <w:r w:rsidRPr="002F5F97">
        <w:t xml:space="preserve">nformation </w:t>
      </w:r>
      <w:r w:rsidR="0045350D">
        <w:t>f</w:t>
      </w:r>
      <w:r w:rsidRPr="002F5F97">
        <w:t xml:space="preserve">orms are being submitted by entities that are controlled by reporting entities. An entity that is controlled by a reporting entity cannot submit its own reports and therefore should not be submitting an </w:t>
      </w:r>
      <w:r w:rsidR="004E6240" w:rsidRPr="002F5F97">
        <w:t>E</w:t>
      </w:r>
      <w:r w:rsidRPr="002F5F97">
        <w:t xml:space="preserve">ntity </w:t>
      </w:r>
      <w:r w:rsidR="004E6240" w:rsidRPr="002F5F97">
        <w:t>I</w:t>
      </w:r>
      <w:r w:rsidRPr="002F5F97">
        <w:t xml:space="preserve">nformation </w:t>
      </w:r>
      <w:r w:rsidR="0045350D">
        <w:t>f</w:t>
      </w:r>
      <w:r w:rsidRPr="002F5F97">
        <w:t>orm.</w:t>
      </w:r>
    </w:p>
    <w:p w14:paraId="67D8C769" w14:textId="77777777" w:rsidR="00AD1784" w:rsidRPr="002F5F97" w:rsidRDefault="00AD1784" w:rsidP="002B0538">
      <w:pPr>
        <w:spacing w:before="0" w:after="160" w:line="259" w:lineRule="auto"/>
      </w:pPr>
    </w:p>
    <w:p w14:paraId="0266F91D" w14:textId="77777777" w:rsidR="00AD1784" w:rsidRPr="002F5F97" w:rsidRDefault="00AD1784" w:rsidP="002B0538">
      <w:pPr>
        <w:spacing w:before="0" w:after="160" w:line="259" w:lineRule="auto"/>
        <w:sectPr w:rsidR="00AD1784" w:rsidRPr="002F5F97" w:rsidSect="00CC3C5B">
          <w:headerReference w:type="even" r:id="rId144"/>
          <w:headerReference w:type="default" r:id="rId145"/>
          <w:footerReference w:type="even" r:id="rId146"/>
          <w:footerReference w:type="default" r:id="rId147"/>
          <w:headerReference w:type="first" r:id="rId148"/>
          <w:footerReference w:type="first" r:id="rId149"/>
          <w:pgSz w:w="11906" w:h="16838" w:code="9"/>
          <w:pgMar w:top="1418" w:right="1701" w:bottom="1418" w:left="1701" w:header="709" w:footer="709" w:gutter="0"/>
          <w:cols w:space="708"/>
          <w:titlePg/>
          <w:docGrid w:linePitch="360"/>
        </w:sectPr>
      </w:pPr>
    </w:p>
    <w:p w14:paraId="4870668E" w14:textId="166D5757" w:rsidR="00513733" w:rsidRPr="002F5F97" w:rsidRDefault="00513733" w:rsidP="00513733">
      <w:pPr>
        <w:pStyle w:val="Heading1"/>
      </w:pPr>
      <w:bookmarkStart w:id="46" w:name="_Toc220068381"/>
      <w:r w:rsidRPr="002F5F97">
        <w:t>Appendix A</w:t>
      </w:r>
      <w:r w:rsidR="005D0129">
        <w:t xml:space="preserve"> – </w:t>
      </w:r>
      <w:r w:rsidR="0013317B" w:rsidRPr="002F5F97">
        <w:t xml:space="preserve">Insights: </w:t>
      </w:r>
      <w:r w:rsidR="00F54447" w:rsidRPr="002F5F97">
        <w:t>m</w:t>
      </w:r>
      <w:r w:rsidR="0013317B" w:rsidRPr="002F5F97">
        <w:t xml:space="preserve">ethodology and </w:t>
      </w:r>
      <w:r w:rsidR="00F54447" w:rsidRPr="002F5F97">
        <w:t>a</w:t>
      </w:r>
      <w:r w:rsidR="0013317B" w:rsidRPr="002F5F97">
        <w:t>ssumptions</w:t>
      </w:r>
      <w:bookmarkEnd w:id="46"/>
    </w:p>
    <w:p w14:paraId="1B1B2589" w14:textId="3DB1AC72" w:rsidR="00513733" w:rsidRPr="002F5F97" w:rsidRDefault="003824E0" w:rsidP="00513733">
      <w:pPr>
        <w:pStyle w:val="Heading2"/>
      </w:pPr>
      <w:r w:rsidRPr="002F5F97">
        <w:t>Reporting cycles</w:t>
      </w:r>
    </w:p>
    <w:tbl>
      <w:tblPr>
        <w:tblStyle w:val="TableGrid"/>
        <w:tblW w:w="5000" w:type="pct"/>
        <w:tblLayout w:type="fixed"/>
        <w:tblLook w:val="04A0" w:firstRow="1" w:lastRow="0" w:firstColumn="1" w:lastColumn="0" w:noHBand="0" w:noVBand="1"/>
      </w:tblPr>
      <w:tblGrid>
        <w:gridCol w:w="2049"/>
        <w:gridCol w:w="2056"/>
        <w:gridCol w:w="2056"/>
        <w:gridCol w:w="237"/>
        <w:gridCol w:w="2106"/>
      </w:tblGrid>
      <w:tr w:rsidR="000F79A4" w:rsidRPr="005D0129" w14:paraId="4FB3B189" w14:textId="77777777" w:rsidTr="00642BEB">
        <w:trPr>
          <w:cnfStyle w:val="100000000000" w:firstRow="1" w:lastRow="0" w:firstColumn="0" w:lastColumn="0" w:oddVBand="0" w:evenVBand="0" w:oddHBand="0" w:evenHBand="0" w:firstRowFirstColumn="0" w:firstRowLastColumn="0" w:lastRowFirstColumn="0" w:lastRowLastColumn="0"/>
          <w:trHeight w:hRule="exact" w:val="571"/>
        </w:trPr>
        <w:tc>
          <w:tcPr>
            <w:tcW w:w="2050" w:type="dxa"/>
            <w:tcMar>
              <w:top w:w="108" w:type="dxa"/>
              <w:bottom w:w="108" w:type="dxa"/>
            </w:tcMar>
            <w:vAlign w:val="bottom"/>
          </w:tcPr>
          <w:p w14:paraId="5A8FC643" w14:textId="395AC353" w:rsidR="000F79A4" w:rsidRPr="005D0129" w:rsidRDefault="000F79A4" w:rsidP="00EE40E4">
            <w:pPr>
              <w:pStyle w:val="TableColumnHeadingLeft"/>
            </w:pPr>
            <w:r w:rsidRPr="005D0129">
              <w:t>Reporting Cycle 1</w:t>
            </w:r>
          </w:p>
        </w:tc>
        <w:tc>
          <w:tcPr>
            <w:tcW w:w="2056" w:type="dxa"/>
            <w:tcMar>
              <w:top w:w="108" w:type="dxa"/>
              <w:bottom w:w="108" w:type="dxa"/>
            </w:tcMar>
            <w:vAlign w:val="bottom"/>
          </w:tcPr>
          <w:p w14:paraId="58B5D4E0" w14:textId="5A5039E0" w:rsidR="000F79A4" w:rsidRPr="005D0129" w:rsidRDefault="000F79A4" w:rsidP="00EE40E4">
            <w:pPr>
              <w:pStyle w:val="TableColumnHeadingLeft"/>
            </w:pPr>
            <w:r w:rsidRPr="005D0129">
              <w:t>Reporting Cycle 2</w:t>
            </w:r>
          </w:p>
        </w:tc>
        <w:tc>
          <w:tcPr>
            <w:tcW w:w="2056" w:type="dxa"/>
            <w:tcMar>
              <w:top w:w="108" w:type="dxa"/>
              <w:bottom w:w="108" w:type="dxa"/>
            </w:tcMar>
            <w:vAlign w:val="bottom"/>
          </w:tcPr>
          <w:p w14:paraId="52B47BBA" w14:textId="52C93DCF" w:rsidR="000F79A4" w:rsidRPr="005D0129" w:rsidRDefault="000F79A4" w:rsidP="00EE40E4">
            <w:pPr>
              <w:pStyle w:val="TableColumnHeadingLeft"/>
            </w:pPr>
            <w:r w:rsidRPr="005D0129">
              <w:t>Reporting Cycle 3</w:t>
            </w:r>
          </w:p>
        </w:tc>
        <w:tc>
          <w:tcPr>
            <w:tcW w:w="237" w:type="dxa"/>
            <w:tcMar>
              <w:top w:w="108" w:type="dxa"/>
              <w:left w:w="0" w:type="dxa"/>
              <w:bottom w:w="108" w:type="dxa"/>
              <w:right w:w="0" w:type="dxa"/>
            </w:tcMar>
            <w:vAlign w:val="bottom"/>
          </w:tcPr>
          <w:p w14:paraId="70FB6D0D" w14:textId="77777777" w:rsidR="000F79A4" w:rsidRPr="005D0129" w:rsidRDefault="000F79A4" w:rsidP="00EE40E4">
            <w:pPr>
              <w:pStyle w:val="TableColumnHeadingLeft"/>
            </w:pPr>
          </w:p>
        </w:tc>
        <w:tc>
          <w:tcPr>
            <w:tcW w:w="2106" w:type="dxa"/>
            <w:tcMar>
              <w:top w:w="108" w:type="dxa"/>
              <w:bottom w:w="108" w:type="dxa"/>
            </w:tcMar>
            <w:vAlign w:val="bottom"/>
          </w:tcPr>
          <w:p w14:paraId="78938DCC" w14:textId="0D551C92" w:rsidR="000F79A4" w:rsidRPr="005D0129" w:rsidRDefault="000F79A4" w:rsidP="00EE40E4">
            <w:pPr>
              <w:pStyle w:val="TableColumnHeadingLeft"/>
            </w:pPr>
            <w:r w:rsidRPr="005D0129">
              <w:t>Reporting Cycle 9</w:t>
            </w:r>
          </w:p>
        </w:tc>
      </w:tr>
      <w:tr w:rsidR="00C5799B" w:rsidRPr="005D0129" w14:paraId="4EA6F0D5" w14:textId="77777777" w:rsidTr="00642BEB">
        <w:trPr>
          <w:cnfStyle w:val="000000100000" w:firstRow="0" w:lastRow="0" w:firstColumn="0" w:lastColumn="0" w:oddVBand="0" w:evenVBand="0" w:oddHBand="1" w:evenHBand="0" w:firstRowFirstColumn="0" w:firstRowLastColumn="0" w:lastRowFirstColumn="0" w:lastRowLastColumn="0"/>
          <w:trHeight w:hRule="exact" w:val="312"/>
        </w:trPr>
        <w:tc>
          <w:tcPr>
            <w:tcW w:w="2050" w:type="dxa"/>
            <w:vAlign w:val="center"/>
          </w:tcPr>
          <w:p w14:paraId="3BAEBA4C" w14:textId="4F42BFB4" w:rsidR="000F79A4" w:rsidRPr="005D0129" w:rsidRDefault="000F79A4" w:rsidP="00642BEB">
            <w:pPr>
              <w:pStyle w:val="TableTextLeft"/>
            </w:pPr>
            <w:r w:rsidRPr="005D0129">
              <w:t>1/01/2021–30/06/2021</w:t>
            </w:r>
          </w:p>
        </w:tc>
        <w:tc>
          <w:tcPr>
            <w:tcW w:w="2056" w:type="dxa"/>
            <w:vAlign w:val="center"/>
          </w:tcPr>
          <w:p w14:paraId="392DD42B" w14:textId="05CA99A9" w:rsidR="000F79A4" w:rsidRPr="005D0129" w:rsidRDefault="000F79A4" w:rsidP="00642BEB">
            <w:pPr>
              <w:pStyle w:val="TableTextLeft"/>
            </w:pPr>
            <w:r w:rsidRPr="005D0129">
              <w:t>1/07/2021–31/12/2021</w:t>
            </w:r>
          </w:p>
        </w:tc>
        <w:tc>
          <w:tcPr>
            <w:tcW w:w="2056" w:type="dxa"/>
            <w:vAlign w:val="center"/>
          </w:tcPr>
          <w:p w14:paraId="2E31584E" w14:textId="069F9407" w:rsidR="000F79A4" w:rsidRPr="005D0129" w:rsidRDefault="000F79A4" w:rsidP="00642BEB">
            <w:pPr>
              <w:pStyle w:val="TableTextLeft"/>
            </w:pPr>
            <w:r w:rsidRPr="005D0129">
              <w:t>1/01/2022–30/06/2022</w:t>
            </w:r>
          </w:p>
        </w:tc>
        <w:tc>
          <w:tcPr>
            <w:tcW w:w="237" w:type="dxa"/>
            <w:tcMar>
              <w:left w:w="0" w:type="dxa"/>
              <w:right w:w="0" w:type="dxa"/>
            </w:tcMar>
            <w:vAlign w:val="center"/>
          </w:tcPr>
          <w:p w14:paraId="36156448" w14:textId="298DE5C6" w:rsidR="000F79A4" w:rsidRPr="005D0129" w:rsidRDefault="000F79A4" w:rsidP="00642BEB">
            <w:pPr>
              <w:pStyle w:val="TableTextCentered"/>
              <w:jc w:val="left"/>
            </w:pPr>
            <w:r w:rsidRPr="005D0129">
              <w:rPr>
                <w:rFonts w:ascii="Cambria Math" w:hAnsi="Cambria Math" w:cs="Cambria Math"/>
              </w:rPr>
              <w:t>⟶</w:t>
            </w:r>
          </w:p>
        </w:tc>
        <w:tc>
          <w:tcPr>
            <w:tcW w:w="2106" w:type="dxa"/>
            <w:vAlign w:val="center"/>
          </w:tcPr>
          <w:p w14:paraId="6DB4DD9E" w14:textId="7FD1C54F" w:rsidR="000F79A4" w:rsidRPr="005D0129" w:rsidRDefault="000F79A4" w:rsidP="00642BEB">
            <w:pPr>
              <w:pStyle w:val="TableTextLeft"/>
            </w:pPr>
            <w:r w:rsidRPr="005D0129">
              <w:t>1/01/2025–30/06/2025 </w:t>
            </w:r>
          </w:p>
        </w:tc>
      </w:tr>
    </w:tbl>
    <w:p w14:paraId="3A718CCF" w14:textId="17948C13" w:rsidR="001D250E" w:rsidRPr="002F5F97" w:rsidRDefault="001D250E" w:rsidP="001D250E">
      <w:pPr>
        <w:rPr>
          <w:lang w:eastAsia="en-AU"/>
        </w:rPr>
      </w:pPr>
      <w:r w:rsidRPr="002F5F97">
        <w:rPr>
          <w:lang w:eastAsia="en-AU"/>
        </w:rPr>
        <w:t>Reports are assigned to a reporting cycle based on the reporting period end date. For example, reports with a reporting period end date of 15</w:t>
      </w:r>
      <w:r w:rsidR="00C673D6">
        <w:rPr>
          <w:lang w:eastAsia="en-AU"/>
        </w:rPr>
        <w:t> </w:t>
      </w:r>
      <w:r w:rsidRPr="002F5F97">
        <w:rPr>
          <w:lang w:eastAsia="en-AU"/>
        </w:rPr>
        <w:t>March</w:t>
      </w:r>
      <w:r w:rsidR="00C673D6">
        <w:rPr>
          <w:lang w:eastAsia="en-AU"/>
        </w:rPr>
        <w:t> </w:t>
      </w:r>
      <w:r w:rsidRPr="002F5F97">
        <w:rPr>
          <w:lang w:eastAsia="en-AU"/>
        </w:rPr>
        <w:t>2025 will be categorised as Reporting Cycle</w:t>
      </w:r>
      <w:r w:rsidR="00C673D6">
        <w:rPr>
          <w:lang w:eastAsia="en-AU"/>
        </w:rPr>
        <w:t> </w:t>
      </w:r>
      <w:r w:rsidRPr="002F5F97">
        <w:rPr>
          <w:lang w:eastAsia="en-AU"/>
        </w:rPr>
        <w:t>9 for the purpose of payment times reporting.</w:t>
      </w:r>
    </w:p>
    <w:p w14:paraId="3133B1E6" w14:textId="21C7BFDE" w:rsidR="001D250E" w:rsidRPr="002F5F97" w:rsidRDefault="001D250E" w:rsidP="001D250E">
      <w:pPr>
        <w:rPr>
          <w:lang w:eastAsia="en-AU"/>
        </w:rPr>
      </w:pPr>
      <w:r w:rsidRPr="002F5F97">
        <w:rPr>
          <w:lang w:eastAsia="en-AU"/>
        </w:rPr>
        <w:t>Prior to December</w:t>
      </w:r>
      <w:r w:rsidR="00C673D6">
        <w:rPr>
          <w:lang w:eastAsia="en-AU"/>
        </w:rPr>
        <w:t> </w:t>
      </w:r>
      <w:r w:rsidRPr="002F5F97">
        <w:rPr>
          <w:lang w:eastAsia="en-AU"/>
        </w:rPr>
        <w:t xml:space="preserve">2024, reports were assigned by the </w:t>
      </w:r>
      <w:r w:rsidR="006B509E">
        <w:rPr>
          <w:lang w:eastAsia="en-AU"/>
        </w:rPr>
        <w:t>reporting period</w:t>
      </w:r>
      <w:r w:rsidRPr="002F5F97">
        <w:rPr>
          <w:lang w:eastAsia="en-AU"/>
        </w:rPr>
        <w:t xml:space="preserve"> start date. This change has a minimal effect and aligns all reports under the reforms</w:t>
      </w:r>
      <w:r w:rsidR="00D658F7">
        <w:rPr>
          <w:lang w:eastAsia="en-AU"/>
        </w:rPr>
        <w:t xml:space="preserve"> to Scheme</w:t>
      </w:r>
      <w:r w:rsidRPr="002F5F97">
        <w:rPr>
          <w:lang w:eastAsia="en-AU"/>
        </w:rPr>
        <w:t xml:space="preserve">. </w:t>
      </w:r>
    </w:p>
    <w:p w14:paraId="273C9016" w14:textId="4F40DD09" w:rsidR="001D250E" w:rsidRPr="002F5F97" w:rsidRDefault="001D250E" w:rsidP="001D250E">
      <w:pPr>
        <w:rPr>
          <w:lang w:eastAsia="en-AU"/>
        </w:rPr>
      </w:pPr>
      <w:r w:rsidRPr="002F5F97">
        <w:rPr>
          <w:lang w:eastAsia="en-AU"/>
        </w:rPr>
        <w:t>Reporting cycles and reporting instances (that is an entity</w:t>
      </w:r>
      <w:r w:rsidR="005D0129">
        <w:rPr>
          <w:lang w:eastAsia="en-AU"/>
        </w:rPr>
        <w:t>’</w:t>
      </w:r>
      <w:r w:rsidRPr="002F5F97">
        <w:rPr>
          <w:lang w:eastAsia="en-AU"/>
        </w:rPr>
        <w:t>s first report, second report, etc.) do not reconcile due to the timing of reports. For example, an entity</w:t>
      </w:r>
      <w:r w:rsidR="005D0129">
        <w:rPr>
          <w:lang w:eastAsia="en-AU"/>
        </w:rPr>
        <w:t>’</w:t>
      </w:r>
      <w:r w:rsidRPr="002F5F97">
        <w:rPr>
          <w:lang w:eastAsia="en-AU"/>
        </w:rPr>
        <w:t xml:space="preserve">s first reporting instance may have occurred in Reporting Cycle 2 or 3. </w:t>
      </w:r>
    </w:p>
    <w:p w14:paraId="59705310" w14:textId="77777777" w:rsidR="001D250E" w:rsidRPr="002F5F97" w:rsidRDefault="001D250E" w:rsidP="001D250E">
      <w:pPr>
        <w:rPr>
          <w:lang w:eastAsia="en-AU"/>
        </w:rPr>
      </w:pPr>
      <w:r w:rsidRPr="002F5F97">
        <w:rPr>
          <w:lang w:eastAsia="en-AU"/>
        </w:rPr>
        <w:t xml:space="preserve">Historic report statistics may change when entities submit reports for previous reporting cycles or revise reports. </w:t>
      </w:r>
    </w:p>
    <w:p w14:paraId="452F7A0F" w14:textId="77777777" w:rsidR="001D250E" w:rsidRPr="002F5F97" w:rsidRDefault="001D250E" w:rsidP="00010938">
      <w:pPr>
        <w:pStyle w:val="Heading2"/>
      </w:pPr>
      <w:r w:rsidRPr="002F5F97">
        <w:t>Insights are at a point in time</w:t>
      </w:r>
    </w:p>
    <w:p w14:paraId="496A64D8" w14:textId="77777777" w:rsidR="001D250E" w:rsidRPr="002F5F97" w:rsidRDefault="001D250E" w:rsidP="001D250E">
      <w:pPr>
        <w:rPr>
          <w:lang w:eastAsia="en-AU"/>
        </w:rPr>
      </w:pPr>
      <w:r w:rsidRPr="002F5F97">
        <w:rPr>
          <w:lang w:eastAsia="en-AU"/>
        </w:rPr>
        <w:t xml:space="preserve">Data is subject to revision and reports are received on a continuous basis, including for historical reporting cycles. Previous reports can also be updated by submitting a revised report. </w:t>
      </w:r>
    </w:p>
    <w:p w14:paraId="7E26D960" w14:textId="4BD1E85B" w:rsidR="001D250E" w:rsidRPr="002F5F97" w:rsidRDefault="001D250E" w:rsidP="001D250E">
      <w:pPr>
        <w:rPr>
          <w:lang w:eastAsia="en-AU"/>
        </w:rPr>
      </w:pPr>
      <w:r w:rsidRPr="002F5F97">
        <w:rPr>
          <w:lang w:eastAsia="en-AU"/>
        </w:rPr>
        <w:t>Insights provided in this Update are based on reports received on or before</w:t>
      </w:r>
      <w:r w:rsidR="00D573D2">
        <w:rPr>
          <w:lang w:eastAsia="en-AU"/>
        </w:rPr>
        <w:t xml:space="preserve"> </w:t>
      </w:r>
      <w:r w:rsidRPr="002F5F97">
        <w:rPr>
          <w:lang w:eastAsia="en-AU"/>
        </w:rPr>
        <w:t>31</w:t>
      </w:r>
      <w:r w:rsidR="00D573D2">
        <w:rPr>
          <w:lang w:eastAsia="en-AU"/>
        </w:rPr>
        <w:t> </w:t>
      </w:r>
      <w:r w:rsidRPr="002F5F97">
        <w:rPr>
          <w:lang w:eastAsia="en-AU"/>
        </w:rPr>
        <w:t>December</w:t>
      </w:r>
      <w:r w:rsidR="00D573D2">
        <w:rPr>
          <w:lang w:eastAsia="en-AU"/>
        </w:rPr>
        <w:t> </w:t>
      </w:r>
      <w:r w:rsidRPr="002F5F97">
        <w:rPr>
          <w:lang w:eastAsia="en-AU"/>
        </w:rPr>
        <w:t xml:space="preserve">2025 and subsequently published. These insights are subject to change as additional or revised reports are submitted and published after this date. </w:t>
      </w:r>
    </w:p>
    <w:p w14:paraId="336E329C" w14:textId="2119439C" w:rsidR="001D250E" w:rsidRPr="002F5F97" w:rsidRDefault="001D250E" w:rsidP="001D250E">
      <w:pPr>
        <w:rPr>
          <w:lang w:eastAsia="en-AU"/>
        </w:rPr>
      </w:pPr>
      <w:r w:rsidRPr="002F5F97">
        <w:rPr>
          <w:lang w:eastAsia="en-AU"/>
        </w:rPr>
        <w:t xml:space="preserve">Note: Caution should be exercised when interpreting the data or insights in this Update as the key reporting measures may not be directly comparable to </w:t>
      </w:r>
      <w:r w:rsidR="0054692F">
        <w:rPr>
          <w:lang w:eastAsia="en-AU"/>
        </w:rPr>
        <w:t xml:space="preserve">measures from </w:t>
      </w:r>
      <w:r w:rsidR="00C156FE">
        <w:rPr>
          <w:lang w:eastAsia="en-AU"/>
        </w:rPr>
        <w:t>reporting cycles</w:t>
      </w:r>
      <w:r w:rsidRPr="002F5F97">
        <w:rPr>
          <w:lang w:eastAsia="en-AU"/>
        </w:rPr>
        <w:t xml:space="preserve"> pre</w:t>
      </w:r>
      <w:r w:rsidR="00B32FEA" w:rsidRPr="002F5F97">
        <w:rPr>
          <w:lang w:eastAsia="en-AU"/>
        </w:rPr>
        <w:t>-</w:t>
      </w:r>
      <w:r w:rsidR="009C6000">
        <w:rPr>
          <w:lang w:eastAsia="en-AU"/>
        </w:rPr>
        <w:t>July 2024</w:t>
      </w:r>
      <w:r w:rsidRPr="002F5F97">
        <w:rPr>
          <w:lang w:eastAsia="en-AU"/>
        </w:rPr>
        <w:t>. The July 2025 Regulator</w:t>
      </w:r>
      <w:r w:rsidR="005D0129">
        <w:rPr>
          <w:lang w:eastAsia="en-AU"/>
        </w:rPr>
        <w:t>’</w:t>
      </w:r>
      <w:r w:rsidRPr="002F5F97">
        <w:rPr>
          <w:lang w:eastAsia="en-AU"/>
        </w:rPr>
        <w:t xml:space="preserve">s Update was the first publication to publish insights </w:t>
      </w:r>
      <w:r w:rsidR="00AE1291">
        <w:rPr>
          <w:lang w:eastAsia="en-AU"/>
        </w:rPr>
        <w:t xml:space="preserve">based </w:t>
      </w:r>
      <w:r w:rsidRPr="002F5F97">
        <w:rPr>
          <w:lang w:eastAsia="en-AU"/>
        </w:rPr>
        <w:t xml:space="preserve">on </w:t>
      </w:r>
      <w:r w:rsidR="00AE1291">
        <w:rPr>
          <w:lang w:eastAsia="en-AU"/>
        </w:rPr>
        <w:t>the</w:t>
      </w:r>
      <w:r w:rsidRPr="002F5F97">
        <w:rPr>
          <w:lang w:eastAsia="en-AU"/>
        </w:rPr>
        <w:t xml:space="preserve"> new measures.</w:t>
      </w:r>
    </w:p>
    <w:p w14:paraId="25985288" w14:textId="68754BA0" w:rsidR="001D250E" w:rsidRPr="002F5F97" w:rsidRDefault="001D250E" w:rsidP="00010938">
      <w:pPr>
        <w:pStyle w:val="Heading2"/>
      </w:pPr>
      <w:r w:rsidRPr="002F5F97">
        <w:t xml:space="preserve">Analysis on </w:t>
      </w:r>
      <w:r w:rsidR="001108B8">
        <w:t>p</w:t>
      </w:r>
      <w:r w:rsidRPr="002F5F97">
        <w:t xml:space="preserve">ayment </w:t>
      </w:r>
      <w:r w:rsidR="001108B8">
        <w:t>t</w:t>
      </w:r>
      <w:r w:rsidRPr="002F5F97">
        <w:t>imes</w:t>
      </w:r>
    </w:p>
    <w:p w14:paraId="5FA2E64C" w14:textId="1305C3ED" w:rsidR="001D250E" w:rsidRPr="002F5F97" w:rsidRDefault="001D250E" w:rsidP="001D250E">
      <w:pPr>
        <w:rPr>
          <w:lang w:eastAsia="en-AU"/>
        </w:rPr>
      </w:pPr>
      <w:r w:rsidRPr="002F5F97">
        <w:rPr>
          <w:lang w:eastAsia="en-AU"/>
        </w:rPr>
        <w:t>Reports received for Reporting Cycle 9 (1</w:t>
      </w:r>
      <w:r w:rsidR="00F33BBD">
        <w:rPr>
          <w:lang w:eastAsia="en-AU"/>
        </w:rPr>
        <w:t> </w:t>
      </w:r>
      <w:r w:rsidRPr="002F5F97">
        <w:rPr>
          <w:lang w:eastAsia="en-AU"/>
        </w:rPr>
        <w:t>January</w:t>
      </w:r>
      <w:r w:rsidR="00F33BBD">
        <w:rPr>
          <w:lang w:eastAsia="en-AU"/>
        </w:rPr>
        <w:t> </w:t>
      </w:r>
      <w:r w:rsidRPr="002F5F97">
        <w:rPr>
          <w:lang w:eastAsia="en-AU"/>
        </w:rPr>
        <w:t>2025 to 30</w:t>
      </w:r>
      <w:r w:rsidR="00F33BBD">
        <w:rPr>
          <w:lang w:eastAsia="en-AU"/>
        </w:rPr>
        <w:t> </w:t>
      </w:r>
      <w:r w:rsidRPr="002F5F97">
        <w:rPr>
          <w:lang w:eastAsia="en-AU"/>
        </w:rPr>
        <w:t>June</w:t>
      </w:r>
      <w:r w:rsidR="00F33BBD">
        <w:rPr>
          <w:lang w:eastAsia="en-AU"/>
        </w:rPr>
        <w:t> </w:t>
      </w:r>
      <w:r w:rsidRPr="002F5F97">
        <w:rPr>
          <w:lang w:eastAsia="en-AU"/>
        </w:rPr>
        <w:t xml:space="preserve">2025) contain reported payment terms and payment times data relating to payments made to small business suppliers. Reported data includes payment times expressed in days for average payment times, median payment times, </w:t>
      </w:r>
      <w:r w:rsidR="003B45D4">
        <w:rPr>
          <w:lang w:eastAsia="en-AU"/>
        </w:rPr>
        <w:t xml:space="preserve">the </w:t>
      </w:r>
      <w:r w:rsidRPr="002F5F97">
        <w:rPr>
          <w:lang w:eastAsia="en-AU"/>
        </w:rPr>
        <w:t>80</w:t>
      </w:r>
      <w:r w:rsidRPr="00F33BBD">
        <w:rPr>
          <w:lang w:eastAsia="en-AU"/>
        </w:rPr>
        <w:t>th</w:t>
      </w:r>
      <w:r w:rsidR="00F33BBD">
        <w:rPr>
          <w:lang w:eastAsia="en-AU"/>
        </w:rPr>
        <w:t> </w:t>
      </w:r>
      <w:r w:rsidRPr="002F5F97">
        <w:rPr>
          <w:lang w:eastAsia="en-AU"/>
        </w:rPr>
        <w:t>percentile payment time, the 95</w:t>
      </w:r>
      <w:r w:rsidRPr="00F33BBD">
        <w:rPr>
          <w:lang w:eastAsia="en-AU"/>
        </w:rPr>
        <w:t>th</w:t>
      </w:r>
      <w:r w:rsidR="00F33BBD">
        <w:rPr>
          <w:lang w:eastAsia="en-AU"/>
        </w:rPr>
        <w:t> </w:t>
      </w:r>
      <w:r w:rsidRPr="002F5F97">
        <w:rPr>
          <w:lang w:eastAsia="en-AU"/>
        </w:rPr>
        <w:t xml:space="preserve">percentile payment time and </w:t>
      </w:r>
      <w:r w:rsidR="005A3F26">
        <w:rPr>
          <w:lang w:eastAsia="en-AU"/>
        </w:rPr>
        <w:t>percentage of invoices paid on time (within payment terms)</w:t>
      </w:r>
      <w:r w:rsidRPr="002F5F97">
        <w:rPr>
          <w:lang w:eastAsia="en-AU"/>
        </w:rPr>
        <w:t>. Payments for invoices paid to small business suppliers are grouped into 3</w:t>
      </w:r>
      <w:r w:rsidR="00CE3B54">
        <w:rPr>
          <w:lang w:eastAsia="en-AU"/>
        </w:rPr>
        <w:t xml:space="preserve"> </w:t>
      </w:r>
      <w:r w:rsidR="0083484C">
        <w:rPr>
          <w:lang w:eastAsia="en-AU"/>
        </w:rPr>
        <w:t xml:space="preserve">separate </w:t>
      </w:r>
      <w:r w:rsidRPr="002F5F97">
        <w:rPr>
          <w:lang w:eastAsia="en-AU"/>
        </w:rPr>
        <w:t>day ranges (within 30</w:t>
      </w:r>
      <w:r w:rsidR="00F33BBD">
        <w:rPr>
          <w:lang w:eastAsia="en-AU"/>
        </w:rPr>
        <w:t> </w:t>
      </w:r>
      <w:r w:rsidRPr="002F5F97">
        <w:rPr>
          <w:lang w:eastAsia="en-AU"/>
        </w:rPr>
        <w:t>days, 31</w:t>
      </w:r>
      <w:r w:rsidR="0083484C">
        <w:rPr>
          <w:lang w:eastAsia="en-AU"/>
        </w:rPr>
        <w:t>-</w:t>
      </w:r>
      <w:r w:rsidRPr="002F5F97">
        <w:rPr>
          <w:lang w:eastAsia="en-AU"/>
        </w:rPr>
        <w:t>60 days and more than 60</w:t>
      </w:r>
      <w:r w:rsidR="00F33BBD">
        <w:rPr>
          <w:lang w:eastAsia="en-AU"/>
        </w:rPr>
        <w:t> </w:t>
      </w:r>
      <w:r w:rsidRPr="002F5F97">
        <w:rPr>
          <w:lang w:eastAsia="en-AU"/>
        </w:rPr>
        <w:t xml:space="preserve">days). </w:t>
      </w:r>
    </w:p>
    <w:p w14:paraId="0769E8F9" w14:textId="77777777" w:rsidR="001D250E" w:rsidRPr="002F5F97" w:rsidRDefault="001D250E" w:rsidP="00010938">
      <w:pPr>
        <w:pStyle w:val="Heading2"/>
      </w:pPr>
      <w:r w:rsidRPr="002F5F97">
        <w:t>Consolidated reporting</w:t>
      </w:r>
    </w:p>
    <w:p w14:paraId="051B5980" w14:textId="5FF3851D" w:rsidR="001D250E" w:rsidRPr="002F5F97" w:rsidRDefault="001D250E" w:rsidP="001D250E">
      <w:pPr>
        <w:rPr>
          <w:lang w:eastAsia="en-AU"/>
        </w:rPr>
      </w:pPr>
      <w:r w:rsidRPr="002F5F97">
        <w:rPr>
          <w:lang w:eastAsia="en-AU"/>
        </w:rPr>
        <w:t>Consolidated reporting was introduced to the Scheme from 1</w:t>
      </w:r>
      <w:r w:rsidR="009850B7">
        <w:rPr>
          <w:lang w:eastAsia="en-AU"/>
        </w:rPr>
        <w:t> </w:t>
      </w:r>
      <w:r w:rsidRPr="002F5F97">
        <w:rPr>
          <w:lang w:eastAsia="en-AU"/>
        </w:rPr>
        <w:t>July 2024. Consolidation of entities using the AASB accounting standards provides a consistent and well understood framework for entities. It also reduces unnecessary administrative and compliance burden for individual entities in a group. Consolidated reporting allows a single report for a corporate group to be provided to the Regulator for publication to the Payment Times Reports Register.</w:t>
      </w:r>
    </w:p>
    <w:p w14:paraId="3497FC55" w14:textId="711A1232" w:rsidR="00B730C5" w:rsidRPr="002F5F97" w:rsidRDefault="00B730C5" w:rsidP="00C830E7">
      <w:pPr>
        <w:pStyle w:val="Heading2"/>
      </w:pPr>
      <w:r w:rsidRPr="002F5F97">
        <w:t>Assumptions</w:t>
      </w:r>
    </w:p>
    <w:p w14:paraId="49A7BBB0" w14:textId="47FCB471" w:rsidR="004B6B84" w:rsidRPr="002F5F97" w:rsidRDefault="004B6B84" w:rsidP="001D250E">
      <w:pPr>
        <w:rPr>
          <w:lang w:eastAsia="en-AU"/>
        </w:rPr>
      </w:pPr>
      <w:r w:rsidRPr="002F5F97">
        <w:rPr>
          <w:lang w:eastAsia="en-AU"/>
        </w:rPr>
        <w:t>Unless otherwise</w:t>
      </w:r>
      <w:r w:rsidR="00815400" w:rsidRPr="002F5F97">
        <w:rPr>
          <w:lang w:eastAsia="en-AU"/>
        </w:rPr>
        <w:t xml:space="preserve"> stated, the following assumptions appl</w:t>
      </w:r>
      <w:r w:rsidR="00C830E7" w:rsidRPr="002F5F97">
        <w:rPr>
          <w:lang w:eastAsia="en-AU"/>
        </w:rPr>
        <w:t>y:</w:t>
      </w:r>
    </w:p>
    <w:p w14:paraId="05452A18" w14:textId="77777777" w:rsidR="001D250E" w:rsidRPr="002F5F97" w:rsidRDefault="001D250E" w:rsidP="004D2966">
      <w:pPr>
        <w:pStyle w:val="Heading3"/>
      </w:pPr>
      <w:r w:rsidRPr="002F5F97">
        <w:t>Included in the analysis</w:t>
      </w:r>
    </w:p>
    <w:p w14:paraId="496C7CBC" w14:textId="263C0289" w:rsidR="001D250E" w:rsidRPr="002F5F97" w:rsidRDefault="001D250E" w:rsidP="00010938">
      <w:pPr>
        <w:pStyle w:val="Bullet"/>
      </w:pPr>
      <w:r w:rsidRPr="002F5F97">
        <w:t>Analysis is based on self</w:t>
      </w:r>
      <w:r w:rsidR="005D0129">
        <w:noBreakHyphen/>
      </w:r>
      <w:r w:rsidRPr="002F5F97">
        <w:t>reported data from all reporting entities that make payments to small businesses (including volunteer entities).</w:t>
      </w:r>
    </w:p>
    <w:p w14:paraId="61FA23F8" w14:textId="1E3B6638" w:rsidR="001D250E" w:rsidRPr="002F5F97" w:rsidRDefault="001D250E" w:rsidP="00010938">
      <w:pPr>
        <w:pStyle w:val="Bullet"/>
      </w:pPr>
      <w:r w:rsidRPr="002F5F97">
        <w:t>References to reporting entities include those that meet the definition of a reporting entity under section 7 of the Act, as well as volunteering entities, subsidiary reporting entities, and reporting nominees, as determined by the Regulator.</w:t>
      </w:r>
    </w:p>
    <w:p w14:paraId="5442BB9B" w14:textId="0119390A" w:rsidR="001D250E" w:rsidRPr="002F5F97" w:rsidRDefault="001D250E" w:rsidP="00010938">
      <w:pPr>
        <w:pStyle w:val="Bullet"/>
      </w:pPr>
      <w:r w:rsidRPr="002F5F97">
        <w:t xml:space="preserve">Analysis for Reporting Cycle 9 is based on reports with reporting period end dates on or before 30 June 2025 </w:t>
      </w:r>
      <w:r w:rsidR="003545C6">
        <w:t xml:space="preserve">and </w:t>
      </w:r>
      <w:r w:rsidRPr="002F5F97">
        <w:t>received by 31 December 2025. Therefore, data insights published in the Update are subject to revision as entities continue to submit reports.</w:t>
      </w:r>
    </w:p>
    <w:p w14:paraId="1F241356" w14:textId="28B52060" w:rsidR="001D250E" w:rsidRPr="002F5F97" w:rsidRDefault="001D250E" w:rsidP="00010938">
      <w:pPr>
        <w:pStyle w:val="Bullet"/>
      </w:pPr>
      <w:r w:rsidRPr="002F5F97">
        <w:t>Reports submitted for Reporting Cycle 9 include</w:t>
      </w:r>
      <w:r w:rsidR="003C490D">
        <w:t>s key measures</w:t>
      </w:r>
      <w:r w:rsidR="00344480">
        <w:t>, such as</w:t>
      </w:r>
      <w:r w:rsidRPr="002F5F97">
        <w:t xml:space="preserve"> average payment times, median payment times, the 80th and 95th percentile payment times, and </w:t>
      </w:r>
      <w:r w:rsidR="00344480">
        <w:t>percentage of invoices paid on time</w:t>
      </w:r>
      <w:r w:rsidRPr="002F5F97">
        <w:t>.</w:t>
      </w:r>
    </w:p>
    <w:p w14:paraId="46067E8B" w14:textId="77777777" w:rsidR="001D250E" w:rsidRPr="002F5F97" w:rsidRDefault="001D250E" w:rsidP="004D2966">
      <w:pPr>
        <w:pStyle w:val="Heading3"/>
      </w:pPr>
      <w:r w:rsidRPr="002F5F97">
        <w:t>Excluded from analysis</w:t>
      </w:r>
    </w:p>
    <w:p w14:paraId="02316C19" w14:textId="24C6FB4C" w:rsidR="001D250E" w:rsidRPr="002F5F97" w:rsidRDefault="001D250E" w:rsidP="001D250E">
      <w:pPr>
        <w:rPr>
          <w:lang w:eastAsia="en-AU"/>
        </w:rPr>
      </w:pPr>
      <w:r w:rsidRPr="002F5F97">
        <w:rPr>
          <w:lang w:eastAsia="en-AU"/>
        </w:rPr>
        <w:t xml:space="preserve">Reports which indicate no procurement </w:t>
      </w:r>
      <w:r w:rsidR="00344480">
        <w:rPr>
          <w:lang w:eastAsia="en-AU"/>
        </w:rPr>
        <w:t>from</w:t>
      </w:r>
      <w:r w:rsidRPr="002F5F97">
        <w:rPr>
          <w:lang w:eastAsia="en-AU"/>
        </w:rPr>
        <w:t xml:space="preserve"> small businesses are excluded from calculations for payment terms and payment times. </w:t>
      </w:r>
    </w:p>
    <w:p w14:paraId="3D0CA724" w14:textId="4D5E211B" w:rsidR="001D250E" w:rsidRPr="002F5F97" w:rsidRDefault="001D250E" w:rsidP="001D250E">
      <w:pPr>
        <w:rPr>
          <w:lang w:eastAsia="en-AU"/>
        </w:rPr>
      </w:pPr>
      <w:r w:rsidRPr="002F5F97">
        <w:rPr>
          <w:lang w:eastAsia="en-AU"/>
        </w:rPr>
        <w:t>Superseded reports are excluded from calculations. A superseded report is an original report that has been replaced by a subsequent revised report. Only the most recent revised report is used for analysis. A count of superseded reports is displayed in Table</w:t>
      </w:r>
      <w:r w:rsidR="00F33BBD">
        <w:rPr>
          <w:lang w:eastAsia="en-AU"/>
        </w:rPr>
        <w:t> </w:t>
      </w:r>
      <w:r w:rsidRPr="002F5F97">
        <w:rPr>
          <w:lang w:eastAsia="en-AU"/>
        </w:rPr>
        <w:t>4.</w:t>
      </w:r>
    </w:p>
    <w:p w14:paraId="3F428DB6" w14:textId="77777777" w:rsidR="00490976" w:rsidRPr="002F5F97" w:rsidRDefault="00490976">
      <w:pPr>
        <w:spacing w:before="0" w:after="160" w:line="259" w:lineRule="auto"/>
      </w:pPr>
      <w:r w:rsidRPr="002F5F97">
        <w:br w:type="page"/>
      </w:r>
    </w:p>
    <w:p w14:paraId="3BB3978C" w14:textId="77777777" w:rsidR="00E63EFD" w:rsidRPr="002F5F97" w:rsidRDefault="00E63EFD" w:rsidP="00E63EFD">
      <w:pPr>
        <w:pStyle w:val="Heading1"/>
      </w:pPr>
      <w:bookmarkStart w:id="47" w:name="_Toc220068382"/>
      <w:r w:rsidRPr="002F5F97">
        <w:t>Appendix B – Data tables</w:t>
      </w:r>
      <w:bookmarkEnd w:id="47"/>
    </w:p>
    <w:p w14:paraId="3B6E1FD7" w14:textId="18F7D885" w:rsidR="00E63EFD" w:rsidRPr="002F5F97" w:rsidRDefault="00E63EFD" w:rsidP="00E63EFD">
      <w:r w:rsidRPr="002F5F97">
        <w:t>All data tables reflect payment times reports and revised reports received on or before 31</w:t>
      </w:r>
      <w:r w:rsidR="00514712">
        <w:t> </w:t>
      </w:r>
      <w:r w:rsidRPr="002F5F97">
        <w:t>December</w:t>
      </w:r>
      <w:r w:rsidR="008F5830">
        <w:t> </w:t>
      </w:r>
      <w:r w:rsidRPr="002F5F97">
        <w:t>2025, reflecting small business payment activity up to and including Reporting Cycle</w:t>
      </w:r>
      <w:r w:rsidR="008F5830">
        <w:t> </w:t>
      </w:r>
      <w:r w:rsidRPr="002F5F97">
        <w:t>9. Reporting Cycle</w:t>
      </w:r>
      <w:r w:rsidR="008F5830">
        <w:t> </w:t>
      </w:r>
      <w:r w:rsidRPr="002F5F97">
        <w:t>10 is presented in Table</w:t>
      </w:r>
      <w:r w:rsidR="008F5830">
        <w:t> </w:t>
      </w:r>
      <w:r w:rsidRPr="002F5F97">
        <w:t>4 to give a complete picture of all reports received on or before 31</w:t>
      </w:r>
      <w:r w:rsidR="008F5830">
        <w:t> </w:t>
      </w:r>
      <w:r w:rsidRPr="002F5F97">
        <w:t>December</w:t>
      </w:r>
      <w:r w:rsidR="008F5830">
        <w:t> </w:t>
      </w:r>
      <w:r w:rsidRPr="002F5F97">
        <w:t>2025.</w:t>
      </w:r>
    </w:p>
    <w:p w14:paraId="0AC85DDD" w14:textId="78BF527B" w:rsidR="00E63EFD" w:rsidRPr="002F5F97" w:rsidRDefault="00E63EFD" w:rsidP="00E63EFD">
      <w:pPr>
        <w:rPr>
          <w:lang w:eastAsia="en-AU"/>
        </w:rPr>
      </w:pPr>
      <w:r w:rsidRPr="002F5F97">
        <w:t>Time series data has been included in some tables below. Note: Following the reforms, time series data is not always comparable due to a number of reasons, including consolidated reporting or differences in reporting measures. In some instances, the Regulator has separated data for reporting period start dates before and after 1</w:t>
      </w:r>
      <w:r w:rsidR="008F5830">
        <w:t> </w:t>
      </w:r>
      <w:r w:rsidRPr="002F5F97">
        <w:t>July</w:t>
      </w:r>
      <w:r w:rsidR="008F5830">
        <w:t> </w:t>
      </w:r>
      <w:r w:rsidRPr="002F5F97">
        <w:t>2024.</w:t>
      </w:r>
    </w:p>
    <w:p w14:paraId="72C36DE1" w14:textId="1030FEDE" w:rsidR="008D5F55" w:rsidRPr="002F5F97" w:rsidRDefault="00E961C8" w:rsidP="002710BE">
      <w:pPr>
        <w:pStyle w:val="TableMainHeading"/>
      </w:pPr>
      <w:r w:rsidRPr="002F5F97">
        <w:t>Table 1: Share of small business procurement, Reporting Cycles 1 to 9</w:t>
      </w:r>
    </w:p>
    <w:tbl>
      <w:tblPr>
        <w:tblStyle w:val="TableGrid"/>
        <w:tblW w:w="5000" w:type="pct"/>
        <w:tblLook w:val="04A0" w:firstRow="1" w:lastRow="0" w:firstColumn="1" w:lastColumn="0" w:noHBand="0" w:noVBand="1"/>
      </w:tblPr>
      <w:tblGrid>
        <w:gridCol w:w="1875"/>
        <w:gridCol w:w="2661"/>
        <w:gridCol w:w="1995"/>
        <w:gridCol w:w="1973"/>
      </w:tblGrid>
      <w:tr w:rsidR="006A4FFA" w:rsidRPr="005D0129" w14:paraId="41B4CA3E" w14:textId="77777777" w:rsidTr="00936665">
        <w:trPr>
          <w:cnfStyle w:val="100000000000" w:firstRow="1" w:lastRow="0" w:firstColumn="0" w:lastColumn="0" w:oddVBand="0" w:evenVBand="0" w:oddHBand="0" w:evenHBand="0" w:firstRowFirstColumn="0" w:firstRowLastColumn="0" w:lastRowFirstColumn="0" w:lastRowLastColumn="0"/>
          <w:trHeight w:val="445"/>
        </w:trPr>
        <w:tc>
          <w:tcPr>
            <w:tcW w:w="1875" w:type="dxa"/>
            <w:vMerge w:val="restart"/>
            <w:tcMar>
              <w:top w:w="108" w:type="dxa"/>
              <w:bottom w:w="108" w:type="dxa"/>
            </w:tcMar>
            <w:vAlign w:val="center"/>
            <w:hideMark/>
          </w:tcPr>
          <w:p w14:paraId="2B3DB1A7" w14:textId="77777777" w:rsidR="008D7C6E" w:rsidRPr="005D0129" w:rsidRDefault="008D7C6E" w:rsidP="00936665">
            <w:pPr>
              <w:pStyle w:val="TableColumnHeadingLeft"/>
            </w:pPr>
            <w:r w:rsidRPr="005D0129">
              <w:t>Reporting cycle</w:t>
            </w:r>
          </w:p>
        </w:tc>
        <w:tc>
          <w:tcPr>
            <w:tcW w:w="2661" w:type="dxa"/>
            <w:vMerge w:val="restart"/>
            <w:tcMar>
              <w:top w:w="108" w:type="dxa"/>
              <w:bottom w:w="108" w:type="dxa"/>
            </w:tcMar>
            <w:vAlign w:val="center"/>
            <w:hideMark/>
          </w:tcPr>
          <w:p w14:paraId="78D5160D" w14:textId="77777777" w:rsidR="008D7C6E" w:rsidRPr="005D0129" w:rsidRDefault="008D7C6E" w:rsidP="00936665">
            <w:pPr>
              <w:pStyle w:val="TableColumnHeadingLeft"/>
            </w:pPr>
            <w:r w:rsidRPr="005D0129">
              <w:t>Cycle range</w:t>
            </w:r>
          </w:p>
        </w:tc>
        <w:tc>
          <w:tcPr>
            <w:tcW w:w="3968" w:type="dxa"/>
            <w:gridSpan w:val="2"/>
            <w:tcMar>
              <w:top w:w="108" w:type="dxa"/>
              <w:bottom w:w="108" w:type="dxa"/>
            </w:tcMar>
            <w:vAlign w:val="center"/>
            <w:hideMark/>
          </w:tcPr>
          <w:p w14:paraId="21BBEE61" w14:textId="77777777" w:rsidR="008D7C6E" w:rsidRPr="005D0129" w:rsidRDefault="008D7C6E" w:rsidP="00CB0C8A">
            <w:pPr>
              <w:pStyle w:val="TableColumnHeadingCentred"/>
            </w:pPr>
            <w:r w:rsidRPr="005D0129">
              <w:t>Proportion of total procurement value with small businesses</w:t>
            </w:r>
          </w:p>
        </w:tc>
      </w:tr>
      <w:tr w:rsidR="008D7C6E" w:rsidRPr="005D0129" w14:paraId="746A00F7" w14:textId="77777777" w:rsidTr="0048473D">
        <w:trPr>
          <w:cnfStyle w:val="000000100000" w:firstRow="0" w:lastRow="0" w:firstColumn="0" w:lastColumn="0" w:oddVBand="0" w:evenVBand="0" w:oddHBand="1" w:evenHBand="0" w:firstRowFirstColumn="0" w:firstRowLastColumn="0" w:lastRowFirstColumn="0" w:lastRowLastColumn="0"/>
          <w:trHeight w:val="283"/>
        </w:trPr>
        <w:tc>
          <w:tcPr>
            <w:tcW w:w="1875" w:type="dxa"/>
            <w:vMerge/>
            <w:tcMar>
              <w:top w:w="108" w:type="dxa"/>
              <w:bottom w:w="108" w:type="dxa"/>
            </w:tcMar>
            <w:hideMark/>
          </w:tcPr>
          <w:p w14:paraId="4FBF7F8B" w14:textId="77777777" w:rsidR="008D7C6E" w:rsidRPr="005D0129" w:rsidRDefault="008D7C6E" w:rsidP="00805861">
            <w:pPr>
              <w:rPr>
                <w:b/>
                <w:bCs/>
              </w:rPr>
            </w:pPr>
          </w:p>
        </w:tc>
        <w:tc>
          <w:tcPr>
            <w:tcW w:w="2661" w:type="dxa"/>
            <w:vMerge/>
            <w:shd w:val="clear" w:color="auto" w:fill="461F65" w:themeFill="accent1"/>
            <w:tcMar>
              <w:top w:w="108" w:type="dxa"/>
              <w:bottom w:w="108" w:type="dxa"/>
            </w:tcMar>
            <w:hideMark/>
          </w:tcPr>
          <w:p w14:paraId="008CDB3B" w14:textId="77777777" w:rsidR="008D7C6E" w:rsidRPr="005D0129" w:rsidRDefault="008D7C6E" w:rsidP="00805861">
            <w:pPr>
              <w:rPr>
                <w:b/>
                <w:bCs/>
              </w:rPr>
            </w:pPr>
          </w:p>
        </w:tc>
        <w:tc>
          <w:tcPr>
            <w:tcW w:w="3968" w:type="dxa"/>
            <w:gridSpan w:val="2"/>
            <w:shd w:val="clear" w:color="auto" w:fill="461F65" w:themeFill="accent1"/>
            <w:tcMar>
              <w:top w:w="108" w:type="dxa"/>
              <w:bottom w:w="108" w:type="dxa"/>
            </w:tcMar>
            <w:vAlign w:val="center"/>
            <w:hideMark/>
          </w:tcPr>
          <w:p w14:paraId="36C310D8" w14:textId="77777777" w:rsidR="008D7C6E" w:rsidRPr="005D0129" w:rsidRDefault="008D7C6E" w:rsidP="00CB0C8A">
            <w:pPr>
              <w:pStyle w:val="TableColumnHeadingCentred"/>
            </w:pPr>
            <w:r w:rsidRPr="005D0129">
              <w:t>Reporting periods start dates</w:t>
            </w:r>
          </w:p>
        </w:tc>
      </w:tr>
      <w:tr w:rsidR="008D7C6E" w:rsidRPr="005D0129" w14:paraId="789914F7" w14:textId="77777777" w:rsidTr="0048473D">
        <w:trPr>
          <w:trHeight w:val="20"/>
        </w:trPr>
        <w:tc>
          <w:tcPr>
            <w:tcW w:w="1875" w:type="dxa"/>
            <w:vMerge/>
            <w:tcMar>
              <w:top w:w="108" w:type="dxa"/>
              <w:bottom w:w="108" w:type="dxa"/>
            </w:tcMar>
            <w:hideMark/>
          </w:tcPr>
          <w:p w14:paraId="21B3E883" w14:textId="77777777" w:rsidR="008D7C6E" w:rsidRPr="005D0129" w:rsidRDefault="008D7C6E" w:rsidP="00805861">
            <w:pPr>
              <w:rPr>
                <w:b/>
                <w:bCs/>
              </w:rPr>
            </w:pPr>
          </w:p>
        </w:tc>
        <w:tc>
          <w:tcPr>
            <w:tcW w:w="2661" w:type="dxa"/>
            <w:vMerge/>
            <w:shd w:val="clear" w:color="auto" w:fill="461F65" w:themeFill="accent1"/>
            <w:tcMar>
              <w:top w:w="108" w:type="dxa"/>
              <w:bottom w:w="108" w:type="dxa"/>
            </w:tcMar>
            <w:hideMark/>
          </w:tcPr>
          <w:p w14:paraId="0DEBA8E8" w14:textId="77777777" w:rsidR="008D7C6E" w:rsidRPr="005D0129" w:rsidRDefault="008D7C6E" w:rsidP="00805861">
            <w:pPr>
              <w:rPr>
                <w:b/>
                <w:bCs/>
              </w:rPr>
            </w:pPr>
          </w:p>
        </w:tc>
        <w:tc>
          <w:tcPr>
            <w:tcW w:w="1995" w:type="dxa"/>
            <w:shd w:val="clear" w:color="auto" w:fill="461F65" w:themeFill="accent1"/>
            <w:tcMar>
              <w:top w:w="108" w:type="dxa"/>
              <w:bottom w:w="108" w:type="dxa"/>
            </w:tcMar>
            <w:vAlign w:val="center"/>
            <w:hideMark/>
          </w:tcPr>
          <w:p w14:paraId="24BB926B" w14:textId="77777777" w:rsidR="008D7C6E" w:rsidRPr="005D0129" w:rsidRDefault="008D7C6E" w:rsidP="00CB0C8A">
            <w:pPr>
              <w:pStyle w:val="TableColumnHeadingRight"/>
            </w:pPr>
            <w:r w:rsidRPr="005D0129">
              <w:t>Before 1 July 2024</w:t>
            </w:r>
          </w:p>
        </w:tc>
        <w:tc>
          <w:tcPr>
            <w:tcW w:w="1973" w:type="dxa"/>
            <w:shd w:val="clear" w:color="auto" w:fill="461F65" w:themeFill="accent1"/>
            <w:tcMar>
              <w:top w:w="108" w:type="dxa"/>
              <w:bottom w:w="108" w:type="dxa"/>
            </w:tcMar>
            <w:vAlign w:val="center"/>
            <w:hideMark/>
          </w:tcPr>
          <w:p w14:paraId="4AECC6F2" w14:textId="77777777" w:rsidR="008D7C6E" w:rsidRPr="005D0129" w:rsidRDefault="008D7C6E" w:rsidP="00CB0C8A">
            <w:pPr>
              <w:pStyle w:val="TableColumnHeadingRight"/>
            </w:pPr>
            <w:r w:rsidRPr="005D0129">
              <w:t>After 1 July 2024</w:t>
            </w:r>
          </w:p>
        </w:tc>
      </w:tr>
      <w:tr w:rsidR="006A4FFA" w:rsidRPr="005D0129" w14:paraId="324A0860" w14:textId="77777777" w:rsidTr="0048473D">
        <w:trPr>
          <w:cnfStyle w:val="000000100000" w:firstRow="0" w:lastRow="0" w:firstColumn="0" w:lastColumn="0" w:oddVBand="0" w:evenVBand="0" w:oddHBand="1" w:evenHBand="0" w:firstRowFirstColumn="0" w:firstRowLastColumn="0" w:lastRowFirstColumn="0" w:lastRowLastColumn="0"/>
          <w:trHeight w:hRule="exact" w:val="312"/>
        </w:trPr>
        <w:tc>
          <w:tcPr>
            <w:tcW w:w="1875" w:type="dxa"/>
            <w:noWrap/>
            <w:vAlign w:val="center"/>
            <w:hideMark/>
          </w:tcPr>
          <w:p w14:paraId="23C64CE1" w14:textId="77777777" w:rsidR="008D7C6E" w:rsidRPr="005D0129" w:rsidRDefault="008D7C6E" w:rsidP="00CB0C8A">
            <w:pPr>
              <w:pStyle w:val="TableTextLeft"/>
            </w:pPr>
            <w:r w:rsidRPr="005D0129">
              <w:t>Reporting cycle 1</w:t>
            </w:r>
          </w:p>
        </w:tc>
        <w:tc>
          <w:tcPr>
            <w:tcW w:w="2661" w:type="dxa"/>
            <w:noWrap/>
            <w:vAlign w:val="center"/>
            <w:hideMark/>
          </w:tcPr>
          <w:p w14:paraId="0980250A" w14:textId="4DB9511D" w:rsidR="008D7C6E" w:rsidRPr="005D0129" w:rsidRDefault="008D7C6E" w:rsidP="00CB0C8A">
            <w:pPr>
              <w:pStyle w:val="TableTextLeft"/>
            </w:pPr>
            <w:r w:rsidRPr="005D0129">
              <w:t>1 Jan 2021</w:t>
            </w:r>
            <w:r w:rsidR="00256228" w:rsidRPr="005D0129">
              <w:t> – </w:t>
            </w:r>
            <w:r w:rsidRPr="005D0129">
              <w:t>30 Jun 2021</w:t>
            </w:r>
          </w:p>
        </w:tc>
        <w:tc>
          <w:tcPr>
            <w:tcW w:w="1995" w:type="dxa"/>
            <w:noWrap/>
            <w:vAlign w:val="center"/>
            <w:hideMark/>
          </w:tcPr>
          <w:p w14:paraId="1419A72F" w14:textId="77777777" w:rsidR="008D7C6E" w:rsidRPr="005D0129" w:rsidRDefault="008D7C6E" w:rsidP="00CB0C8A">
            <w:pPr>
              <w:pStyle w:val="TableTextRight"/>
            </w:pPr>
            <w:r w:rsidRPr="005D0129">
              <w:t>29.3%</w:t>
            </w:r>
          </w:p>
        </w:tc>
        <w:tc>
          <w:tcPr>
            <w:tcW w:w="1973" w:type="dxa"/>
            <w:noWrap/>
            <w:vAlign w:val="center"/>
            <w:hideMark/>
          </w:tcPr>
          <w:p w14:paraId="372F728B" w14:textId="77777777" w:rsidR="008D7C6E" w:rsidRPr="005D0129" w:rsidRDefault="008D7C6E" w:rsidP="00CB0C8A">
            <w:pPr>
              <w:pStyle w:val="TableTextRight"/>
            </w:pPr>
          </w:p>
        </w:tc>
      </w:tr>
      <w:tr w:rsidR="008D7C6E" w:rsidRPr="005D0129" w14:paraId="7931F98C" w14:textId="77777777" w:rsidTr="0048473D">
        <w:trPr>
          <w:trHeight w:hRule="exact" w:val="312"/>
        </w:trPr>
        <w:tc>
          <w:tcPr>
            <w:tcW w:w="1875" w:type="dxa"/>
            <w:noWrap/>
            <w:vAlign w:val="center"/>
            <w:hideMark/>
          </w:tcPr>
          <w:p w14:paraId="5D302875" w14:textId="77777777" w:rsidR="008D7C6E" w:rsidRPr="005D0129" w:rsidRDefault="008D7C6E" w:rsidP="00CB0C8A">
            <w:pPr>
              <w:pStyle w:val="TableTextLeft"/>
            </w:pPr>
            <w:r w:rsidRPr="005D0129">
              <w:t>Reporting cycle 2</w:t>
            </w:r>
          </w:p>
        </w:tc>
        <w:tc>
          <w:tcPr>
            <w:tcW w:w="2661" w:type="dxa"/>
            <w:noWrap/>
            <w:vAlign w:val="center"/>
            <w:hideMark/>
          </w:tcPr>
          <w:p w14:paraId="1B8D0BB0" w14:textId="42BD8E84" w:rsidR="008D7C6E" w:rsidRPr="005D0129" w:rsidRDefault="008D7C6E" w:rsidP="00CB0C8A">
            <w:pPr>
              <w:pStyle w:val="TableTextLeft"/>
            </w:pPr>
            <w:r w:rsidRPr="005D0129">
              <w:t>1 Jul 2021</w:t>
            </w:r>
            <w:r w:rsidR="00256228" w:rsidRPr="005D0129">
              <w:t> – </w:t>
            </w:r>
            <w:r w:rsidRPr="005D0129">
              <w:t>31 Dec 2021</w:t>
            </w:r>
          </w:p>
        </w:tc>
        <w:tc>
          <w:tcPr>
            <w:tcW w:w="1995" w:type="dxa"/>
            <w:noWrap/>
            <w:vAlign w:val="center"/>
            <w:hideMark/>
          </w:tcPr>
          <w:p w14:paraId="0D062A18" w14:textId="77777777" w:rsidR="008D7C6E" w:rsidRPr="005D0129" w:rsidRDefault="008D7C6E" w:rsidP="00CB0C8A">
            <w:pPr>
              <w:pStyle w:val="TableTextRight"/>
            </w:pPr>
            <w:r w:rsidRPr="005D0129">
              <w:t>29.7%</w:t>
            </w:r>
          </w:p>
        </w:tc>
        <w:tc>
          <w:tcPr>
            <w:tcW w:w="1973" w:type="dxa"/>
            <w:noWrap/>
            <w:vAlign w:val="center"/>
            <w:hideMark/>
          </w:tcPr>
          <w:p w14:paraId="40899550" w14:textId="77777777" w:rsidR="008D7C6E" w:rsidRPr="005D0129" w:rsidRDefault="008D7C6E" w:rsidP="00CB0C8A">
            <w:pPr>
              <w:pStyle w:val="TableTextRight"/>
            </w:pPr>
          </w:p>
        </w:tc>
      </w:tr>
      <w:tr w:rsidR="006A4FFA" w:rsidRPr="005D0129" w14:paraId="2177D9CE" w14:textId="77777777" w:rsidTr="0048473D">
        <w:trPr>
          <w:cnfStyle w:val="000000100000" w:firstRow="0" w:lastRow="0" w:firstColumn="0" w:lastColumn="0" w:oddVBand="0" w:evenVBand="0" w:oddHBand="1" w:evenHBand="0" w:firstRowFirstColumn="0" w:firstRowLastColumn="0" w:lastRowFirstColumn="0" w:lastRowLastColumn="0"/>
          <w:trHeight w:hRule="exact" w:val="312"/>
        </w:trPr>
        <w:tc>
          <w:tcPr>
            <w:tcW w:w="1875" w:type="dxa"/>
            <w:noWrap/>
            <w:vAlign w:val="center"/>
            <w:hideMark/>
          </w:tcPr>
          <w:p w14:paraId="0D3F67C0" w14:textId="77777777" w:rsidR="008D7C6E" w:rsidRPr="005D0129" w:rsidRDefault="008D7C6E" w:rsidP="00CB0C8A">
            <w:pPr>
              <w:pStyle w:val="TableTextLeft"/>
            </w:pPr>
            <w:r w:rsidRPr="005D0129">
              <w:t>Reporting cycle 3</w:t>
            </w:r>
          </w:p>
        </w:tc>
        <w:tc>
          <w:tcPr>
            <w:tcW w:w="2661" w:type="dxa"/>
            <w:noWrap/>
            <w:vAlign w:val="center"/>
            <w:hideMark/>
          </w:tcPr>
          <w:p w14:paraId="547BD5D7" w14:textId="24FDE885" w:rsidR="008D7C6E" w:rsidRPr="005D0129" w:rsidRDefault="008D7C6E" w:rsidP="00CB0C8A">
            <w:pPr>
              <w:pStyle w:val="TableTextLeft"/>
            </w:pPr>
            <w:r w:rsidRPr="005D0129">
              <w:t>1 Jan 2022</w:t>
            </w:r>
            <w:r w:rsidR="00256228" w:rsidRPr="005D0129">
              <w:t> – </w:t>
            </w:r>
            <w:r w:rsidRPr="005D0129">
              <w:t>30 Jun 2022</w:t>
            </w:r>
          </w:p>
        </w:tc>
        <w:tc>
          <w:tcPr>
            <w:tcW w:w="1995" w:type="dxa"/>
            <w:noWrap/>
            <w:vAlign w:val="center"/>
            <w:hideMark/>
          </w:tcPr>
          <w:p w14:paraId="2DC76F93" w14:textId="77777777" w:rsidR="008D7C6E" w:rsidRPr="005D0129" w:rsidRDefault="008D7C6E" w:rsidP="00CB0C8A">
            <w:pPr>
              <w:pStyle w:val="TableTextRight"/>
            </w:pPr>
            <w:r w:rsidRPr="005D0129">
              <w:t>29.7%</w:t>
            </w:r>
          </w:p>
        </w:tc>
        <w:tc>
          <w:tcPr>
            <w:tcW w:w="1973" w:type="dxa"/>
            <w:noWrap/>
            <w:vAlign w:val="center"/>
            <w:hideMark/>
          </w:tcPr>
          <w:p w14:paraId="57102568" w14:textId="77777777" w:rsidR="008D7C6E" w:rsidRPr="005D0129" w:rsidRDefault="008D7C6E" w:rsidP="00CB0C8A">
            <w:pPr>
              <w:pStyle w:val="TableTextRight"/>
            </w:pPr>
          </w:p>
        </w:tc>
      </w:tr>
      <w:tr w:rsidR="008D7C6E" w:rsidRPr="005D0129" w14:paraId="3103E3B8" w14:textId="77777777" w:rsidTr="0048473D">
        <w:trPr>
          <w:trHeight w:hRule="exact" w:val="312"/>
        </w:trPr>
        <w:tc>
          <w:tcPr>
            <w:tcW w:w="1875" w:type="dxa"/>
            <w:noWrap/>
            <w:vAlign w:val="center"/>
            <w:hideMark/>
          </w:tcPr>
          <w:p w14:paraId="0DEB7135" w14:textId="77777777" w:rsidR="008D7C6E" w:rsidRPr="005D0129" w:rsidRDefault="008D7C6E" w:rsidP="00CB0C8A">
            <w:pPr>
              <w:pStyle w:val="TableTextLeft"/>
            </w:pPr>
            <w:r w:rsidRPr="005D0129">
              <w:t>Reporting cycle 4</w:t>
            </w:r>
          </w:p>
        </w:tc>
        <w:tc>
          <w:tcPr>
            <w:tcW w:w="2661" w:type="dxa"/>
            <w:noWrap/>
            <w:vAlign w:val="center"/>
            <w:hideMark/>
          </w:tcPr>
          <w:p w14:paraId="1C62A8AA" w14:textId="112A2FDA" w:rsidR="008D7C6E" w:rsidRPr="005D0129" w:rsidRDefault="008D7C6E" w:rsidP="00CB0C8A">
            <w:pPr>
              <w:pStyle w:val="TableTextLeft"/>
            </w:pPr>
            <w:r w:rsidRPr="005D0129">
              <w:t>1 Jul 2022</w:t>
            </w:r>
            <w:r w:rsidR="00256228" w:rsidRPr="005D0129">
              <w:t> – </w:t>
            </w:r>
            <w:r w:rsidRPr="005D0129">
              <w:t>31 Dec 2022</w:t>
            </w:r>
          </w:p>
        </w:tc>
        <w:tc>
          <w:tcPr>
            <w:tcW w:w="1995" w:type="dxa"/>
            <w:noWrap/>
            <w:vAlign w:val="center"/>
            <w:hideMark/>
          </w:tcPr>
          <w:p w14:paraId="0FED5442" w14:textId="77777777" w:rsidR="008D7C6E" w:rsidRPr="005D0129" w:rsidRDefault="008D7C6E" w:rsidP="00CB0C8A">
            <w:pPr>
              <w:pStyle w:val="TableTextRight"/>
            </w:pPr>
            <w:r w:rsidRPr="005D0129">
              <w:t>29.5%</w:t>
            </w:r>
          </w:p>
        </w:tc>
        <w:tc>
          <w:tcPr>
            <w:tcW w:w="1973" w:type="dxa"/>
            <w:noWrap/>
            <w:vAlign w:val="center"/>
            <w:hideMark/>
          </w:tcPr>
          <w:p w14:paraId="1EC61AEE" w14:textId="77777777" w:rsidR="008D7C6E" w:rsidRPr="005D0129" w:rsidRDefault="008D7C6E" w:rsidP="00CB0C8A">
            <w:pPr>
              <w:pStyle w:val="TableTextRight"/>
            </w:pPr>
          </w:p>
        </w:tc>
      </w:tr>
      <w:tr w:rsidR="006A4FFA" w:rsidRPr="005D0129" w14:paraId="67731F62" w14:textId="77777777" w:rsidTr="0048473D">
        <w:trPr>
          <w:cnfStyle w:val="000000100000" w:firstRow="0" w:lastRow="0" w:firstColumn="0" w:lastColumn="0" w:oddVBand="0" w:evenVBand="0" w:oddHBand="1" w:evenHBand="0" w:firstRowFirstColumn="0" w:firstRowLastColumn="0" w:lastRowFirstColumn="0" w:lastRowLastColumn="0"/>
          <w:trHeight w:hRule="exact" w:val="312"/>
        </w:trPr>
        <w:tc>
          <w:tcPr>
            <w:tcW w:w="1875" w:type="dxa"/>
            <w:noWrap/>
            <w:vAlign w:val="center"/>
            <w:hideMark/>
          </w:tcPr>
          <w:p w14:paraId="7D43D9B7" w14:textId="77777777" w:rsidR="008D7C6E" w:rsidRPr="005D0129" w:rsidRDefault="008D7C6E" w:rsidP="00CB0C8A">
            <w:pPr>
              <w:pStyle w:val="TableTextLeft"/>
            </w:pPr>
            <w:r w:rsidRPr="005D0129">
              <w:t>Reporting cycle 5</w:t>
            </w:r>
          </w:p>
        </w:tc>
        <w:tc>
          <w:tcPr>
            <w:tcW w:w="2661" w:type="dxa"/>
            <w:noWrap/>
            <w:vAlign w:val="center"/>
            <w:hideMark/>
          </w:tcPr>
          <w:p w14:paraId="2F043373" w14:textId="453442CA" w:rsidR="008D7C6E" w:rsidRPr="005D0129" w:rsidRDefault="008D7C6E" w:rsidP="00CB0C8A">
            <w:pPr>
              <w:pStyle w:val="TableTextLeft"/>
            </w:pPr>
            <w:r w:rsidRPr="005D0129">
              <w:t>1 Jan 2023</w:t>
            </w:r>
            <w:r w:rsidR="00256228" w:rsidRPr="005D0129">
              <w:t> – </w:t>
            </w:r>
            <w:r w:rsidRPr="005D0129">
              <w:t>30 Jun 2023</w:t>
            </w:r>
          </w:p>
        </w:tc>
        <w:tc>
          <w:tcPr>
            <w:tcW w:w="1995" w:type="dxa"/>
            <w:noWrap/>
            <w:vAlign w:val="center"/>
            <w:hideMark/>
          </w:tcPr>
          <w:p w14:paraId="4F3680E4" w14:textId="77777777" w:rsidR="008D7C6E" w:rsidRPr="005D0129" w:rsidRDefault="008D7C6E" w:rsidP="00CB0C8A">
            <w:pPr>
              <w:pStyle w:val="TableTextRight"/>
            </w:pPr>
            <w:r w:rsidRPr="005D0129">
              <w:t>30.0%</w:t>
            </w:r>
          </w:p>
        </w:tc>
        <w:tc>
          <w:tcPr>
            <w:tcW w:w="1973" w:type="dxa"/>
            <w:noWrap/>
            <w:vAlign w:val="center"/>
            <w:hideMark/>
          </w:tcPr>
          <w:p w14:paraId="78FB9AEB" w14:textId="77777777" w:rsidR="008D7C6E" w:rsidRPr="005D0129" w:rsidRDefault="008D7C6E" w:rsidP="00CB0C8A">
            <w:pPr>
              <w:pStyle w:val="TableTextRight"/>
            </w:pPr>
          </w:p>
        </w:tc>
      </w:tr>
      <w:tr w:rsidR="008D7C6E" w:rsidRPr="005D0129" w14:paraId="5AB8B230" w14:textId="77777777" w:rsidTr="0048473D">
        <w:trPr>
          <w:trHeight w:hRule="exact" w:val="312"/>
        </w:trPr>
        <w:tc>
          <w:tcPr>
            <w:tcW w:w="1875" w:type="dxa"/>
            <w:noWrap/>
            <w:vAlign w:val="center"/>
            <w:hideMark/>
          </w:tcPr>
          <w:p w14:paraId="4687CFBD" w14:textId="77777777" w:rsidR="008D7C6E" w:rsidRPr="005D0129" w:rsidRDefault="008D7C6E" w:rsidP="00CB0C8A">
            <w:pPr>
              <w:pStyle w:val="TableTextLeft"/>
            </w:pPr>
            <w:r w:rsidRPr="005D0129">
              <w:t>Reporting cycle 6</w:t>
            </w:r>
          </w:p>
        </w:tc>
        <w:tc>
          <w:tcPr>
            <w:tcW w:w="2661" w:type="dxa"/>
            <w:noWrap/>
            <w:vAlign w:val="center"/>
            <w:hideMark/>
          </w:tcPr>
          <w:p w14:paraId="63395708" w14:textId="67A0974C" w:rsidR="008D7C6E" w:rsidRPr="005D0129" w:rsidRDefault="008D7C6E" w:rsidP="00CB0C8A">
            <w:pPr>
              <w:pStyle w:val="TableTextLeft"/>
            </w:pPr>
            <w:r w:rsidRPr="005D0129">
              <w:t>1 Jul 2023</w:t>
            </w:r>
            <w:r w:rsidR="00256228" w:rsidRPr="005D0129">
              <w:t> – </w:t>
            </w:r>
            <w:r w:rsidRPr="005D0129">
              <w:t>31 Dec 2023</w:t>
            </w:r>
          </w:p>
        </w:tc>
        <w:tc>
          <w:tcPr>
            <w:tcW w:w="1995" w:type="dxa"/>
            <w:noWrap/>
            <w:vAlign w:val="center"/>
            <w:hideMark/>
          </w:tcPr>
          <w:p w14:paraId="29CCB1CA" w14:textId="77777777" w:rsidR="008D7C6E" w:rsidRPr="005D0129" w:rsidRDefault="008D7C6E" w:rsidP="00CB0C8A">
            <w:pPr>
              <w:pStyle w:val="TableTextRight"/>
            </w:pPr>
            <w:r w:rsidRPr="005D0129">
              <w:t>30.1%</w:t>
            </w:r>
          </w:p>
        </w:tc>
        <w:tc>
          <w:tcPr>
            <w:tcW w:w="1973" w:type="dxa"/>
            <w:noWrap/>
            <w:vAlign w:val="center"/>
            <w:hideMark/>
          </w:tcPr>
          <w:p w14:paraId="2CCD4ABB" w14:textId="77777777" w:rsidR="008D7C6E" w:rsidRPr="005D0129" w:rsidRDefault="008D7C6E" w:rsidP="00CB0C8A">
            <w:pPr>
              <w:pStyle w:val="TableTextRight"/>
            </w:pPr>
          </w:p>
        </w:tc>
      </w:tr>
      <w:tr w:rsidR="006A4FFA" w:rsidRPr="005D0129" w14:paraId="1E78CEAA" w14:textId="77777777" w:rsidTr="0048473D">
        <w:trPr>
          <w:cnfStyle w:val="000000100000" w:firstRow="0" w:lastRow="0" w:firstColumn="0" w:lastColumn="0" w:oddVBand="0" w:evenVBand="0" w:oddHBand="1" w:evenHBand="0" w:firstRowFirstColumn="0" w:firstRowLastColumn="0" w:lastRowFirstColumn="0" w:lastRowLastColumn="0"/>
          <w:trHeight w:hRule="exact" w:val="312"/>
        </w:trPr>
        <w:tc>
          <w:tcPr>
            <w:tcW w:w="1875" w:type="dxa"/>
            <w:noWrap/>
            <w:vAlign w:val="center"/>
            <w:hideMark/>
          </w:tcPr>
          <w:p w14:paraId="7A98B580" w14:textId="77777777" w:rsidR="008D7C6E" w:rsidRPr="005D0129" w:rsidRDefault="008D7C6E" w:rsidP="00CB0C8A">
            <w:pPr>
              <w:pStyle w:val="TableTextLeft"/>
            </w:pPr>
            <w:r w:rsidRPr="005D0129">
              <w:t>Reporting cycle 7</w:t>
            </w:r>
          </w:p>
        </w:tc>
        <w:tc>
          <w:tcPr>
            <w:tcW w:w="2661" w:type="dxa"/>
            <w:noWrap/>
            <w:vAlign w:val="center"/>
            <w:hideMark/>
          </w:tcPr>
          <w:p w14:paraId="4F77D614" w14:textId="7A6FC7BD" w:rsidR="008D7C6E" w:rsidRPr="005D0129" w:rsidRDefault="008D7C6E" w:rsidP="00CB0C8A">
            <w:pPr>
              <w:pStyle w:val="TableTextLeft"/>
            </w:pPr>
            <w:r w:rsidRPr="005D0129">
              <w:t>1 Jan 2024</w:t>
            </w:r>
            <w:r w:rsidR="00256228" w:rsidRPr="005D0129">
              <w:t> – </w:t>
            </w:r>
            <w:r w:rsidRPr="005D0129">
              <w:t>30 Jun 2024</w:t>
            </w:r>
          </w:p>
        </w:tc>
        <w:tc>
          <w:tcPr>
            <w:tcW w:w="1995" w:type="dxa"/>
            <w:noWrap/>
            <w:vAlign w:val="center"/>
            <w:hideMark/>
          </w:tcPr>
          <w:p w14:paraId="435C8A5E" w14:textId="77777777" w:rsidR="008D7C6E" w:rsidRPr="005D0129" w:rsidRDefault="008D7C6E" w:rsidP="00CB0C8A">
            <w:pPr>
              <w:pStyle w:val="TableTextRight"/>
            </w:pPr>
            <w:r w:rsidRPr="005D0129">
              <w:t>30.1%</w:t>
            </w:r>
          </w:p>
        </w:tc>
        <w:tc>
          <w:tcPr>
            <w:tcW w:w="1973" w:type="dxa"/>
            <w:noWrap/>
            <w:vAlign w:val="center"/>
            <w:hideMark/>
          </w:tcPr>
          <w:p w14:paraId="50350E77" w14:textId="77777777" w:rsidR="008D7C6E" w:rsidRPr="005D0129" w:rsidRDefault="008D7C6E" w:rsidP="00CB0C8A">
            <w:pPr>
              <w:pStyle w:val="TableTextRight"/>
            </w:pPr>
          </w:p>
        </w:tc>
      </w:tr>
      <w:tr w:rsidR="008D7C6E" w:rsidRPr="005D0129" w14:paraId="7B4112B1" w14:textId="77777777" w:rsidTr="0048473D">
        <w:trPr>
          <w:trHeight w:hRule="exact" w:val="312"/>
        </w:trPr>
        <w:tc>
          <w:tcPr>
            <w:tcW w:w="1875" w:type="dxa"/>
            <w:noWrap/>
            <w:vAlign w:val="center"/>
            <w:hideMark/>
          </w:tcPr>
          <w:p w14:paraId="1B9D04A9" w14:textId="77777777" w:rsidR="008D7C6E" w:rsidRPr="005D0129" w:rsidRDefault="008D7C6E" w:rsidP="00CB0C8A">
            <w:pPr>
              <w:pStyle w:val="TableTextLeft"/>
            </w:pPr>
            <w:r w:rsidRPr="005D0129">
              <w:t>Reporting cycle 8</w:t>
            </w:r>
          </w:p>
        </w:tc>
        <w:tc>
          <w:tcPr>
            <w:tcW w:w="2661" w:type="dxa"/>
            <w:noWrap/>
            <w:vAlign w:val="center"/>
            <w:hideMark/>
          </w:tcPr>
          <w:p w14:paraId="71C88402" w14:textId="426E33FF" w:rsidR="008D7C6E" w:rsidRPr="005D0129" w:rsidRDefault="008D7C6E" w:rsidP="00CB0C8A">
            <w:pPr>
              <w:pStyle w:val="TableTextLeft"/>
            </w:pPr>
            <w:r w:rsidRPr="005D0129">
              <w:t>1 Jul 2024</w:t>
            </w:r>
            <w:r w:rsidR="00256228" w:rsidRPr="005D0129">
              <w:t> – </w:t>
            </w:r>
            <w:r w:rsidRPr="005D0129">
              <w:t>31 Dec 2024</w:t>
            </w:r>
          </w:p>
        </w:tc>
        <w:tc>
          <w:tcPr>
            <w:tcW w:w="1995" w:type="dxa"/>
            <w:noWrap/>
            <w:vAlign w:val="center"/>
            <w:hideMark/>
          </w:tcPr>
          <w:p w14:paraId="347D3EE8" w14:textId="77777777" w:rsidR="008D7C6E" w:rsidRPr="005D0129" w:rsidRDefault="008D7C6E" w:rsidP="00CB0C8A">
            <w:pPr>
              <w:pStyle w:val="TableTextRight"/>
            </w:pPr>
            <w:r w:rsidRPr="005D0129">
              <w:t>29.6%</w:t>
            </w:r>
          </w:p>
        </w:tc>
        <w:tc>
          <w:tcPr>
            <w:tcW w:w="1973" w:type="dxa"/>
            <w:noWrap/>
            <w:vAlign w:val="center"/>
            <w:hideMark/>
          </w:tcPr>
          <w:p w14:paraId="43E31FA0" w14:textId="77777777" w:rsidR="008D7C6E" w:rsidRPr="005D0129" w:rsidRDefault="008D7C6E" w:rsidP="00CB0C8A">
            <w:pPr>
              <w:pStyle w:val="TableTextRight"/>
            </w:pPr>
            <w:r w:rsidRPr="005D0129">
              <w:t>30.3%</w:t>
            </w:r>
          </w:p>
        </w:tc>
      </w:tr>
      <w:tr w:rsidR="006A4FFA" w:rsidRPr="005D0129" w14:paraId="7CE50634" w14:textId="77777777" w:rsidTr="0048473D">
        <w:trPr>
          <w:cnfStyle w:val="000000100000" w:firstRow="0" w:lastRow="0" w:firstColumn="0" w:lastColumn="0" w:oddVBand="0" w:evenVBand="0" w:oddHBand="1" w:evenHBand="0" w:firstRowFirstColumn="0" w:firstRowLastColumn="0" w:lastRowFirstColumn="0" w:lastRowLastColumn="0"/>
          <w:trHeight w:hRule="exact" w:val="312"/>
        </w:trPr>
        <w:tc>
          <w:tcPr>
            <w:tcW w:w="1875" w:type="dxa"/>
            <w:noWrap/>
            <w:vAlign w:val="center"/>
            <w:hideMark/>
          </w:tcPr>
          <w:p w14:paraId="0A76FAC7" w14:textId="77777777" w:rsidR="008D7C6E" w:rsidRPr="005D0129" w:rsidRDefault="008D7C6E" w:rsidP="00CB0C8A">
            <w:pPr>
              <w:pStyle w:val="TableTextLeft"/>
            </w:pPr>
            <w:r w:rsidRPr="005D0129">
              <w:t>Reporting cycle 9</w:t>
            </w:r>
          </w:p>
        </w:tc>
        <w:tc>
          <w:tcPr>
            <w:tcW w:w="2661" w:type="dxa"/>
            <w:noWrap/>
            <w:vAlign w:val="center"/>
            <w:hideMark/>
          </w:tcPr>
          <w:p w14:paraId="117F5C1E" w14:textId="1B815543" w:rsidR="008D7C6E" w:rsidRPr="005D0129" w:rsidRDefault="008D7C6E" w:rsidP="00CB0C8A">
            <w:pPr>
              <w:pStyle w:val="TableTextLeft"/>
            </w:pPr>
            <w:r w:rsidRPr="005D0129">
              <w:t>1 Jan 2025</w:t>
            </w:r>
            <w:r w:rsidR="00256228" w:rsidRPr="005D0129">
              <w:t> – </w:t>
            </w:r>
            <w:r w:rsidRPr="005D0129">
              <w:t>30 Jun 2025</w:t>
            </w:r>
          </w:p>
        </w:tc>
        <w:tc>
          <w:tcPr>
            <w:tcW w:w="1995" w:type="dxa"/>
            <w:noWrap/>
            <w:vAlign w:val="center"/>
            <w:hideMark/>
          </w:tcPr>
          <w:p w14:paraId="5DFDAABC" w14:textId="77777777" w:rsidR="008D7C6E" w:rsidRPr="005D0129" w:rsidRDefault="008D7C6E" w:rsidP="00CB0C8A">
            <w:pPr>
              <w:pStyle w:val="TableTextRight"/>
            </w:pPr>
          </w:p>
        </w:tc>
        <w:tc>
          <w:tcPr>
            <w:tcW w:w="1973" w:type="dxa"/>
            <w:noWrap/>
            <w:vAlign w:val="center"/>
            <w:hideMark/>
          </w:tcPr>
          <w:p w14:paraId="678BE535" w14:textId="77777777" w:rsidR="008D7C6E" w:rsidRPr="005D0129" w:rsidRDefault="008D7C6E" w:rsidP="00CB0C8A">
            <w:pPr>
              <w:pStyle w:val="TableTextRight"/>
            </w:pPr>
            <w:r w:rsidRPr="005D0129">
              <w:t>28.7%</w:t>
            </w:r>
          </w:p>
        </w:tc>
      </w:tr>
    </w:tbl>
    <w:p w14:paraId="707157D4" w14:textId="77777777" w:rsidR="008D5F55" w:rsidRPr="002F5F97" w:rsidRDefault="008D5F55" w:rsidP="00CB0C8A">
      <w:pPr>
        <w:pStyle w:val="SingleParagraph"/>
        <w:rPr>
          <w:lang w:eastAsia="en-AU"/>
        </w:rPr>
      </w:pPr>
    </w:p>
    <w:p w14:paraId="06CD55CF" w14:textId="6487E8BF" w:rsidR="002710BE" w:rsidRPr="002F5F97" w:rsidRDefault="00E93D02" w:rsidP="00E93D02">
      <w:pPr>
        <w:pStyle w:val="TableMainHeading"/>
      </w:pPr>
      <w:r w:rsidRPr="002F5F97">
        <w:t>Table 2: Report types</w:t>
      </w:r>
      <w:r w:rsidR="004E70CB">
        <w:t>,</w:t>
      </w:r>
      <w:r w:rsidRPr="002F5F97">
        <w:t xml:space="preserve"> Reporting Cycle 9</w:t>
      </w:r>
    </w:p>
    <w:tbl>
      <w:tblPr>
        <w:tblStyle w:val="TableGrid"/>
        <w:tblW w:w="5000" w:type="pct"/>
        <w:tblLook w:val="04A0" w:firstRow="1" w:lastRow="0" w:firstColumn="1" w:lastColumn="0" w:noHBand="0" w:noVBand="1"/>
      </w:tblPr>
      <w:tblGrid>
        <w:gridCol w:w="5307"/>
        <w:gridCol w:w="3197"/>
      </w:tblGrid>
      <w:tr w:rsidR="00A85E07" w:rsidRPr="005D0129" w14:paraId="624E6621" w14:textId="77777777" w:rsidTr="007C19F6">
        <w:trPr>
          <w:cnfStyle w:val="100000000000" w:firstRow="1" w:lastRow="0" w:firstColumn="0" w:lastColumn="0" w:oddVBand="0" w:evenVBand="0" w:oddHBand="0" w:evenHBand="0" w:firstRowFirstColumn="0" w:firstRowLastColumn="0" w:lastRowFirstColumn="0" w:lastRowLastColumn="0"/>
          <w:trHeight w:val="283"/>
        </w:trPr>
        <w:tc>
          <w:tcPr>
            <w:tcW w:w="5684" w:type="dxa"/>
            <w:tcMar>
              <w:top w:w="108" w:type="dxa"/>
              <w:bottom w:w="108" w:type="dxa"/>
            </w:tcMar>
            <w:vAlign w:val="center"/>
            <w:hideMark/>
          </w:tcPr>
          <w:p w14:paraId="3A957E8D" w14:textId="77777777" w:rsidR="00A85E07" w:rsidRPr="005D0129" w:rsidRDefault="00A85E07" w:rsidP="007C19F6">
            <w:pPr>
              <w:pStyle w:val="TableColumnHeadingLeft"/>
            </w:pPr>
            <w:r w:rsidRPr="005D0129">
              <w:t>Report type</w:t>
            </w:r>
          </w:p>
        </w:tc>
        <w:tc>
          <w:tcPr>
            <w:tcW w:w="3417" w:type="dxa"/>
            <w:tcMar>
              <w:top w:w="108" w:type="dxa"/>
              <w:bottom w:w="108" w:type="dxa"/>
            </w:tcMar>
            <w:vAlign w:val="bottom"/>
            <w:hideMark/>
          </w:tcPr>
          <w:p w14:paraId="1424C962" w14:textId="6761111B" w:rsidR="00A85E07" w:rsidRPr="005D0129" w:rsidRDefault="004E70CB" w:rsidP="00AA6BA2">
            <w:pPr>
              <w:pStyle w:val="TableColumnHeadingRight"/>
            </w:pPr>
            <w:r>
              <w:t>Total</w:t>
            </w:r>
            <w:r w:rsidR="00A85E07" w:rsidRPr="005D0129">
              <w:t xml:space="preserve"> reports</w:t>
            </w:r>
            <w:r w:rsidR="007C19F6">
              <w:br/>
            </w:r>
            <w:r w:rsidR="00A85E07" w:rsidRPr="005D0129">
              <w:t xml:space="preserve"> (</w:t>
            </w:r>
            <w:r w:rsidR="007C19F6">
              <w:t xml:space="preserve">No. and </w:t>
            </w:r>
            <w:r w:rsidR="00A85E07" w:rsidRPr="005D0129">
              <w:t>%)</w:t>
            </w:r>
          </w:p>
        </w:tc>
      </w:tr>
      <w:tr w:rsidR="00A85E07" w:rsidRPr="005D0129" w14:paraId="65C0BECB" w14:textId="77777777" w:rsidTr="00AA6BA2">
        <w:trPr>
          <w:cnfStyle w:val="000000100000" w:firstRow="0" w:lastRow="0" w:firstColumn="0" w:lastColumn="0" w:oddVBand="0" w:evenVBand="0" w:oddHBand="1" w:evenHBand="0" w:firstRowFirstColumn="0" w:firstRowLastColumn="0" w:lastRowFirstColumn="0" w:lastRowLastColumn="0"/>
          <w:trHeight w:hRule="exact" w:val="312"/>
        </w:trPr>
        <w:tc>
          <w:tcPr>
            <w:tcW w:w="5684" w:type="dxa"/>
            <w:noWrap/>
            <w:vAlign w:val="center"/>
            <w:hideMark/>
          </w:tcPr>
          <w:p w14:paraId="74B0DC4C" w14:textId="77777777" w:rsidR="00A85E07" w:rsidRPr="005D0129" w:rsidRDefault="00A85E07" w:rsidP="00CB0C8A">
            <w:pPr>
              <w:pStyle w:val="TableTextLeft"/>
            </w:pPr>
            <w:r w:rsidRPr="005D0129">
              <w:t>Standard</w:t>
            </w:r>
          </w:p>
        </w:tc>
        <w:tc>
          <w:tcPr>
            <w:tcW w:w="3417" w:type="dxa"/>
            <w:noWrap/>
            <w:vAlign w:val="center"/>
            <w:hideMark/>
          </w:tcPr>
          <w:p w14:paraId="4000476C" w14:textId="77777777" w:rsidR="00A85E07" w:rsidRPr="005D0129" w:rsidRDefault="00A85E07" w:rsidP="00AA6BA2">
            <w:pPr>
              <w:pStyle w:val="TableTextRight"/>
            </w:pPr>
            <w:r w:rsidRPr="005D0129">
              <w:t>2,792 (83.4%)</w:t>
            </w:r>
          </w:p>
        </w:tc>
      </w:tr>
      <w:tr w:rsidR="00A85E07" w:rsidRPr="005D0129" w14:paraId="7FA03E62" w14:textId="77777777" w:rsidTr="00AA6BA2">
        <w:trPr>
          <w:trHeight w:hRule="exact" w:val="312"/>
        </w:trPr>
        <w:tc>
          <w:tcPr>
            <w:tcW w:w="5684" w:type="dxa"/>
            <w:noWrap/>
            <w:vAlign w:val="center"/>
            <w:hideMark/>
          </w:tcPr>
          <w:p w14:paraId="2E64534E" w14:textId="77777777" w:rsidR="00A85E07" w:rsidRPr="005D0129" w:rsidRDefault="00A85E07" w:rsidP="00CB0C8A">
            <w:pPr>
              <w:pStyle w:val="TableTextLeft"/>
            </w:pPr>
            <w:r w:rsidRPr="005D0129">
              <w:t>No small business procurement</w:t>
            </w:r>
          </w:p>
        </w:tc>
        <w:tc>
          <w:tcPr>
            <w:tcW w:w="3417" w:type="dxa"/>
            <w:noWrap/>
            <w:vAlign w:val="center"/>
            <w:hideMark/>
          </w:tcPr>
          <w:p w14:paraId="59DC9DD8" w14:textId="77777777" w:rsidR="00A85E07" w:rsidRPr="005D0129" w:rsidRDefault="00A85E07" w:rsidP="00AA6BA2">
            <w:pPr>
              <w:pStyle w:val="TableTextRight"/>
            </w:pPr>
            <w:r w:rsidRPr="005D0129">
              <w:t>238 (7.1%)</w:t>
            </w:r>
          </w:p>
        </w:tc>
      </w:tr>
      <w:tr w:rsidR="00A85E07" w:rsidRPr="005D0129" w14:paraId="0ED3E21C" w14:textId="77777777" w:rsidTr="00AA6BA2">
        <w:trPr>
          <w:cnfStyle w:val="000000100000" w:firstRow="0" w:lastRow="0" w:firstColumn="0" w:lastColumn="0" w:oddVBand="0" w:evenVBand="0" w:oddHBand="1" w:evenHBand="0" w:firstRowFirstColumn="0" w:firstRowLastColumn="0" w:lastRowFirstColumn="0" w:lastRowLastColumn="0"/>
          <w:trHeight w:hRule="exact" w:val="312"/>
        </w:trPr>
        <w:tc>
          <w:tcPr>
            <w:tcW w:w="5684" w:type="dxa"/>
            <w:noWrap/>
            <w:vAlign w:val="center"/>
            <w:hideMark/>
          </w:tcPr>
          <w:p w14:paraId="41862A6A" w14:textId="55C4F0D8" w:rsidR="00A85E07" w:rsidRPr="005D0129" w:rsidRDefault="00A85E07" w:rsidP="00CB0C8A">
            <w:pPr>
              <w:pStyle w:val="TableTextLeft"/>
            </w:pPr>
            <w:r w:rsidRPr="005D0129">
              <w:t>AASB</w:t>
            </w:r>
            <w:r w:rsidR="00F422B4">
              <w:t xml:space="preserve"> </w:t>
            </w:r>
            <w:r w:rsidRPr="005D0129">
              <w:t>8</w:t>
            </w:r>
          </w:p>
        </w:tc>
        <w:tc>
          <w:tcPr>
            <w:tcW w:w="3417" w:type="dxa"/>
            <w:noWrap/>
            <w:vAlign w:val="center"/>
            <w:hideMark/>
          </w:tcPr>
          <w:p w14:paraId="5316053D" w14:textId="77777777" w:rsidR="00A85E07" w:rsidRPr="005D0129" w:rsidRDefault="00A85E07" w:rsidP="00AA6BA2">
            <w:pPr>
              <w:pStyle w:val="TableTextRight"/>
            </w:pPr>
            <w:r w:rsidRPr="005D0129">
              <w:t>312 (9.3%)</w:t>
            </w:r>
          </w:p>
        </w:tc>
      </w:tr>
      <w:tr w:rsidR="00A85E07" w:rsidRPr="005D0129" w14:paraId="000C2A4F" w14:textId="77777777" w:rsidTr="00AA6BA2">
        <w:trPr>
          <w:trHeight w:hRule="exact" w:val="312"/>
        </w:trPr>
        <w:tc>
          <w:tcPr>
            <w:tcW w:w="5684" w:type="dxa"/>
            <w:noWrap/>
            <w:vAlign w:val="center"/>
            <w:hideMark/>
          </w:tcPr>
          <w:p w14:paraId="719603B1" w14:textId="77777777" w:rsidR="00A85E07" w:rsidRPr="005D0129" w:rsidRDefault="00A85E07" w:rsidP="00CB0C8A">
            <w:pPr>
              <w:pStyle w:val="TableTextLeft"/>
            </w:pPr>
            <w:r w:rsidRPr="005D0129">
              <w:t>Has nominee</w:t>
            </w:r>
          </w:p>
        </w:tc>
        <w:tc>
          <w:tcPr>
            <w:tcW w:w="3417" w:type="dxa"/>
            <w:noWrap/>
            <w:vAlign w:val="center"/>
            <w:hideMark/>
          </w:tcPr>
          <w:p w14:paraId="23188DFF" w14:textId="77777777" w:rsidR="00A85E07" w:rsidRPr="005D0129" w:rsidRDefault="00A85E07" w:rsidP="00AA6BA2">
            <w:pPr>
              <w:pStyle w:val="TableTextRight"/>
            </w:pPr>
            <w:r w:rsidRPr="005D0129">
              <w:t>n/a (0.0%)</w:t>
            </w:r>
          </w:p>
        </w:tc>
      </w:tr>
      <w:tr w:rsidR="00A85E07" w:rsidRPr="005D0129" w14:paraId="5B5DB458" w14:textId="77777777" w:rsidTr="00AA6BA2">
        <w:trPr>
          <w:cnfStyle w:val="000000100000" w:firstRow="0" w:lastRow="0" w:firstColumn="0" w:lastColumn="0" w:oddVBand="0" w:evenVBand="0" w:oddHBand="1" w:evenHBand="0" w:firstRowFirstColumn="0" w:firstRowLastColumn="0" w:lastRowFirstColumn="0" w:lastRowLastColumn="0"/>
          <w:trHeight w:hRule="exact" w:val="312"/>
        </w:trPr>
        <w:tc>
          <w:tcPr>
            <w:tcW w:w="5684" w:type="dxa"/>
            <w:noWrap/>
            <w:vAlign w:val="center"/>
            <w:hideMark/>
          </w:tcPr>
          <w:p w14:paraId="6DBFD4CA" w14:textId="77777777" w:rsidR="00A85E07" w:rsidRPr="005D0129" w:rsidRDefault="00A85E07" w:rsidP="00CB0C8A">
            <w:pPr>
              <w:pStyle w:val="TableTextLeft"/>
            </w:pPr>
            <w:r w:rsidRPr="005D0129">
              <w:t>External administration</w:t>
            </w:r>
          </w:p>
        </w:tc>
        <w:tc>
          <w:tcPr>
            <w:tcW w:w="3417" w:type="dxa"/>
            <w:noWrap/>
            <w:vAlign w:val="center"/>
            <w:hideMark/>
          </w:tcPr>
          <w:p w14:paraId="73533D25" w14:textId="77777777" w:rsidR="00A85E07" w:rsidRPr="005D0129" w:rsidRDefault="00A85E07" w:rsidP="00AA6BA2">
            <w:pPr>
              <w:pStyle w:val="TableTextRight"/>
            </w:pPr>
            <w:r w:rsidRPr="005D0129">
              <w:t>4 (0.1%)</w:t>
            </w:r>
          </w:p>
        </w:tc>
      </w:tr>
      <w:tr w:rsidR="00A85E07" w:rsidRPr="005D0129" w14:paraId="5536D3E7" w14:textId="77777777" w:rsidTr="00AA6BA2">
        <w:trPr>
          <w:trHeight w:hRule="exact" w:val="312"/>
        </w:trPr>
        <w:tc>
          <w:tcPr>
            <w:tcW w:w="5684" w:type="dxa"/>
            <w:noWrap/>
            <w:vAlign w:val="center"/>
            <w:hideMark/>
          </w:tcPr>
          <w:p w14:paraId="34DC7035" w14:textId="7185756B" w:rsidR="00A85E07" w:rsidRPr="005D0129" w:rsidRDefault="00A85E07" w:rsidP="00CB0C8A">
            <w:pPr>
              <w:pStyle w:val="TableTextLeft"/>
              <w:rPr>
                <w:b/>
                <w:bCs/>
              </w:rPr>
            </w:pPr>
            <w:r w:rsidRPr="005D0129">
              <w:rPr>
                <w:b/>
                <w:bCs/>
              </w:rPr>
              <w:t xml:space="preserve">Total reports on the </w:t>
            </w:r>
            <w:r w:rsidR="00F912FD">
              <w:rPr>
                <w:b/>
                <w:bCs/>
              </w:rPr>
              <w:t>R</w:t>
            </w:r>
            <w:r w:rsidRPr="005D0129">
              <w:rPr>
                <w:b/>
                <w:bCs/>
              </w:rPr>
              <w:t>egister</w:t>
            </w:r>
            <w:r w:rsidR="00892EB1">
              <w:rPr>
                <w:b/>
                <w:bCs/>
              </w:rPr>
              <w:t xml:space="preserve"> (</w:t>
            </w:r>
            <w:r w:rsidR="008C65E9">
              <w:rPr>
                <w:b/>
                <w:bCs/>
              </w:rPr>
              <w:t>this cycle)</w:t>
            </w:r>
          </w:p>
        </w:tc>
        <w:tc>
          <w:tcPr>
            <w:tcW w:w="3417" w:type="dxa"/>
            <w:noWrap/>
            <w:vAlign w:val="center"/>
            <w:hideMark/>
          </w:tcPr>
          <w:p w14:paraId="07C96BBD" w14:textId="77777777" w:rsidR="00A85E07" w:rsidRPr="005D0129" w:rsidRDefault="00A85E07" w:rsidP="00AA6BA2">
            <w:pPr>
              <w:pStyle w:val="TableTextRight"/>
              <w:rPr>
                <w:rStyle w:val="Strong"/>
              </w:rPr>
            </w:pPr>
            <w:r w:rsidRPr="005D0129">
              <w:rPr>
                <w:rStyle w:val="Strong"/>
              </w:rPr>
              <w:t>3,346 (100%)</w:t>
            </w:r>
          </w:p>
        </w:tc>
      </w:tr>
    </w:tbl>
    <w:p w14:paraId="7F9D21C5" w14:textId="67FB481A" w:rsidR="00CB0C8A" w:rsidRDefault="00CB0C8A">
      <w:pPr>
        <w:spacing w:before="0" w:after="160" w:line="259" w:lineRule="auto"/>
      </w:pPr>
    </w:p>
    <w:p w14:paraId="6F7CB29B" w14:textId="77777777" w:rsidR="00885C4F" w:rsidRDefault="00885C4F">
      <w:pPr>
        <w:spacing w:before="0" w:after="160" w:line="259" w:lineRule="auto"/>
        <w:rPr>
          <w:rFonts w:asciiTheme="majorHAnsi" w:eastAsia="Times New Roman" w:hAnsiTheme="majorHAnsi" w:cs="Arial"/>
          <w:bCs/>
          <w:color w:val="461F65" w:themeColor="accent1"/>
          <w:kern w:val="32"/>
          <w:sz w:val="26"/>
          <w:szCs w:val="26"/>
          <w:lang w:eastAsia="en-AU"/>
        </w:rPr>
        <w:sectPr w:rsidR="00885C4F" w:rsidSect="00CC3C5B">
          <w:headerReference w:type="even" r:id="rId150"/>
          <w:headerReference w:type="default" r:id="rId151"/>
          <w:footerReference w:type="even" r:id="rId152"/>
          <w:footerReference w:type="default" r:id="rId153"/>
          <w:pgSz w:w="11906" w:h="16838" w:code="9"/>
          <w:pgMar w:top="1418" w:right="1701" w:bottom="1418" w:left="1701" w:header="709" w:footer="709" w:gutter="0"/>
          <w:cols w:space="708"/>
          <w:docGrid w:linePitch="360"/>
        </w:sectPr>
      </w:pPr>
    </w:p>
    <w:p w14:paraId="4F08DECD" w14:textId="1E1D47CB" w:rsidR="002710BE" w:rsidRPr="002F5F97" w:rsidRDefault="002E1A5C" w:rsidP="00B31BC3">
      <w:pPr>
        <w:pStyle w:val="TableMainHeading"/>
      </w:pPr>
      <w:r w:rsidRPr="002F5F97">
        <w:t>Table 3: Reporting entities by industry</w:t>
      </w:r>
      <w:r w:rsidR="00113AC7">
        <w:t>,</w:t>
      </w:r>
      <w:r w:rsidRPr="002F5F97">
        <w:t xml:space="preserve"> Reporting Cycle 9</w:t>
      </w:r>
    </w:p>
    <w:tbl>
      <w:tblPr>
        <w:tblStyle w:val="TableGrid"/>
        <w:tblW w:w="5000" w:type="pct"/>
        <w:tblLook w:val="04A0" w:firstRow="1" w:lastRow="0" w:firstColumn="1" w:lastColumn="0" w:noHBand="0" w:noVBand="1"/>
      </w:tblPr>
      <w:tblGrid>
        <w:gridCol w:w="4243"/>
        <w:gridCol w:w="2439"/>
        <w:gridCol w:w="2440"/>
        <w:gridCol w:w="2440"/>
        <w:gridCol w:w="2440"/>
      </w:tblGrid>
      <w:tr w:rsidR="008C435D" w:rsidRPr="005D0129" w14:paraId="42B8A44C" w14:textId="4DF4D7B3" w:rsidTr="008C435D">
        <w:trPr>
          <w:cnfStyle w:val="100000000000" w:firstRow="1" w:lastRow="0" w:firstColumn="0" w:lastColumn="0" w:oddVBand="0" w:evenVBand="0" w:oddHBand="0" w:evenHBand="0" w:firstRowFirstColumn="0" w:firstRowLastColumn="0" w:lastRowFirstColumn="0" w:lastRowLastColumn="0"/>
          <w:trHeight w:val="710"/>
        </w:trPr>
        <w:tc>
          <w:tcPr>
            <w:tcW w:w="4243" w:type="dxa"/>
            <w:tcMar>
              <w:top w:w="108" w:type="dxa"/>
              <w:bottom w:w="108" w:type="dxa"/>
            </w:tcMar>
            <w:vAlign w:val="bottom"/>
          </w:tcPr>
          <w:p w14:paraId="0EB6DE08" w14:textId="28E71CAD" w:rsidR="00E95F8A" w:rsidRPr="00E36CB1" w:rsidRDefault="00E95F8A" w:rsidP="00E36CB1">
            <w:pPr>
              <w:pStyle w:val="TableColumnHeadingLeft"/>
            </w:pPr>
            <w:r w:rsidRPr="00E36CB1">
              <w:t>Industry</w:t>
            </w:r>
            <w:r w:rsidR="00E36CB1" w:rsidRPr="00E36CB1">
              <w:br/>
            </w:r>
            <w:r w:rsidR="00E36CB1" w:rsidRPr="00E36CB1">
              <w:rPr>
                <w:rFonts w:eastAsia="Aptos"/>
              </w:rPr>
              <w:t>Ranked by number of reporting entities</w:t>
            </w:r>
          </w:p>
        </w:tc>
        <w:tc>
          <w:tcPr>
            <w:tcW w:w="2439" w:type="dxa"/>
            <w:tcMar>
              <w:top w:w="108" w:type="dxa"/>
              <w:bottom w:w="108" w:type="dxa"/>
            </w:tcMar>
            <w:vAlign w:val="bottom"/>
          </w:tcPr>
          <w:p w14:paraId="18709C32" w14:textId="0EE52708" w:rsidR="00E36CB1" w:rsidRPr="00E36CB1" w:rsidRDefault="00E95F8A" w:rsidP="00E36CB1">
            <w:pPr>
              <w:pStyle w:val="TableColumnHeadingRight"/>
            </w:pPr>
            <w:r w:rsidRPr="00E36CB1">
              <w:t>Reporting</w:t>
            </w:r>
            <w:r w:rsidR="00F228A2">
              <w:br/>
            </w:r>
            <w:r w:rsidRPr="00E36CB1">
              <w:t>entities</w:t>
            </w:r>
            <w:r w:rsidR="00E36CB1">
              <w:br/>
            </w:r>
            <w:r w:rsidR="0015108D">
              <w:rPr>
                <w:rFonts w:eastAsia="Aptos"/>
              </w:rPr>
              <w:t>(</w:t>
            </w:r>
            <w:r w:rsidR="00E36CB1" w:rsidRPr="00E36CB1">
              <w:rPr>
                <w:rFonts w:eastAsia="Aptos"/>
              </w:rPr>
              <w:t xml:space="preserve">No. </w:t>
            </w:r>
            <w:r w:rsidR="00113AC7">
              <w:rPr>
                <w:rFonts w:eastAsia="Aptos"/>
              </w:rPr>
              <w:t xml:space="preserve">and </w:t>
            </w:r>
            <w:r w:rsidR="00E36CB1" w:rsidRPr="00E36CB1">
              <w:rPr>
                <w:rFonts w:eastAsia="Aptos"/>
              </w:rPr>
              <w:t>%)</w:t>
            </w:r>
          </w:p>
        </w:tc>
        <w:tc>
          <w:tcPr>
            <w:tcW w:w="2440" w:type="dxa"/>
            <w:tcMar>
              <w:top w:w="108" w:type="dxa"/>
              <w:bottom w:w="108" w:type="dxa"/>
            </w:tcMar>
            <w:vAlign w:val="bottom"/>
          </w:tcPr>
          <w:p w14:paraId="3324E1FD" w14:textId="4256917D" w:rsidR="00E36CB1" w:rsidRPr="00E36CB1" w:rsidRDefault="00E95F8A" w:rsidP="009B25CE">
            <w:pPr>
              <w:pStyle w:val="TableColumnHeadingRight"/>
            </w:pPr>
            <w:r w:rsidRPr="00E36CB1">
              <w:t>Controlled</w:t>
            </w:r>
            <w:r w:rsidR="00F228A2">
              <w:br/>
            </w:r>
            <w:r w:rsidRPr="00E36CB1">
              <w:t>entities</w:t>
            </w:r>
            <w:r w:rsidR="009B25CE">
              <w:br/>
            </w:r>
            <w:r w:rsidR="0015108D">
              <w:rPr>
                <w:rFonts w:eastAsia="Aptos"/>
              </w:rPr>
              <w:t>(</w:t>
            </w:r>
            <w:r w:rsidR="00E36CB1" w:rsidRPr="00E36CB1">
              <w:rPr>
                <w:rFonts w:eastAsia="Aptos"/>
              </w:rPr>
              <w:t>No.</w:t>
            </w:r>
            <w:r w:rsidR="0015108D">
              <w:rPr>
                <w:rFonts w:eastAsia="Aptos"/>
              </w:rPr>
              <w:t>)</w:t>
            </w:r>
          </w:p>
        </w:tc>
        <w:tc>
          <w:tcPr>
            <w:tcW w:w="2440" w:type="dxa"/>
            <w:tcMar>
              <w:top w:w="108" w:type="dxa"/>
              <w:bottom w:w="108" w:type="dxa"/>
            </w:tcMar>
            <w:vAlign w:val="bottom"/>
          </w:tcPr>
          <w:p w14:paraId="28FE66C0" w14:textId="77994FCF" w:rsidR="00E36CB1" w:rsidRPr="005D0129" w:rsidRDefault="00E95F8A" w:rsidP="001753A2">
            <w:pPr>
              <w:pStyle w:val="TableColumnHeadingRight"/>
            </w:pPr>
            <w:r w:rsidRPr="005D0129">
              <w:t>Average common</w:t>
            </w:r>
            <w:r w:rsidR="00F228A2">
              <w:br/>
            </w:r>
            <w:r w:rsidRPr="005D0129">
              <w:t>payment terms</w:t>
            </w:r>
            <w:r w:rsidR="001753A2">
              <w:br/>
            </w:r>
            <w:r w:rsidR="009B25CE">
              <w:rPr>
                <w:rFonts w:eastAsia="Aptos"/>
              </w:rPr>
              <w:t>(days)</w:t>
            </w:r>
          </w:p>
        </w:tc>
        <w:tc>
          <w:tcPr>
            <w:tcW w:w="2440" w:type="dxa"/>
            <w:tcMar>
              <w:top w:w="108" w:type="dxa"/>
              <w:bottom w:w="108" w:type="dxa"/>
            </w:tcMar>
            <w:vAlign w:val="bottom"/>
          </w:tcPr>
          <w:p w14:paraId="4503CDB6" w14:textId="67D975FD" w:rsidR="00E95F8A" w:rsidRPr="005D0129" w:rsidRDefault="00E95F8A" w:rsidP="00C7549B">
            <w:pPr>
              <w:pStyle w:val="TableColumnHeadingRight"/>
            </w:pPr>
            <w:r w:rsidRPr="005D0129">
              <w:t>Proportion of total procurement value with small businesses</w:t>
            </w:r>
            <w:r w:rsidR="001753A2">
              <w:br/>
              <w:t>(%)</w:t>
            </w:r>
          </w:p>
        </w:tc>
      </w:tr>
      <w:tr w:rsidR="008C435D" w:rsidRPr="005D0129" w14:paraId="5557F8EA" w14:textId="48A002C0"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224F78B6" w14:textId="316D6838" w:rsidR="00624366" w:rsidRPr="005D0129" w:rsidRDefault="00624366" w:rsidP="00624366">
            <w:pPr>
              <w:pStyle w:val="TableTextLeft"/>
            </w:pPr>
            <w:r w:rsidRPr="005D0129">
              <w:t>Manufacturing</w:t>
            </w:r>
          </w:p>
        </w:tc>
        <w:tc>
          <w:tcPr>
            <w:tcW w:w="2439" w:type="dxa"/>
            <w:vAlign w:val="center"/>
          </w:tcPr>
          <w:p w14:paraId="5DD6AB38" w14:textId="25B335DD" w:rsidR="00624366" w:rsidRPr="005D0129" w:rsidRDefault="00624366" w:rsidP="00010F05">
            <w:pPr>
              <w:pStyle w:val="TableTextRight"/>
            </w:pPr>
            <w:r w:rsidRPr="005D0129">
              <w:t xml:space="preserve">415 (13.4%) </w:t>
            </w:r>
          </w:p>
        </w:tc>
        <w:tc>
          <w:tcPr>
            <w:tcW w:w="2440" w:type="dxa"/>
            <w:vAlign w:val="center"/>
          </w:tcPr>
          <w:p w14:paraId="0F7359AA" w14:textId="67261827" w:rsidR="00624366" w:rsidRPr="005D0129" w:rsidRDefault="00624366" w:rsidP="00010F05">
            <w:pPr>
              <w:pStyle w:val="TableTextRight"/>
            </w:pPr>
            <w:r w:rsidRPr="005D0129">
              <w:t>1,185</w:t>
            </w:r>
          </w:p>
        </w:tc>
        <w:tc>
          <w:tcPr>
            <w:tcW w:w="2440" w:type="dxa"/>
            <w:vAlign w:val="center"/>
          </w:tcPr>
          <w:p w14:paraId="57438BD3" w14:textId="3B798B33" w:rsidR="00624366" w:rsidRPr="005D0129" w:rsidRDefault="00624366" w:rsidP="00010F05">
            <w:pPr>
              <w:pStyle w:val="TableTextRight"/>
            </w:pPr>
            <w:r w:rsidRPr="005D0129">
              <w:t>35</w:t>
            </w:r>
          </w:p>
        </w:tc>
        <w:tc>
          <w:tcPr>
            <w:tcW w:w="2440" w:type="dxa"/>
            <w:vAlign w:val="center"/>
          </w:tcPr>
          <w:p w14:paraId="3D966BB9" w14:textId="40DE071B" w:rsidR="00624366" w:rsidRPr="005D0129" w:rsidRDefault="00624366" w:rsidP="00010F05">
            <w:pPr>
              <w:pStyle w:val="TableTextRight"/>
            </w:pPr>
            <w:r w:rsidRPr="005D0129">
              <w:t>27.6%</w:t>
            </w:r>
          </w:p>
        </w:tc>
      </w:tr>
      <w:tr w:rsidR="00A6680F" w:rsidRPr="005D0129" w14:paraId="2391962C" w14:textId="4EAF683B" w:rsidTr="008C435D">
        <w:trPr>
          <w:trHeight w:val="312"/>
        </w:trPr>
        <w:tc>
          <w:tcPr>
            <w:tcW w:w="4243" w:type="dxa"/>
            <w:vAlign w:val="center"/>
          </w:tcPr>
          <w:p w14:paraId="409688D3" w14:textId="4D43E98F" w:rsidR="00624366" w:rsidRPr="005D0129" w:rsidRDefault="00624366" w:rsidP="00624366">
            <w:pPr>
              <w:pStyle w:val="TableTextLeft"/>
            </w:pPr>
            <w:r w:rsidRPr="005D0129">
              <w:t>Financial &amp; Insurance Services</w:t>
            </w:r>
          </w:p>
        </w:tc>
        <w:tc>
          <w:tcPr>
            <w:tcW w:w="2439" w:type="dxa"/>
            <w:vAlign w:val="center"/>
          </w:tcPr>
          <w:p w14:paraId="6A0BE37C" w14:textId="20C38003" w:rsidR="00624366" w:rsidRPr="005D0129" w:rsidRDefault="00624366" w:rsidP="00010F05">
            <w:pPr>
              <w:pStyle w:val="TableTextRight"/>
            </w:pPr>
            <w:r w:rsidRPr="005D0129">
              <w:t>413 (13.3%)</w:t>
            </w:r>
          </w:p>
        </w:tc>
        <w:tc>
          <w:tcPr>
            <w:tcW w:w="2440" w:type="dxa"/>
            <w:vAlign w:val="center"/>
          </w:tcPr>
          <w:p w14:paraId="65230E45" w14:textId="0712A778" w:rsidR="00624366" w:rsidRPr="005D0129" w:rsidRDefault="00624366" w:rsidP="00010F05">
            <w:pPr>
              <w:pStyle w:val="TableTextRight"/>
            </w:pPr>
            <w:r w:rsidRPr="005D0129">
              <w:t>2,468</w:t>
            </w:r>
          </w:p>
        </w:tc>
        <w:tc>
          <w:tcPr>
            <w:tcW w:w="2440" w:type="dxa"/>
            <w:vAlign w:val="center"/>
          </w:tcPr>
          <w:p w14:paraId="0CE7616F" w14:textId="71AF58CB" w:rsidR="00624366" w:rsidRPr="005D0129" w:rsidRDefault="00624366" w:rsidP="00010F05">
            <w:pPr>
              <w:pStyle w:val="TableTextRight"/>
            </w:pPr>
            <w:r w:rsidRPr="005D0129">
              <w:t>21</w:t>
            </w:r>
          </w:p>
        </w:tc>
        <w:tc>
          <w:tcPr>
            <w:tcW w:w="2440" w:type="dxa"/>
            <w:vAlign w:val="center"/>
          </w:tcPr>
          <w:p w14:paraId="3A3E78F9" w14:textId="6EEE5868" w:rsidR="00624366" w:rsidRPr="005D0129" w:rsidRDefault="00624366" w:rsidP="00010F05">
            <w:pPr>
              <w:pStyle w:val="TableTextRight"/>
            </w:pPr>
            <w:r w:rsidRPr="005D0129">
              <w:t>23.9%</w:t>
            </w:r>
          </w:p>
        </w:tc>
      </w:tr>
      <w:tr w:rsidR="008C435D" w:rsidRPr="005D0129" w14:paraId="413F2B94" w14:textId="09B3C49F"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233AEE54" w14:textId="4163FC26" w:rsidR="00624366" w:rsidRPr="005D0129" w:rsidRDefault="00624366" w:rsidP="00624366">
            <w:pPr>
              <w:pStyle w:val="TableTextLeft"/>
            </w:pPr>
            <w:r w:rsidRPr="005D0129">
              <w:t>Wholesale Trade</w:t>
            </w:r>
          </w:p>
        </w:tc>
        <w:tc>
          <w:tcPr>
            <w:tcW w:w="2439" w:type="dxa"/>
            <w:vAlign w:val="center"/>
          </w:tcPr>
          <w:p w14:paraId="26D5C5EA" w14:textId="48C286F1" w:rsidR="00624366" w:rsidRPr="005D0129" w:rsidRDefault="00624366" w:rsidP="00010F05">
            <w:pPr>
              <w:pStyle w:val="TableTextRight"/>
            </w:pPr>
            <w:r w:rsidRPr="005D0129">
              <w:t>407 (13.1%)</w:t>
            </w:r>
          </w:p>
        </w:tc>
        <w:tc>
          <w:tcPr>
            <w:tcW w:w="2440" w:type="dxa"/>
            <w:vAlign w:val="center"/>
          </w:tcPr>
          <w:p w14:paraId="72165ABA" w14:textId="69BF9A73" w:rsidR="00624366" w:rsidRPr="005D0129" w:rsidRDefault="00624366" w:rsidP="00010F05">
            <w:pPr>
              <w:pStyle w:val="TableTextRight"/>
            </w:pPr>
            <w:r w:rsidRPr="005D0129">
              <w:t>814</w:t>
            </w:r>
          </w:p>
        </w:tc>
        <w:tc>
          <w:tcPr>
            <w:tcW w:w="2440" w:type="dxa"/>
            <w:vAlign w:val="center"/>
          </w:tcPr>
          <w:p w14:paraId="5EA37EAA" w14:textId="769511E1" w:rsidR="00624366" w:rsidRPr="005D0129" w:rsidRDefault="00624366" w:rsidP="00010F05">
            <w:pPr>
              <w:pStyle w:val="TableTextRight"/>
            </w:pPr>
            <w:r w:rsidRPr="005D0129">
              <w:t>33</w:t>
            </w:r>
          </w:p>
        </w:tc>
        <w:tc>
          <w:tcPr>
            <w:tcW w:w="2440" w:type="dxa"/>
            <w:vAlign w:val="center"/>
          </w:tcPr>
          <w:p w14:paraId="508ACB45" w14:textId="4FDBD85A" w:rsidR="00624366" w:rsidRPr="005D0129" w:rsidRDefault="00624366" w:rsidP="00010F05">
            <w:pPr>
              <w:pStyle w:val="TableTextRight"/>
            </w:pPr>
            <w:r w:rsidRPr="005D0129">
              <w:t>24.7%</w:t>
            </w:r>
          </w:p>
        </w:tc>
      </w:tr>
      <w:tr w:rsidR="00A6680F" w:rsidRPr="005D0129" w14:paraId="4743CC3B" w14:textId="77A50927" w:rsidTr="008C435D">
        <w:trPr>
          <w:trHeight w:val="312"/>
        </w:trPr>
        <w:tc>
          <w:tcPr>
            <w:tcW w:w="4243" w:type="dxa"/>
            <w:vAlign w:val="center"/>
          </w:tcPr>
          <w:p w14:paraId="46DF4722" w14:textId="33CD188B" w:rsidR="00624366" w:rsidRPr="005D0129" w:rsidRDefault="00624366" w:rsidP="00624366">
            <w:pPr>
              <w:pStyle w:val="TableTextLeft"/>
            </w:pPr>
            <w:r w:rsidRPr="005D0129">
              <w:t xml:space="preserve">Construction </w:t>
            </w:r>
          </w:p>
        </w:tc>
        <w:tc>
          <w:tcPr>
            <w:tcW w:w="2439" w:type="dxa"/>
            <w:vAlign w:val="center"/>
          </w:tcPr>
          <w:p w14:paraId="7EB8B9BE" w14:textId="4007D906" w:rsidR="00624366" w:rsidRPr="005D0129" w:rsidRDefault="00624366" w:rsidP="00010F05">
            <w:pPr>
              <w:pStyle w:val="TableTextRight"/>
            </w:pPr>
            <w:r w:rsidRPr="005D0129">
              <w:t>266 (8.6%)</w:t>
            </w:r>
          </w:p>
        </w:tc>
        <w:tc>
          <w:tcPr>
            <w:tcW w:w="2440" w:type="dxa"/>
            <w:vAlign w:val="center"/>
          </w:tcPr>
          <w:p w14:paraId="0FBA986D" w14:textId="081D9D57" w:rsidR="00624366" w:rsidRPr="005D0129" w:rsidRDefault="00624366" w:rsidP="00010F05">
            <w:pPr>
              <w:pStyle w:val="TableTextRight"/>
            </w:pPr>
            <w:r w:rsidRPr="005D0129">
              <w:t>2,012</w:t>
            </w:r>
          </w:p>
        </w:tc>
        <w:tc>
          <w:tcPr>
            <w:tcW w:w="2440" w:type="dxa"/>
            <w:vAlign w:val="center"/>
          </w:tcPr>
          <w:p w14:paraId="04763E61" w14:textId="7329C421" w:rsidR="00624366" w:rsidRPr="005D0129" w:rsidRDefault="00624366" w:rsidP="00010F05">
            <w:pPr>
              <w:pStyle w:val="TableTextRight"/>
            </w:pPr>
            <w:r w:rsidRPr="005D0129">
              <w:t>34</w:t>
            </w:r>
          </w:p>
        </w:tc>
        <w:tc>
          <w:tcPr>
            <w:tcW w:w="2440" w:type="dxa"/>
            <w:vAlign w:val="center"/>
          </w:tcPr>
          <w:p w14:paraId="115D1D60" w14:textId="245628AA" w:rsidR="00624366" w:rsidRPr="005D0129" w:rsidRDefault="00624366" w:rsidP="00010F05">
            <w:pPr>
              <w:pStyle w:val="TableTextRight"/>
            </w:pPr>
            <w:r w:rsidRPr="005D0129">
              <w:t>43.3%</w:t>
            </w:r>
          </w:p>
        </w:tc>
      </w:tr>
      <w:tr w:rsidR="008C435D" w:rsidRPr="005D0129" w14:paraId="5432CD8A" w14:textId="3C3C9742"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0EFEC7BB" w14:textId="5E33650F" w:rsidR="00624366" w:rsidRPr="005D0129" w:rsidRDefault="00624366" w:rsidP="00624366">
            <w:pPr>
              <w:pStyle w:val="TableTextLeft"/>
            </w:pPr>
            <w:r w:rsidRPr="005D0129">
              <w:t>Retail Trade</w:t>
            </w:r>
          </w:p>
        </w:tc>
        <w:tc>
          <w:tcPr>
            <w:tcW w:w="2439" w:type="dxa"/>
            <w:vAlign w:val="center"/>
          </w:tcPr>
          <w:p w14:paraId="5F4111AC" w14:textId="1862D335" w:rsidR="00624366" w:rsidRPr="005D0129" w:rsidRDefault="00624366" w:rsidP="00010F05">
            <w:pPr>
              <w:pStyle w:val="TableTextRight"/>
            </w:pPr>
            <w:r w:rsidRPr="005D0129">
              <w:t>260 (8.4%)</w:t>
            </w:r>
          </w:p>
        </w:tc>
        <w:tc>
          <w:tcPr>
            <w:tcW w:w="2440" w:type="dxa"/>
            <w:vAlign w:val="center"/>
          </w:tcPr>
          <w:p w14:paraId="5E4FCAED" w14:textId="224D5CBE" w:rsidR="00624366" w:rsidRPr="005D0129" w:rsidRDefault="00624366" w:rsidP="00010F05">
            <w:pPr>
              <w:pStyle w:val="TableTextRight"/>
            </w:pPr>
            <w:r w:rsidRPr="005D0129">
              <w:t>1,891</w:t>
            </w:r>
          </w:p>
        </w:tc>
        <w:tc>
          <w:tcPr>
            <w:tcW w:w="2440" w:type="dxa"/>
            <w:vAlign w:val="center"/>
          </w:tcPr>
          <w:p w14:paraId="3628BEF7" w14:textId="0CEB9940" w:rsidR="00624366" w:rsidRPr="005D0129" w:rsidRDefault="00624366" w:rsidP="00010F05">
            <w:pPr>
              <w:pStyle w:val="TableTextRight"/>
            </w:pPr>
            <w:r w:rsidRPr="005D0129">
              <w:t>31</w:t>
            </w:r>
          </w:p>
        </w:tc>
        <w:tc>
          <w:tcPr>
            <w:tcW w:w="2440" w:type="dxa"/>
            <w:vAlign w:val="center"/>
          </w:tcPr>
          <w:p w14:paraId="7B839F55" w14:textId="4562F6E1" w:rsidR="00624366" w:rsidRPr="005D0129" w:rsidRDefault="00624366" w:rsidP="00010F05">
            <w:pPr>
              <w:pStyle w:val="TableTextRight"/>
            </w:pPr>
            <w:r w:rsidRPr="005D0129">
              <w:t>25.5%</w:t>
            </w:r>
          </w:p>
        </w:tc>
      </w:tr>
      <w:tr w:rsidR="00A6680F" w:rsidRPr="005D0129" w14:paraId="49631BAE" w14:textId="0384705A" w:rsidTr="008C435D">
        <w:trPr>
          <w:trHeight w:val="312"/>
        </w:trPr>
        <w:tc>
          <w:tcPr>
            <w:tcW w:w="4243" w:type="dxa"/>
            <w:vAlign w:val="center"/>
          </w:tcPr>
          <w:p w14:paraId="3C040FBC" w14:textId="74B8E51C" w:rsidR="00624366" w:rsidRPr="005D0129" w:rsidRDefault="00624366" w:rsidP="00624366">
            <w:pPr>
              <w:pStyle w:val="TableTextLeft"/>
            </w:pPr>
            <w:r w:rsidRPr="005D0129">
              <w:t>Professional, Scientific &amp; Technical Services</w:t>
            </w:r>
          </w:p>
        </w:tc>
        <w:tc>
          <w:tcPr>
            <w:tcW w:w="2439" w:type="dxa"/>
            <w:vAlign w:val="center"/>
          </w:tcPr>
          <w:p w14:paraId="02DC68A8" w14:textId="00A5EC49" w:rsidR="00624366" w:rsidRPr="005D0129" w:rsidRDefault="00624366" w:rsidP="00010F05">
            <w:pPr>
              <w:pStyle w:val="TableTextRight"/>
            </w:pPr>
            <w:r w:rsidRPr="005D0129">
              <w:t>236 (7.6%)</w:t>
            </w:r>
          </w:p>
        </w:tc>
        <w:tc>
          <w:tcPr>
            <w:tcW w:w="2440" w:type="dxa"/>
            <w:vAlign w:val="center"/>
          </w:tcPr>
          <w:p w14:paraId="5CA7A1D6" w14:textId="78665820" w:rsidR="00624366" w:rsidRPr="005D0129" w:rsidRDefault="00624366" w:rsidP="00010F05">
            <w:pPr>
              <w:pStyle w:val="TableTextRight"/>
            </w:pPr>
            <w:r w:rsidRPr="005D0129">
              <w:t>925</w:t>
            </w:r>
          </w:p>
        </w:tc>
        <w:tc>
          <w:tcPr>
            <w:tcW w:w="2440" w:type="dxa"/>
            <w:vAlign w:val="center"/>
          </w:tcPr>
          <w:p w14:paraId="25F8806A" w14:textId="094FB8E5" w:rsidR="00624366" w:rsidRPr="005D0129" w:rsidRDefault="00624366" w:rsidP="00010F05">
            <w:pPr>
              <w:pStyle w:val="TableTextRight"/>
            </w:pPr>
            <w:r w:rsidRPr="005D0129">
              <w:t>28</w:t>
            </w:r>
          </w:p>
        </w:tc>
        <w:tc>
          <w:tcPr>
            <w:tcW w:w="2440" w:type="dxa"/>
            <w:vAlign w:val="center"/>
          </w:tcPr>
          <w:p w14:paraId="0AD6D28A" w14:textId="5274CC2F" w:rsidR="00624366" w:rsidRPr="005D0129" w:rsidRDefault="00624366" w:rsidP="00010F05">
            <w:pPr>
              <w:pStyle w:val="TableTextRight"/>
            </w:pPr>
            <w:r w:rsidRPr="005D0129">
              <w:t>31.2%</w:t>
            </w:r>
          </w:p>
        </w:tc>
      </w:tr>
      <w:tr w:rsidR="008C435D" w:rsidRPr="005D0129" w14:paraId="6C26A614" w14:textId="6E57A131"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7A29AC63" w14:textId="743A5C41" w:rsidR="00624366" w:rsidRPr="005D0129" w:rsidRDefault="00624366" w:rsidP="00624366">
            <w:pPr>
              <w:pStyle w:val="TableTextLeft"/>
            </w:pPr>
            <w:r w:rsidRPr="005D0129">
              <w:t>Mining</w:t>
            </w:r>
          </w:p>
        </w:tc>
        <w:tc>
          <w:tcPr>
            <w:tcW w:w="2439" w:type="dxa"/>
            <w:vAlign w:val="center"/>
          </w:tcPr>
          <w:p w14:paraId="2BC74B6D" w14:textId="65C9FA3E" w:rsidR="00624366" w:rsidRPr="005D0129" w:rsidRDefault="00624366" w:rsidP="00010F05">
            <w:pPr>
              <w:pStyle w:val="TableTextRight"/>
            </w:pPr>
            <w:r w:rsidRPr="005D0129">
              <w:t>212 (6.8%)</w:t>
            </w:r>
          </w:p>
        </w:tc>
        <w:tc>
          <w:tcPr>
            <w:tcW w:w="2440" w:type="dxa"/>
            <w:vAlign w:val="center"/>
          </w:tcPr>
          <w:p w14:paraId="17A55903" w14:textId="10920E31" w:rsidR="00624366" w:rsidRPr="005D0129" w:rsidRDefault="00624366" w:rsidP="00010F05">
            <w:pPr>
              <w:pStyle w:val="TableTextRight"/>
            </w:pPr>
            <w:r w:rsidRPr="005D0129">
              <w:t>1,371</w:t>
            </w:r>
          </w:p>
        </w:tc>
        <w:tc>
          <w:tcPr>
            <w:tcW w:w="2440" w:type="dxa"/>
            <w:vAlign w:val="center"/>
          </w:tcPr>
          <w:p w14:paraId="3D547559" w14:textId="4E373655" w:rsidR="00624366" w:rsidRPr="005D0129" w:rsidRDefault="00624366" w:rsidP="00010F05">
            <w:pPr>
              <w:pStyle w:val="TableTextRight"/>
            </w:pPr>
            <w:r w:rsidRPr="005D0129">
              <w:t>32</w:t>
            </w:r>
          </w:p>
        </w:tc>
        <w:tc>
          <w:tcPr>
            <w:tcW w:w="2440" w:type="dxa"/>
            <w:vAlign w:val="center"/>
          </w:tcPr>
          <w:p w14:paraId="32CFC352" w14:textId="372C2E20" w:rsidR="00624366" w:rsidRPr="005D0129" w:rsidRDefault="00624366" w:rsidP="00010F05">
            <w:pPr>
              <w:pStyle w:val="TableTextRight"/>
            </w:pPr>
            <w:r w:rsidRPr="005D0129">
              <w:t>21.1%</w:t>
            </w:r>
          </w:p>
        </w:tc>
      </w:tr>
      <w:tr w:rsidR="00A6680F" w:rsidRPr="005D0129" w14:paraId="0F399BED" w14:textId="6784F7A1" w:rsidTr="008C435D">
        <w:trPr>
          <w:trHeight w:val="312"/>
        </w:trPr>
        <w:tc>
          <w:tcPr>
            <w:tcW w:w="4243" w:type="dxa"/>
            <w:vAlign w:val="center"/>
          </w:tcPr>
          <w:p w14:paraId="3D287FDA" w14:textId="7DF217D4" w:rsidR="00624366" w:rsidRPr="005D0129" w:rsidRDefault="00624366" w:rsidP="00624366">
            <w:pPr>
              <w:pStyle w:val="TableTextLeft"/>
            </w:pPr>
            <w:r w:rsidRPr="005D0129">
              <w:t>Transport, Postal &amp; Warehousing</w:t>
            </w:r>
          </w:p>
        </w:tc>
        <w:tc>
          <w:tcPr>
            <w:tcW w:w="2439" w:type="dxa"/>
            <w:vAlign w:val="center"/>
          </w:tcPr>
          <w:p w14:paraId="55BD965A" w14:textId="34F253E6" w:rsidR="00624366" w:rsidRPr="005D0129" w:rsidRDefault="00624366" w:rsidP="00010F05">
            <w:pPr>
              <w:pStyle w:val="TableTextRight"/>
            </w:pPr>
            <w:r w:rsidRPr="005D0129">
              <w:t>176 (5.7%)</w:t>
            </w:r>
          </w:p>
        </w:tc>
        <w:tc>
          <w:tcPr>
            <w:tcW w:w="2440" w:type="dxa"/>
            <w:vAlign w:val="center"/>
          </w:tcPr>
          <w:p w14:paraId="653DD176" w14:textId="4F8962F7" w:rsidR="00624366" w:rsidRPr="005D0129" w:rsidRDefault="00624366" w:rsidP="00010F05">
            <w:pPr>
              <w:pStyle w:val="TableTextRight"/>
            </w:pPr>
            <w:r w:rsidRPr="005D0129">
              <w:t>672</w:t>
            </w:r>
          </w:p>
        </w:tc>
        <w:tc>
          <w:tcPr>
            <w:tcW w:w="2440" w:type="dxa"/>
            <w:vAlign w:val="center"/>
          </w:tcPr>
          <w:p w14:paraId="0F9982BF" w14:textId="64A67159" w:rsidR="00624366" w:rsidRPr="005D0129" w:rsidRDefault="00624366" w:rsidP="00010F05">
            <w:pPr>
              <w:pStyle w:val="TableTextRight"/>
            </w:pPr>
            <w:r w:rsidRPr="005D0129">
              <w:t>30</w:t>
            </w:r>
          </w:p>
        </w:tc>
        <w:tc>
          <w:tcPr>
            <w:tcW w:w="2440" w:type="dxa"/>
            <w:vAlign w:val="center"/>
          </w:tcPr>
          <w:p w14:paraId="731CC955" w14:textId="60575871" w:rsidR="00624366" w:rsidRPr="005D0129" w:rsidRDefault="00624366" w:rsidP="00010F05">
            <w:pPr>
              <w:pStyle w:val="TableTextRight"/>
            </w:pPr>
            <w:r w:rsidRPr="005D0129">
              <w:t>25.6%</w:t>
            </w:r>
          </w:p>
        </w:tc>
      </w:tr>
      <w:tr w:rsidR="008C435D" w:rsidRPr="005D0129" w14:paraId="6C9631CB" w14:textId="3264A6A9"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301F91F7" w14:textId="4B8927B6" w:rsidR="00624366" w:rsidRPr="005D0129" w:rsidRDefault="00624366" w:rsidP="00624366">
            <w:pPr>
              <w:pStyle w:val="TableTextLeft"/>
            </w:pPr>
            <w:r w:rsidRPr="005D0129">
              <w:t>Health Care &amp; Social Assistance</w:t>
            </w:r>
          </w:p>
        </w:tc>
        <w:tc>
          <w:tcPr>
            <w:tcW w:w="2439" w:type="dxa"/>
            <w:vAlign w:val="center"/>
          </w:tcPr>
          <w:p w14:paraId="462F736B" w14:textId="11E8E396" w:rsidR="00624366" w:rsidRPr="005D0129" w:rsidRDefault="00624366" w:rsidP="00010F05">
            <w:pPr>
              <w:pStyle w:val="TableTextRight"/>
            </w:pPr>
            <w:r w:rsidRPr="005D0129">
              <w:t>112 (3.6%)</w:t>
            </w:r>
          </w:p>
        </w:tc>
        <w:tc>
          <w:tcPr>
            <w:tcW w:w="2440" w:type="dxa"/>
            <w:vAlign w:val="center"/>
          </w:tcPr>
          <w:p w14:paraId="256B9CAD" w14:textId="2E6FA0A0" w:rsidR="00624366" w:rsidRPr="005D0129" w:rsidRDefault="00624366" w:rsidP="00010F05">
            <w:pPr>
              <w:pStyle w:val="TableTextRight"/>
            </w:pPr>
            <w:r w:rsidRPr="005D0129">
              <w:t>1,708</w:t>
            </w:r>
          </w:p>
        </w:tc>
        <w:tc>
          <w:tcPr>
            <w:tcW w:w="2440" w:type="dxa"/>
            <w:vAlign w:val="center"/>
          </w:tcPr>
          <w:p w14:paraId="2C66534B" w14:textId="0B71D745" w:rsidR="00624366" w:rsidRPr="005D0129" w:rsidRDefault="00624366" w:rsidP="00010F05">
            <w:pPr>
              <w:pStyle w:val="TableTextRight"/>
            </w:pPr>
            <w:r w:rsidRPr="005D0129">
              <w:t>26</w:t>
            </w:r>
          </w:p>
        </w:tc>
        <w:tc>
          <w:tcPr>
            <w:tcW w:w="2440" w:type="dxa"/>
            <w:vAlign w:val="center"/>
          </w:tcPr>
          <w:p w14:paraId="5A5A60B5" w14:textId="295C2DF0" w:rsidR="00624366" w:rsidRPr="005D0129" w:rsidRDefault="00624366" w:rsidP="00010F05">
            <w:pPr>
              <w:pStyle w:val="TableTextRight"/>
            </w:pPr>
            <w:r w:rsidRPr="005D0129">
              <w:t>30.9%</w:t>
            </w:r>
          </w:p>
        </w:tc>
      </w:tr>
      <w:tr w:rsidR="00A6680F" w:rsidRPr="005D0129" w14:paraId="28155B33" w14:textId="583CEC40" w:rsidTr="008C435D">
        <w:trPr>
          <w:trHeight w:val="312"/>
        </w:trPr>
        <w:tc>
          <w:tcPr>
            <w:tcW w:w="4243" w:type="dxa"/>
            <w:vAlign w:val="center"/>
          </w:tcPr>
          <w:p w14:paraId="590138DF" w14:textId="67C54928" w:rsidR="00624366" w:rsidRPr="005D0129" w:rsidRDefault="00624366" w:rsidP="00624366">
            <w:pPr>
              <w:pStyle w:val="TableTextLeft"/>
            </w:pPr>
            <w:r w:rsidRPr="005D0129">
              <w:t>Electricity, Gas, Water &amp; Waste Services</w:t>
            </w:r>
          </w:p>
        </w:tc>
        <w:tc>
          <w:tcPr>
            <w:tcW w:w="2439" w:type="dxa"/>
            <w:vAlign w:val="center"/>
          </w:tcPr>
          <w:p w14:paraId="1EEFB43B" w14:textId="505B08AF" w:rsidR="00624366" w:rsidRPr="005D0129" w:rsidRDefault="00624366" w:rsidP="00010F05">
            <w:pPr>
              <w:pStyle w:val="TableTextRight"/>
            </w:pPr>
            <w:r w:rsidRPr="005D0129">
              <w:t>105 (3.4%)</w:t>
            </w:r>
          </w:p>
        </w:tc>
        <w:tc>
          <w:tcPr>
            <w:tcW w:w="2440" w:type="dxa"/>
            <w:vAlign w:val="center"/>
          </w:tcPr>
          <w:p w14:paraId="6CE20084" w14:textId="4F68F9C4" w:rsidR="00624366" w:rsidRPr="005D0129" w:rsidRDefault="00624366" w:rsidP="00010F05">
            <w:pPr>
              <w:pStyle w:val="TableTextRight"/>
            </w:pPr>
            <w:r w:rsidRPr="005D0129">
              <w:t>696</w:t>
            </w:r>
          </w:p>
        </w:tc>
        <w:tc>
          <w:tcPr>
            <w:tcW w:w="2440" w:type="dxa"/>
            <w:vAlign w:val="center"/>
          </w:tcPr>
          <w:p w14:paraId="353AB3ED" w14:textId="0942A607" w:rsidR="00624366" w:rsidRPr="005D0129" w:rsidRDefault="00624366" w:rsidP="00010F05">
            <w:pPr>
              <w:pStyle w:val="TableTextRight"/>
            </w:pPr>
            <w:r w:rsidRPr="005D0129">
              <w:t>26</w:t>
            </w:r>
          </w:p>
        </w:tc>
        <w:tc>
          <w:tcPr>
            <w:tcW w:w="2440" w:type="dxa"/>
            <w:vAlign w:val="center"/>
          </w:tcPr>
          <w:p w14:paraId="34402DB1" w14:textId="5CE81B81" w:rsidR="00624366" w:rsidRPr="005D0129" w:rsidRDefault="00624366" w:rsidP="00010F05">
            <w:pPr>
              <w:pStyle w:val="TableTextRight"/>
            </w:pPr>
            <w:r w:rsidRPr="005D0129">
              <w:t>22.1%</w:t>
            </w:r>
          </w:p>
        </w:tc>
      </w:tr>
      <w:tr w:rsidR="008C435D" w:rsidRPr="005D0129" w14:paraId="767CAD5A" w14:textId="1D259BFF"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56586DAC" w14:textId="16946DC8" w:rsidR="00624366" w:rsidRPr="005D0129" w:rsidRDefault="00624366" w:rsidP="00624366">
            <w:pPr>
              <w:pStyle w:val="TableTextLeft"/>
            </w:pPr>
            <w:r w:rsidRPr="005D0129">
              <w:t>Agriculture, Forestry &amp; Fishing</w:t>
            </w:r>
          </w:p>
        </w:tc>
        <w:tc>
          <w:tcPr>
            <w:tcW w:w="2439" w:type="dxa"/>
            <w:vAlign w:val="center"/>
          </w:tcPr>
          <w:p w14:paraId="19743787" w14:textId="4F741035" w:rsidR="00624366" w:rsidRPr="005D0129" w:rsidRDefault="00624366" w:rsidP="00010F05">
            <w:pPr>
              <w:pStyle w:val="TableTextRight"/>
            </w:pPr>
            <w:r w:rsidRPr="005D0129">
              <w:t>100 (3.2%)</w:t>
            </w:r>
          </w:p>
        </w:tc>
        <w:tc>
          <w:tcPr>
            <w:tcW w:w="2440" w:type="dxa"/>
            <w:vAlign w:val="center"/>
          </w:tcPr>
          <w:p w14:paraId="1A82F9EE" w14:textId="329EB41F" w:rsidR="00624366" w:rsidRPr="005D0129" w:rsidRDefault="00624366" w:rsidP="00010F05">
            <w:pPr>
              <w:pStyle w:val="TableTextRight"/>
            </w:pPr>
            <w:r w:rsidRPr="005D0129">
              <w:t>271</w:t>
            </w:r>
          </w:p>
        </w:tc>
        <w:tc>
          <w:tcPr>
            <w:tcW w:w="2440" w:type="dxa"/>
            <w:vAlign w:val="center"/>
          </w:tcPr>
          <w:p w14:paraId="2DBAE8AB" w14:textId="0D70CE33" w:rsidR="00624366" w:rsidRPr="005D0129" w:rsidRDefault="00624366" w:rsidP="00010F05">
            <w:pPr>
              <w:pStyle w:val="TableTextRight"/>
            </w:pPr>
            <w:r w:rsidRPr="005D0129">
              <w:t>24</w:t>
            </w:r>
          </w:p>
        </w:tc>
        <w:tc>
          <w:tcPr>
            <w:tcW w:w="2440" w:type="dxa"/>
            <w:vAlign w:val="center"/>
          </w:tcPr>
          <w:p w14:paraId="46DE3E0F" w14:textId="3BA33233" w:rsidR="00624366" w:rsidRPr="005D0129" w:rsidRDefault="00624366" w:rsidP="00010F05">
            <w:pPr>
              <w:pStyle w:val="TableTextRight"/>
            </w:pPr>
            <w:r w:rsidRPr="005D0129">
              <w:t>41.5%</w:t>
            </w:r>
          </w:p>
        </w:tc>
      </w:tr>
      <w:tr w:rsidR="00A6680F" w:rsidRPr="005D0129" w14:paraId="35F29EC1" w14:textId="56FF96AC" w:rsidTr="008C435D">
        <w:trPr>
          <w:trHeight w:val="312"/>
        </w:trPr>
        <w:tc>
          <w:tcPr>
            <w:tcW w:w="4243" w:type="dxa"/>
            <w:vAlign w:val="center"/>
          </w:tcPr>
          <w:p w14:paraId="28134F9B" w14:textId="57445ADC" w:rsidR="00624366" w:rsidRPr="005D0129" w:rsidRDefault="00624366" w:rsidP="00624366">
            <w:pPr>
              <w:pStyle w:val="TableTextLeft"/>
            </w:pPr>
            <w:r w:rsidRPr="005D0129">
              <w:t>Rental, Hiring &amp; Real Estate Services</w:t>
            </w:r>
          </w:p>
        </w:tc>
        <w:tc>
          <w:tcPr>
            <w:tcW w:w="2439" w:type="dxa"/>
            <w:vAlign w:val="center"/>
          </w:tcPr>
          <w:p w14:paraId="07E1B52B" w14:textId="7EC9A6CA" w:rsidR="00624366" w:rsidRPr="005D0129" w:rsidRDefault="00624366" w:rsidP="00010F05">
            <w:pPr>
              <w:pStyle w:val="TableTextRight"/>
            </w:pPr>
            <w:r w:rsidRPr="005D0129">
              <w:t>74 (2.4%)</w:t>
            </w:r>
          </w:p>
        </w:tc>
        <w:tc>
          <w:tcPr>
            <w:tcW w:w="2440" w:type="dxa"/>
            <w:vAlign w:val="center"/>
          </w:tcPr>
          <w:p w14:paraId="78EFED83" w14:textId="1910928A" w:rsidR="00624366" w:rsidRPr="005D0129" w:rsidRDefault="00624366" w:rsidP="00010F05">
            <w:pPr>
              <w:pStyle w:val="TableTextRight"/>
            </w:pPr>
            <w:r w:rsidRPr="005D0129">
              <w:t>637</w:t>
            </w:r>
          </w:p>
        </w:tc>
        <w:tc>
          <w:tcPr>
            <w:tcW w:w="2440" w:type="dxa"/>
            <w:vAlign w:val="center"/>
          </w:tcPr>
          <w:p w14:paraId="2777B1F4" w14:textId="2BD2750D" w:rsidR="00624366" w:rsidRPr="005D0129" w:rsidRDefault="00624366" w:rsidP="00010F05">
            <w:pPr>
              <w:pStyle w:val="TableTextRight"/>
            </w:pPr>
            <w:r w:rsidRPr="005D0129">
              <w:t>27</w:t>
            </w:r>
          </w:p>
        </w:tc>
        <w:tc>
          <w:tcPr>
            <w:tcW w:w="2440" w:type="dxa"/>
            <w:vAlign w:val="center"/>
          </w:tcPr>
          <w:p w14:paraId="26441A6E" w14:textId="43E1410C" w:rsidR="00624366" w:rsidRPr="005D0129" w:rsidRDefault="00624366" w:rsidP="00010F05">
            <w:pPr>
              <w:pStyle w:val="TableTextRight"/>
            </w:pPr>
            <w:r w:rsidRPr="005D0129">
              <w:t>30.7%</w:t>
            </w:r>
          </w:p>
        </w:tc>
      </w:tr>
      <w:tr w:rsidR="008C435D" w:rsidRPr="005D0129" w14:paraId="2A95E6C0" w14:textId="1DB6AE8D"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37C12609" w14:textId="745E9584" w:rsidR="00624366" w:rsidRPr="005D0129" w:rsidRDefault="00624366" w:rsidP="00624366">
            <w:pPr>
              <w:pStyle w:val="TableTextLeft"/>
            </w:pPr>
            <w:r w:rsidRPr="005D0129">
              <w:t>Information Media &amp; Telecommunications</w:t>
            </w:r>
          </w:p>
        </w:tc>
        <w:tc>
          <w:tcPr>
            <w:tcW w:w="2439" w:type="dxa"/>
            <w:vAlign w:val="center"/>
          </w:tcPr>
          <w:p w14:paraId="07DCEB88" w14:textId="33895495" w:rsidR="00624366" w:rsidRPr="005D0129" w:rsidRDefault="00624366" w:rsidP="00010F05">
            <w:pPr>
              <w:pStyle w:val="TableTextRight"/>
            </w:pPr>
            <w:r w:rsidRPr="005D0129">
              <w:t>81 (2.6%)</w:t>
            </w:r>
          </w:p>
        </w:tc>
        <w:tc>
          <w:tcPr>
            <w:tcW w:w="2440" w:type="dxa"/>
            <w:vAlign w:val="center"/>
          </w:tcPr>
          <w:p w14:paraId="41448617" w14:textId="367EAF32" w:rsidR="00624366" w:rsidRPr="005D0129" w:rsidRDefault="00624366" w:rsidP="00010F05">
            <w:pPr>
              <w:pStyle w:val="TableTextRight"/>
            </w:pPr>
            <w:r w:rsidRPr="005D0129">
              <w:t>625</w:t>
            </w:r>
          </w:p>
        </w:tc>
        <w:tc>
          <w:tcPr>
            <w:tcW w:w="2440" w:type="dxa"/>
            <w:vAlign w:val="center"/>
          </w:tcPr>
          <w:p w14:paraId="7CD8F758" w14:textId="3513ED8D" w:rsidR="00624366" w:rsidRPr="005D0129" w:rsidRDefault="00624366" w:rsidP="00010F05">
            <w:pPr>
              <w:pStyle w:val="TableTextRight"/>
            </w:pPr>
            <w:r w:rsidRPr="005D0129">
              <w:t>29</w:t>
            </w:r>
          </w:p>
        </w:tc>
        <w:tc>
          <w:tcPr>
            <w:tcW w:w="2440" w:type="dxa"/>
            <w:vAlign w:val="center"/>
          </w:tcPr>
          <w:p w14:paraId="045320BB" w14:textId="588D12A3" w:rsidR="00624366" w:rsidRPr="005D0129" w:rsidRDefault="00624366" w:rsidP="00010F05">
            <w:pPr>
              <w:pStyle w:val="TableTextRight"/>
            </w:pPr>
            <w:r w:rsidRPr="005D0129">
              <w:t>23.5%</w:t>
            </w:r>
          </w:p>
        </w:tc>
      </w:tr>
      <w:tr w:rsidR="00A6680F" w:rsidRPr="005D0129" w14:paraId="37319143" w14:textId="041B60AE" w:rsidTr="008C435D">
        <w:trPr>
          <w:trHeight w:val="312"/>
        </w:trPr>
        <w:tc>
          <w:tcPr>
            <w:tcW w:w="4243" w:type="dxa"/>
            <w:vAlign w:val="center"/>
          </w:tcPr>
          <w:p w14:paraId="53C23049" w14:textId="6B9AE2DC" w:rsidR="00624366" w:rsidRPr="005D0129" w:rsidRDefault="00624366" w:rsidP="00624366">
            <w:pPr>
              <w:pStyle w:val="TableTextLeft"/>
            </w:pPr>
            <w:r w:rsidRPr="005D0129">
              <w:t>Administrative &amp; Support Services</w:t>
            </w:r>
          </w:p>
        </w:tc>
        <w:tc>
          <w:tcPr>
            <w:tcW w:w="2439" w:type="dxa"/>
            <w:vAlign w:val="center"/>
          </w:tcPr>
          <w:p w14:paraId="5BC346DF" w14:textId="3710DDF1" w:rsidR="00624366" w:rsidRPr="005D0129" w:rsidRDefault="00624366" w:rsidP="00010F05">
            <w:pPr>
              <w:pStyle w:val="TableTextRight"/>
            </w:pPr>
            <w:r w:rsidRPr="005D0129">
              <w:t>64 (2.1%)</w:t>
            </w:r>
          </w:p>
        </w:tc>
        <w:tc>
          <w:tcPr>
            <w:tcW w:w="2440" w:type="dxa"/>
            <w:vAlign w:val="center"/>
          </w:tcPr>
          <w:p w14:paraId="6D82B77E" w14:textId="1D1F4184" w:rsidR="00624366" w:rsidRPr="005D0129" w:rsidRDefault="00624366" w:rsidP="00010F05">
            <w:pPr>
              <w:pStyle w:val="TableTextRight"/>
            </w:pPr>
            <w:r w:rsidRPr="005D0129">
              <w:t>327</w:t>
            </w:r>
          </w:p>
        </w:tc>
        <w:tc>
          <w:tcPr>
            <w:tcW w:w="2440" w:type="dxa"/>
            <w:vAlign w:val="center"/>
          </w:tcPr>
          <w:p w14:paraId="4AC65ED9" w14:textId="53212C0F" w:rsidR="00624366" w:rsidRPr="005D0129" w:rsidRDefault="00624366" w:rsidP="00010F05">
            <w:pPr>
              <w:pStyle w:val="TableTextRight"/>
            </w:pPr>
            <w:r w:rsidRPr="005D0129">
              <w:t>25</w:t>
            </w:r>
          </w:p>
        </w:tc>
        <w:tc>
          <w:tcPr>
            <w:tcW w:w="2440" w:type="dxa"/>
            <w:vAlign w:val="center"/>
          </w:tcPr>
          <w:p w14:paraId="2958B646" w14:textId="3AA423C0" w:rsidR="00624366" w:rsidRPr="005D0129" w:rsidRDefault="00624366" w:rsidP="00010F05">
            <w:pPr>
              <w:pStyle w:val="TableTextRight"/>
            </w:pPr>
            <w:r w:rsidRPr="005D0129">
              <w:t>41.9%</w:t>
            </w:r>
          </w:p>
        </w:tc>
      </w:tr>
      <w:tr w:rsidR="008C435D" w:rsidRPr="005D0129" w14:paraId="2FA60086" w14:textId="4B5564B6"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039E766F" w14:textId="2FFE0025" w:rsidR="00624366" w:rsidRPr="005D0129" w:rsidRDefault="00624366" w:rsidP="00624366">
            <w:pPr>
              <w:pStyle w:val="TableTextLeft"/>
            </w:pPr>
            <w:r w:rsidRPr="005D0129">
              <w:t>Arts &amp; Recreation Services</w:t>
            </w:r>
          </w:p>
        </w:tc>
        <w:tc>
          <w:tcPr>
            <w:tcW w:w="2439" w:type="dxa"/>
            <w:vAlign w:val="center"/>
          </w:tcPr>
          <w:p w14:paraId="7132318D" w14:textId="45FC5098" w:rsidR="00624366" w:rsidRPr="005D0129" w:rsidRDefault="00624366" w:rsidP="00010F05">
            <w:pPr>
              <w:pStyle w:val="TableTextRight"/>
            </w:pPr>
            <w:r w:rsidRPr="005D0129">
              <w:t>55 (1.8%)</w:t>
            </w:r>
          </w:p>
        </w:tc>
        <w:tc>
          <w:tcPr>
            <w:tcW w:w="2440" w:type="dxa"/>
            <w:vAlign w:val="center"/>
          </w:tcPr>
          <w:p w14:paraId="2DA3D507" w14:textId="7BACBADF" w:rsidR="00624366" w:rsidRPr="005D0129" w:rsidRDefault="00624366" w:rsidP="00010F05">
            <w:pPr>
              <w:pStyle w:val="TableTextRight"/>
            </w:pPr>
            <w:r w:rsidRPr="005D0129">
              <w:t>336</w:t>
            </w:r>
          </w:p>
        </w:tc>
        <w:tc>
          <w:tcPr>
            <w:tcW w:w="2440" w:type="dxa"/>
            <w:vAlign w:val="center"/>
          </w:tcPr>
          <w:p w14:paraId="0130291D" w14:textId="2C89ED2E" w:rsidR="00624366" w:rsidRPr="005D0129" w:rsidRDefault="00624366" w:rsidP="00010F05">
            <w:pPr>
              <w:pStyle w:val="TableTextRight"/>
            </w:pPr>
            <w:r w:rsidRPr="005D0129">
              <w:t>25</w:t>
            </w:r>
          </w:p>
        </w:tc>
        <w:tc>
          <w:tcPr>
            <w:tcW w:w="2440" w:type="dxa"/>
            <w:vAlign w:val="center"/>
          </w:tcPr>
          <w:p w14:paraId="26056652" w14:textId="425CD467" w:rsidR="00624366" w:rsidRPr="005D0129" w:rsidRDefault="00624366" w:rsidP="00010F05">
            <w:pPr>
              <w:pStyle w:val="TableTextRight"/>
            </w:pPr>
            <w:r w:rsidRPr="005D0129">
              <w:t>37.1%</w:t>
            </w:r>
          </w:p>
        </w:tc>
      </w:tr>
      <w:tr w:rsidR="00010F05" w:rsidRPr="005D0129" w14:paraId="69C917FA" w14:textId="77777777" w:rsidTr="008C435D">
        <w:trPr>
          <w:trHeight w:val="312"/>
        </w:trPr>
        <w:tc>
          <w:tcPr>
            <w:tcW w:w="4243" w:type="dxa"/>
            <w:vAlign w:val="center"/>
          </w:tcPr>
          <w:p w14:paraId="397015B8" w14:textId="3E584669" w:rsidR="00624366" w:rsidRPr="005D0129" w:rsidRDefault="00624366" w:rsidP="00624366">
            <w:pPr>
              <w:pStyle w:val="TableTextLeft"/>
            </w:pPr>
            <w:r w:rsidRPr="005D0129">
              <w:t>Accommodation &amp; Food Services</w:t>
            </w:r>
          </w:p>
        </w:tc>
        <w:tc>
          <w:tcPr>
            <w:tcW w:w="2439" w:type="dxa"/>
            <w:vAlign w:val="center"/>
          </w:tcPr>
          <w:p w14:paraId="1BFDF748" w14:textId="7E4D5353" w:rsidR="00624366" w:rsidRPr="005D0129" w:rsidRDefault="00624366" w:rsidP="00010F05">
            <w:pPr>
              <w:pStyle w:val="TableTextRight"/>
            </w:pPr>
            <w:r w:rsidRPr="005D0129">
              <w:t>43 (1.4%)</w:t>
            </w:r>
          </w:p>
        </w:tc>
        <w:tc>
          <w:tcPr>
            <w:tcW w:w="2440" w:type="dxa"/>
            <w:vAlign w:val="center"/>
          </w:tcPr>
          <w:p w14:paraId="79044AE9" w14:textId="7782842C" w:rsidR="00624366" w:rsidRPr="005D0129" w:rsidRDefault="00624366" w:rsidP="00010F05">
            <w:pPr>
              <w:pStyle w:val="TableTextRight"/>
            </w:pPr>
            <w:r w:rsidRPr="005D0129">
              <w:t>475</w:t>
            </w:r>
          </w:p>
        </w:tc>
        <w:tc>
          <w:tcPr>
            <w:tcW w:w="2440" w:type="dxa"/>
            <w:vAlign w:val="center"/>
          </w:tcPr>
          <w:p w14:paraId="34BAD0F8" w14:textId="651570E9" w:rsidR="00624366" w:rsidRPr="005D0129" w:rsidRDefault="00624366" w:rsidP="00010F05">
            <w:pPr>
              <w:pStyle w:val="TableTextRight"/>
            </w:pPr>
            <w:r w:rsidRPr="005D0129">
              <w:t>25</w:t>
            </w:r>
          </w:p>
        </w:tc>
        <w:tc>
          <w:tcPr>
            <w:tcW w:w="2440" w:type="dxa"/>
            <w:vAlign w:val="center"/>
          </w:tcPr>
          <w:p w14:paraId="7DEF8B8A" w14:textId="02998E43" w:rsidR="00624366" w:rsidRPr="005D0129" w:rsidRDefault="00624366" w:rsidP="00010F05">
            <w:pPr>
              <w:pStyle w:val="TableTextRight"/>
            </w:pPr>
            <w:r w:rsidRPr="005D0129">
              <w:t>32.7%</w:t>
            </w:r>
          </w:p>
        </w:tc>
      </w:tr>
      <w:tr w:rsidR="008C435D" w:rsidRPr="005D0129" w14:paraId="15AEEF84" w14:textId="77777777"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62A9D2EC" w14:textId="5B92021C" w:rsidR="00624366" w:rsidRPr="005D0129" w:rsidRDefault="00624366" w:rsidP="00624366">
            <w:pPr>
              <w:pStyle w:val="TableTextLeft"/>
            </w:pPr>
            <w:r w:rsidRPr="005D0129">
              <w:t>Public Administration &amp; Safety</w:t>
            </w:r>
          </w:p>
        </w:tc>
        <w:tc>
          <w:tcPr>
            <w:tcW w:w="2439" w:type="dxa"/>
            <w:vAlign w:val="center"/>
          </w:tcPr>
          <w:p w14:paraId="280D804D" w14:textId="57F35E3B" w:rsidR="00624366" w:rsidRPr="005D0129" w:rsidRDefault="00624366" w:rsidP="00010F05">
            <w:pPr>
              <w:pStyle w:val="TableTextRight"/>
            </w:pPr>
            <w:r w:rsidRPr="005D0129">
              <w:t>34 (1.1%)</w:t>
            </w:r>
          </w:p>
        </w:tc>
        <w:tc>
          <w:tcPr>
            <w:tcW w:w="2440" w:type="dxa"/>
            <w:vAlign w:val="center"/>
          </w:tcPr>
          <w:p w14:paraId="28FFD846" w14:textId="2E72D8A0" w:rsidR="00624366" w:rsidRPr="005D0129" w:rsidRDefault="00624366" w:rsidP="00010F05">
            <w:pPr>
              <w:pStyle w:val="TableTextRight"/>
            </w:pPr>
            <w:r w:rsidRPr="005D0129">
              <w:t>86</w:t>
            </w:r>
          </w:p>
        </w:tc>
        <w:tc>
          <w:tcPr>
            <w:tcW w:w="2440" w:type="dxa"/>
            <w:vAlign w:val="center"/>
          </w:tcPr>
          <w:p w14:paraId="7A18C826" w14:textId="06ED3EC8" w:rsidR="00624366" w:rsidRPr="005D0129" w:rsidRDefault="00624366" w:rsidP="00010F05">
            <w:pPr>
              <w:pStyle w:val="TableTextRight"/>
            </w:pPr>
            <w:r w:rsidRPr="005D0129">
              <w:t>23</w:t>
            </w:r>
          </w:p>
        </w:tc>
        <w:tc>
          <w:tcPr>
            <w:tcW w:w="2440" w:type="dxa"/>
            <w:vAlign w:val="center"/>
          </w:tcPr>
          <w:p w14:paraId="23C34807" w14:textId="568E2B2A" w:rsidR="00624366" w:rsidRPr="005D0129" w:rsidRDefault="00624366" w:rsidP="00010F05">
            <w:pPr>
              <w:pStyle w:val="TableTextRight"/>
            </w:pPr>
            <w:r w:rsidRPr="005D0129">
              <w:t>31.0%</w:t>
            </w:r>
          </w:p>
        </w:tc>
      </w:tr>
      <w:tr w:rsidR="00010F05" w:rsidRPr="005D0129" w14:paraId="046C2063" w14:textId="77777777" w:rsidTr="008C435D">
        <w:trPr>
          <w:trHeight w:val="312"/>
        </w:trPr>
        <w:tc>
          <w:tcPr>
            <w:tcW w:w="4243" w:type="dxa"/>
            <w:vAlign w:val="center"/>
          </w:tcPr>
          <w:p w14:paraId="73274C8E" w14:textId="0B67CF75" w:rsidR="00624366" w:rsidRPr="005D0129" w:rsidRDefault="00624366" w:rsidP="00624366">
            <w:pPr>
              <w:pStyle w:val="TableTextLeft"/>
            </w:pPr>
            <w:r w:rsidRPr="005D0129">
              <w:t>Other Services</w:t>
            </w:r>
          </w:p>
        </w:tc>
        <w:tc>
          <w:tcPr>
            <w:tcW w:w="2439" w:type="dxa"/>
            <w:vAlign w:val="center"/>
          </w:tcPr>
          <w:p w14:paraId="45B0C6DE" w14:textId="271AC00D" w:rsidR="00624366" w:rsidRPr="005D0129" w:rsidRDefault="00624366" w:rsidP="00010F05">
            <w:pPr>
              <w:pStyle w:val="TableTextRight"/>
            </w:pPr>
            <w:r w:rsidRPr="005D0129">
              <w:t>28 (0.9%)</w:t>
            </w:r>
          </w:p>
        </w:tc>
        <w:tc>
          <w:tcPr>
            <w:tcW w:w="2440" w:type="dxa"/>
            <w:vAlign w:val="center"/>
          </w:tcPr>
          <w:p w14:paraId="29CA000D" w14:textId="48468BBD" w:rsidR="00624366" w:rsidRPr="005D0129" w:rsidRDefault="00624366" w:rsidP="00010F05">
            <w:pPr>
              <w:pStyle w:val="TableTextRight"/>
            </w:pPr>
            <w:r w:rsidRPr="005D0129">
              <w:t>186</w:t>
            </w:r>
          </w:p>
        </w:tc>
        <w:tc>
          <w:tcPr>
            <w:tcW w:w="2440" w:type="dxa"/>
            <w:vAlign w:val="center"/>
          </w:tcPr>
          <w:p w14:paraId="4570BE8D" w14:textId="556BA368" w:rsidR="00624366" w:rsidRPr="005D0129" w:rsidRDefault="00624366" w:rsidP="00010F05">
            <w:pPr>
              <w:pStyle w:val="TableTextRight"/>
            </w:pPr>
            <w:r w:rsidRPr="005D0129">
              <w:t>26</w:t>
            </w:r>
          </w:p>
        </w:tc>
        <w:tc>
          <w:tcPr>
            <w:tcW w:w="2440" w:type="dxa"/>
            <w:vAlign w:val="center"/>
          </w:tcPr>
          <w:p w14:paraId="114AFA2C" w14:textId="1D68AD24" w:rsidR="00624366" w:rsidRPr="005D0129" w:rsidRDefault="00624366" w:rsidP="00010F05">
            <w:pPr>
              <w:pStyle w:val="TableTextRight"/>
            </w:pPr>
            <w:r w:rsidRPr="005D0129">
              <w:t>37.6%</w:t>
            </w:r>
          </w:p>
        </w:tc>
      </w:tr>
      <w:tr w:rsidR="008C435D" w:rsidRPr="005D0129" w14:paraId="08C90ECC" w14:textId="77777777" w:rsidTr="008C435D">
        <w:trPr>
          <w:cnfStyle w:val="000000100000" w:firstRow="0" w:lastRow="0" w:firstColumn="0" w:lastColumn="0" w:oddVBand="0" w:evenVBand="0" w:oddHBand="1" w:evenHBand="0" w:firstRowFirstColumn="0" w:firstRowLastColumn="0" w:lastRowFirstColumn="0" w:lastRowLastColumn="0"/>
          <w:trHeight w:val="312"/>
        </w:trPr>
        <w:tc>
          <w:tcPr>
            <w:tcW w:w="4243" w:type="dxa"/>
            <w:vAlign w:val="center"/>
          </w:tcPr>
          <w:p w14:paraId="4323247F" w14:textId="288E6278" w:rsidR="00624366" w:rsidRPr="005D0129" w:rsidRDefault="00624366" w:rsidP="00624366">
            <w:pPr>
              <w:pStyle w:val="TableTextLeft"/>
            </w:pPr>
            <w:r w:rsidRPr="005D0129">
              <w:t>Education &amp; Training</w:t>
            </w:r>
          </w:p>
        </w:tc>
        <w:tc>
          <w:tcPr>
            <w:tcW w:w="2439" w:type="dxa"/>
            <w:vAlign w:val="center"/>
          </w:tcPr>
          <w:p w14:paraId="363BEE42" w14:textId="53C7082E" w:rsidR="00624366" w:rsidRPr="005D0129" w:rsidRDefault="00624366" w:rsidP="00010F05">
            <w:pPr>
              <w:pStyle w:val="TableTextRight"/>
            </w:pPr>
            <w:r w:rsidRPr="005D0129">
              <w:t>17 (0.5%)</w:t>
            </w:r>
          </w:p>
        </w:tc>
        <w:tc>
          <w:tcPr>
            <w:tcW w:w="2440" w:type="dxa"/>
            <w:vAlign w:val="center"/>
          </w:tcPr>
          <w:p w14:paraId="343036D0" w14:textId="1591BF34" w:rsidR="00624366" w:rsidRPr="005D0129" w:rsidRDefault="00624366" w:rsidP="00010F05">
            <w:pPr>
              <w:pStyle w:val="TableTextRight"/>
            </w:pPr>
            <w:r w:rsidRPr="005D0129">
              <w:t>137</w:t>
            </w:r>
          </w:p>
        </w:tc>
        <w:tc>
          <w:tcPr>
            <w:tcW w:w="2440" w:type="dxa"/>
            <w:vAlign w:val="center"/>
          </w:tcPr>
          <w:p w14:paraId="38B3A56D" w14:textId="1360F659" w:rsidR="00624366" w:rsidRPr="005D0129" w:rsidRDefault="00624366" w:rsidP="00010F05">
            <w:pPr>
              <w:pStyle w:val="TableTextRight"/>
            </w:pPr>
            <w:r w:rsidRPr="005D0129">
              <w:t>20</w:t>
            </w:r>
          </w:p>
        </w:tc>
        <w:tc>
          <w:tcPr>
            <w:tcW w:w="2440" w:type="dxa"/>
            <w:vAlign w:val="center"/>
          </w:tcPr>
          <w:p w14:paraId="5EDE1499" w14:textId="09D7809D" w:rsidR="00624366" w:rsidRPr="005D0129" w:rsidRDefault="00624366" w:rsidP="00010F05">
            <w:pPr>
              <w:pStyle w:val="TableTextRight"/>
            </w:pPr>
            <w:r w:rsidRPr="005D0129">
              <w:t>39.3%</w:t>
            </w:r>
          </w:p>
        </w:tc>
      </w:tr>
      <w:tr w:rsidR="00010F05" w:rsidRPr="005D0129" w14:paraId="5401B948" w14:textId="77777777" w:rsidTr="008C435D">
        <w:trPr>
          <w:trHeight w:val="312"/>
        </w:trPr>
        <w:tc>
          <w:tcPr>
            <w:tcW w:w="4243" w:type="dxa"/>
            <w:vAlign w:val="center"/>
          </w:tcPr>
          <w:p w14:paraId="2158593A" w14:textId="381C4725" w:rsidR="00624366" w:rsidRPr="005D0129" w:rsidRDefault="00624366" w:rsidP="00624366">
            <w:pPr>
              <w:pStyle w:val="TableTextLeft"/>
            </w:pPr>
            <w:r w:rsidRPr="005D0129">
              <w:t>All industries</w:t>
            </w:r>
          </w:p>
        </w:tc>
        <w:tc>
          <w:tcPr>
            <w:tcW w:w="2439" w:type="dxa"/>
            <w:vAlign w:val="center"/>
          </w:tcPr>
          <w:p w14:paraId="5563CA41" w14:textId="2FE23933" w:rsidR="00624366" w:rsidRPr="005D0129" w:rsidRDefault="00624366" w:rsidP="00010F05">
            <w:pPr>
              <w:pStyle w:val="TableTextRight"/>
            </w:pPr>
            <w:r w:rsidRPr="005D0129">
              <w:rPr>
                <w:rFonts w:eastAsia="Aptos" w:cs="Calibri"/>
                <w:b/>
                <w:szCs w:val="18"/>
              </w:rPr>
              <w:t>3,098 (100%)</w:t>
            </w:r>
          </w:p>
        </w:tc>
        <w:tc>
          <w:tcPr>
            <w:tcW w:w="2440" w:type="dxa"/>
            <w:vAlign w:val="center"/>
          </w:tcPr>
          <w:p w14:paraId="705304B0" w14:textId="14B91C71" w:rsidR="00624366" w:rsidRPr="005D0129" w:rsidRDefault="00624366" w:rsidP="00010F05">
            <w:pPr>
              <w:pStyle w:val="TableTextRight"/>
            </w:pPr>
            <w:r w:rsidRPr="005D0129">
              <w:rPr>
                <w:rFonts w:ascii="Aptos Body" w:hAnsi="Aptos Body" w:cs="Aptos Body"/>
                <w:b/>
                <w:szCs w:val="18"/>
              </w:rPr>
              <w:t>16,741</w:t>
            </w:r>
          </w:p>
        </w:tc>
        <w:tc>
          <w:tcPr>
            <w:tcW w:w="2440" w:type="dxa"/>
            <w:vAlign w:val="center"/>
          </w:tcPr>
          <w:p w14:paraId="3BE7D56A" w14:textId="1C84D665" w:rsidR="00624366" w:rsidRPr="005D0129" w:rsidRDefault="00624366" w:rsidP="00010F05">
            <w:pPr>
              <w:pStyle w:val="TableTextRight"/>
            </w:pPr>
            <w:r w:rsidRPr="005D0129" w:rsidDel="00704D2E">
              <w:rPr>
                <w:rFonts w:cs="Calibri"/>
                <w:b/>
                <w:szCs w:val="18"/>
              </w:rPr>
              <w:t>29</w:t>
            </w:r>
          </w:p>
        </w:tc>
        <w:tc>
          <w:tcPr>
            <w:tcW w:w="2440" w:type="dxa"/>
            <w:vAlign w:val="center"/>
          </w:tcPr>
          <w:p w14:paraId="47F3188D" w14:textId="2F21B523" w:rsidR="00624366" w:rsidRPr="005D0129" w:rsidRDefault="00624366" w:rsidP="00010F05">
            <w:pPr>
              <w:pStyle w:val="TableTextRight"/>
            </w:pPr>
            <w:r w:rsidRPr="005D0129" w:rsidDel="00715901">
              <w:rPr>
                <w:rFonts w:cs="Calibri"/>
                <w:b/>
                <w:szCs w:val="18"/>
              </w:rPr>
              <w:t>28.7%</w:t>
            </w:r>
          </w:p>
        </w:tc>
      </w:tr>
    </w:tbl>
    <w:p w14:paraId="69D84601" w14:textId="0FBA997D" w:rsidR="001D6417" w:rsidRDefault="004B6FD0" w:rsidP="004B6FD0">
      <w:pPr>
        <w:pStyle w:val="TableMainHeading"/>
      </w:pPr>
      <w:r w:rsidRPr="002F5F97">
        <w:t>Table 4: Payment times reports received by 31 December 2025, Reporting</w:t>
      </w:r>
      <w:r w:rsidR="00823145">
        <w:t xml:space="preserve"> </w:t>
      </w:r>
      <w:r w:rsidRPr="002F5F97">
        <w:t>Cycles 1 to 10</w:t>
      </w:r>
    </w:p>
    <w:tbl>
      <w:tblPr>
        <w:tblStyle w:val="TableGrid"/>
        <w:tblW w:w="5001" w:type="pct"/>
        <w:tblLayout w:type="fixed"/>
        <w:tblLook w:val="04A0" w:firstRow="1" w:lastRow="0" w:firstColumn="1" w:lastColumn="0" w:noHBand="0" w:noVBand="1"/>
      </w:tblPr>
      <w:tblGrid>
        <w:gridCol w:w="2001"/>
        <w:gridCol w:w="2001"/>
        <w:gridCol w:w="1810"/>
        <w:gridCol w:w="1986"/>
        <w:gridCol w:w="1840"/>
        <w:gridCol w:w="2367"/>
        <w:gridCol w:w="2000"/>
      </w:tblGrid>
      <w:tr w:rsidR="00EF7E74" w:rsidRPr="005D0129" w14:paraId="18F93A0E" w14:textId="77777777" w:rsidTr="00596C01">
        <w:trPr>
          <w:cnfStyle w:val="100000000000" w:firstRow="1" w:lastRow="0" w:firstColumn="0" w:lastColumn="0" w:oddVBand="0" w:evenVBand="0" w:oddHBand="0" w:evenHBand="0" w:firstRowFirstColumn="0" w:firstRowLastColumn="0" w:lastRowFirstColumn="0" w:lastRowLastColumn="0"/>
          <w:trHeight w:val="709"/>
        </w:trPr>
        <w:tc>
          <w:tcPr>
            <w:tcW w:w="714" w:type="pct"/>
            <w:tcMar>
              <w:top w:w="108" w:type="dxa"/>
              <w:bottom w:w="108" w:type="dxa"/>
            </w:tcMar>
            <w:vAlign w:val="bottom"/>
          </w:tcPr>
          <w:p w14:paraId="18A308A9" w14:textId="6D97CDF4" w:rsidR="00FE0D13" w:rsidRPr="005D0129" w:rsidRDefault="00FE0D13" w:rsidP="00596C01">
            <w:pPr>
              <w:pStyle w:val="TableColumnHeadingLeft"/>
            </w:pPr>
            <w:r w:rsidRPr="005D0129">
              <w:rPr>
                <w:rFonts w:eastAsia="Aptos"/>
              </w:rPr>
              <w:t xml:space="preserve">Reporting </w:t>
            </w:r>
            <w:r w:rsidR="00990681">
              <w:rPr>
                <w:rFonts w:eastAsia="Aptos"/>
              </w:rPr>
              <w:t>C</w:t>
            </w:r>
            <w:r w:rsidRPr="005D0129">
              <w:rPr>
                <w:rFonts w:eastAsia="Aptos"/>
              </w:rPr>
              <w:t>ycle</w:t>
            </w:r>
          </w:p>
        </w:tc>
        <w:tc>
          <w:tcPr>
            <w:tcW w:w="714" w:type="pct"/>
            <w:tcMar>
              <w:top w:w="108" w:type="dxa"/>
              <w:bottom w:w="108" w:type="dxa"/>
            </w:tcMar>
            <w:vAlign w:val="bottom"/>
          </w:tcPr>
          <w:p w14:paraId="41900533" w14:textId="39AC8953" w:rsidR="00FE0D13" w:rsidRPr="009152EA" w:rsidRDefault="00FE0D13" w:rsidP="009152EA">
            <w:pPr>
              <w:pStyle w:val="TableColumnHeadingLeft"/>
            </w:pPr>
            <w:r w:rsidRPr="009152EA">
              <w:rPr>
                <w:rFonts w:eastAsia="Aptos"/>
              </w:rPr>
              <w:t>Cycle range</w:t>
            </w:r>
          </w:p>
        </w:tc>
        <w:tc>
          <w:tcPr>
            <w:tcW w:w="646" w:type="pct"/>
            <w:tcMar>
              <w:top w:w="108" w:type="dxa"/>
              <w:bottom w:w="108" w:type="dxa"/>
            </w:tcMar>
            <w:vAlign w:val="bottom"/>
          </w:tcPr>
          <w:p w14:paraId="4D244C25" w14:textId="2979C77E" w:rsidR="00FE0D13" w:rsidRPr="005D0129" w:rsidRDefault="00FE0D13" w:rsidP="00ED1DFF">
            <w:pPr>
              <w:pStyle w:val="TableColumnHeadingRight"/>
            </w:pPr>
            <w:r w:rsidRPr="005D0129">
              <w:rPr>
                <w:rFonts w:eastAsia="Aptos"/>
              </w:rPr>
              <w:t>Number of reports</w:t>
            </w:r>
            <w:r w:rsidR="00596C01">
              <w:rPr>
                <w:rFonts w:eastAsia="Aptos"/>
              </w:rPr>
              <w:br/>
            </w:r>
            <w:r w:rsidR="00A75349">
              <w:rPr>
                <w:rFonts w:eastAsia="Aptos"/>
              </w:rPr>
              <w:t xml:space="preserve"> </w:t>
            </w:r>
            <w:r w:rsidR="006553C2">
              <w:rPr>
                <w:rFonts w:eastAsia="Aptos"/>
              </w:rPr>
              <w:t>(No.)</w:t>
            </w:r>
          </w:p>
        </w:tc>
        <w:tc>
          <w:tcPr>
            <w:tcW w:w="709" w:type="pct"/>
            <w:tcMar>
              <w:top w:w="108" w:type="dxa"/>
              <w:bottom w:w="108" w:type="dxa"/>
            </w:tcMar>
            <w:vAlign w:val="bottom"/>
          </w:tcPr>
          <w:p w14:paraId="048A0063" w14:textId="7FD84151" w:rsidR="00FE0D13" w:rsidRPr="005D0129" w:rsidRDefault="00FE0D13" w:rsidP="00ED1DFF">
            <w:pPr>
              <w:pStyle w:val="TableColumnHeadingRight"/>
            </w:pPr>
            <w:r w:rsidRPr="005D0129">
              <w:rPr>
                <w:rFonts w:eastAsia="Aptos"/>
              </w:rPr>
              <w:t>Average standard payment terms</w:t>
            </w:r>
            <w:r w:rsidR="006553C2">
              <w:rPr>
                <w:rFonts w:eastAsia="Aptos"/>
              </w:rPr>
              <w:t xml:space="preserve"> (days)</w:t>
            </w:r>
          </w:p>
        </w:tc>
        <w:tc>
          <w:tcPr>
            <w:tcW w:w="657" w:type="pct"/>
            <w:tcMar>
              <w:top w:w="108" w:type="dxa"/>
              <w:bottom w:w="108" w:type="dxa"/>
            </w:tcMar>
            <w:vAlign w:val="bottom"/>
          </w:tcPr>
          <w:p w14:paraId="3D3D7A61" w14:textId="38332950" w:rsidR="00FE0D13" w:rsidRPr="005D0129" w:rsidRDefault="00FE0D13" w:rsidP="00ED1DFF">
            <w:pPr>
              <w:pStyle w:val="TableColumnHeadingRight"/>
            </w:pPr>
            <w:r w:rsidRPr="005D0129">
              <w:rPr>
                <w:rFonts w:eastAsia="Aptos"/>
              </w:rPr>
              <w:t>Average common payment terms</w:t>
            </w:r>
            <w:r w:rsidR="006553C2">
              <w:rPr>
                <w:rFonts w:eastAsia="Aptos"/>
              </w:rPr>
              <w:t xml:space="preserve"> (days)</w:t>
            </w:r>
          </w:p>
        </w:tc>
        <w:tc>
          <w:tcPr>
            <w:tcW w:w="845" w:type="pct"/>
            <w:tcMar>
              <w:top w:w="108" w:type="dxa"/>
              <w:bottom w:w="108" w:type="dxa"/>
            </w:tcMar>
            <w:vAlign w:val="bottom"/>
          </w:tcPr>
          <w:p w14:paraId="7A8CBFB7" w14:textId="14FC6BB7" w:rsidR="00FE0D13" w:rsidRPr="005D0129" w:rsidRDefault="00FE0D13" w:rsidP="00ED1DFF">
            <w:pPr>
              <w:pStyle w:val="TableColumnHeadingRight"/>
            </w:pPr>
            <w:r w:rsidRPr="005D0129">
              <w:rPr>
                <w:rFonts w:eastAsia="Aptos"/>
              </w:rPr>
              <w:t>Average proportion of procurement value with small business</w:t>
            </w:r>
            <w:r w:rsidR="000243E4">
              <w:rPr>
                <w:rFonts w:eastAsia="Aptos"/>
              </w:rPr>
              <w:t xml:space="preserve"> </w:t>
            </w:r>
            <w:r w:rsidR="006553C2">
              <w:rPr>
                <w:rFonts w:eastAsia="Aptos"/>
              </w:rPr>
              <w:t>(%)</w:t>
            </w:r>
          </w:p>
        </w:tc>
        <w:tc>
          <w:tcPr>
            <w:tcW w:w="714" w:type="pct"/>
            <w:tcMar>
              <w:top w:w="108" w:type="dxa"/>
              <w:bottom w:w="108" w:type="dxa"/>
            </w:tcMar>
            <w:vAlign w:val="bottom"/>
          </w:tcPr>
          <w:p w14:paraId="04A3BF94" w14:textId="00569FA6" w:rsidR="00FE0D13" w:rsidRPr="005D0129" w:rsidRDefault="00FE0D13" w:rsidP="00ED1DFF">
            <w:pPr>
              <w:pStyle w:val="TableColumnHeadingRight"/>
            </w:pPr>
            <w:r w:rsidRPr="005D0129">
              <w:rPr>
                <w:rFonts w:eastAsia="Aptos"/>
              </w:rPr>
              <w:t>Average proportion of invoices paid within 30</w:t>
            </w:r>
            <w:r w:rsidR="006553C2">
              <w:rPr>
                <w:rFonts w:eastAsia="Aptos"/>
              </w:rPr>
              <w:t xml:space="preserve"> </w:t>
            </w:r>
            <w:r w:rsidRPr="005D0129">
              <w:rPr>
                <w:rFonts w:eastAsia="Aptos"/>
              </w:rPr>
              <w:t>days</w:t>
            </w:r>
            <w:r w:rsidR="006553C2">
              <w:rPr>
                <w:rFonts w:eastAsia="Aptos"/>
              </w:rPr>
              <w:t xml:space="preserve"> (%)</w:t>
            </w:r>
          </w:p>
        </w:tc>
      </w:tr>
      <w:tr w:rsidR="00EF7E74" w:rsidRPr="005D0129" w14:paraId="2823FFEC" w14:textId="77777777" w:rsidTr="00EF7E74">
        <w:trPr>
          <w:cnfStyle w:val="000000100000" w:firstRow="0" w:lastRow="0" w:firstColumn="0" w:lastColumn="0" w:oddVBand="0" w:evenVBand="0" w:oddHBand="1" w:evenHBand="0" w:firstRowFirstColumn="0" w:firstRowLastColumn="0" w:lastRowFirstColumn="0" w:lastRowLastColumn="0"/>
          <w:trHeight w:hRule="exact" w:val="312"/>
        </w:trPr>
        <w:tc>
          <w:tcPr>
            <w:tcW w:w="714" w:type="pct"/>
            <w:vAlign w:val="center"/>
          </w:tcPr>
          <w:p w14:paraId="455FADAA" w14:textId="5FA88171" w:rsidR="006F4C21" w:rsidRPr="005D0129" w:rsidRDefault="006F4C21" w:rsidP="00E27FBA">
            <w:pPr>
              <w:pStyle w:val="TableTextLeft"/>
            </w:pPr>
            <w:r w:rsidRPr="005D0129">
              <w:t>Cycle 1</w:t>
            </w:r>
          </w:p>
        </w:tc>
        <w:tc>
          <w:tcPr>
            <w:tcW w:w="714" w:type="pct"/>
            <w:vAlign w:val="center"/>
          </w:tcPr>
          <w:p w14:paraId="02961C57" w14:textId="74DF4D28" w:rsidR="006F4C21" w:rsidRPr="005D0129" w:rsidRDefault="006F4C21" w:rsidP="00ED1DFF">
            <w:pPr>
              <w:pStyle w:val="TableTextLeft"/>
            </w:pPr>
            <w:r w:rsidRPr="005D0129">
              <w:t>1 Jan</w:t>
            </w:r>
            <w:r w:rsidR="00CF4806" w:rsidRPr="005D0129">
              <w:t> </w:t>
            </w:r>
            <w:r w:rsidRPr="005D0129">
              <w:t>–</w:t>
            </w:r>
            <w:r w:rsidR="00CF4806" w:rsidRPr="005D0129">
              <w:t> </w:t>
            </w:r>
            <w:r w:rsidRPr="005D0129">
              <w:t>30 Jun 2021</w:t>
            </w:r>
          </w:p>
        </w:tc>
        <w:tc>
          <w:tcPr>
            <w:tcW w:w="646" w:type="pct"/>
            <w:vAlign w:val="center"/>
          </w:tcPr>
          <w:p w14:paraId="53C9F751" w14:textId="23AADCF3" w:rsidR="006F4C21" w:rsidRPr="005D0129" w:rsidRDefault="006F4C21" w:rsidP="00ED1DFF">
            <w:pPr>
              <w:pStyle w:val="TableTextRight"/>
            </w:pPr>
            <w:r w:rsidRPr="005D0129">
              <w:t>6,355</w:t>
            </w:r>
          </w:p>
        </w:tc>
        <w:tc>
          <w:tcPr>
            <w:tcW w:w="709" w:type="pct"/>
            <w:vAlign w:val="center"/>
          </w:tcPr>
          <w:p w14:paraId="0621C3BC" w14:textId="6CEB12E4" w:rsidR="006F4C21" w:rsidRPr="005D0129" w:rsidRDefault="006F4C21" w:rsidP="00ED1DFF">
            <w:pPr>
              <w:pStyle w:val="TableTextRight"/>
            </w:pPr>
            <w:r w:rsidRPr="005D0129">
              <w:t>36.7</w:t>
            </w:r>
          </w:p>
        </w:tc>
        <w:tc>
          <w:tcPr>
            <w:tcW w:w="657" w:type="pct"/>
            <w:vAlign w:val="center"/>
          </w:tcPr>
          <w:p w14:paraId="585EBD97" w14:textId="1140B303" w:rsidR="006F4C21" w:rsidRPr="005D0129" w:rsidRDefault="006F4C21" w:rsidP="00ED1DFF">
            <w:pPr>
              <w:pStyle w:val="TableTextRight"/>
            </w:pPr>
            <w:r w:rsidRPr="005D0129">
              <w:t>n/a</w:t>
            </w:r>
          </w:p>
        </w:tc>
        <w:tc>
          <w:tcPr>
            <w:tcW w:w="845" w:type="pct"/>
            <w:vAlign w:val="center"/>
          </w:tcPr>
          <w:p w14:paraId="459C2FD5" w14:textId="7A202911" w:rsidR="006F4C21" w:rsidRPr="005D0129" w:rsidRDefault="006F4C21" w:rsidP="00ED1DFF">
            <w:pPr>
              <w:pStyle w:val="TableTextRight"/>
            </w:pPr>
            <w:r w:rsidRPr="005D0129">
              <w:t>29.3%</w:t>
            </w:r>
          </w:p>
        </w:tc>
        <w:tc>
          <w:tcPr>
            <w:tcW w:w="714" w:type="pct"/>
            <w:vAlign w:val="center"/>
          </w:tcPr>
          <w:p w14:paraId="13E3E063" w14:textId="3ED46D1C" w:rsidR="006F4C21" w:rsidRPr="005D0129" w:rsidRDefault="006F4C21" w:rsidP="00ED1DFF">
            <w:pPr>
              <w:pStyle w:val="TableTextRight"/>
            </w:pPr>
            <w:r w:rsidRPr="005D0129">
              <w:t>63.2%</w:t>
            </w:r>
          </w:p>
        </w:tc>
      </w:tr>
      <w:tr w:rsidR="006553C2" w:rsidRPr="005D0129" w14:paraId="5DBE37D6" w14:textId="77777777" w:rsidTr="00EF7E74">
        <w:trPr>
          <w:trHeight w:hRule="exact" w:val="312"/>
        </w:trPr>
        <w:tc>
          <w:tcPr>
            <w:tcW w:w="714" w:type="pct"/>
            <w:vAlign w:val="center"/>
          </w:tcPr>
          <w:p w14:paraId="081DBEEE" w14:textId="766A8F6E" w:rsidR="006F4C21" w:rsidRPr="005D0129" w:rsidRDefault="006F4C21" w:rsidP="00E27FBA">
            <w:pPr>
              <w:pStyle w:val="TableTextLeft"/>
            </w:pPr>
            <w:r w:rsidRPr="005D0129">
              <w:t>Cycle 2</w:t>
            </w:r>
          </w:p>
        </w:tc>
        <w:tc>
          <w:tcPr>
            <w:tcW w:w="714" w:type="pct"/>
            <w:vAlign w:val="center"/>
          </w:tcPr>
          <w:p w14:paraId="78325ACB" w14:textId="6F53C786" w:rsidR="006F4C21" w:rsidRPr="005D0129" w:rsidRDefault="006F4C21" w:rsidP="00ED1DFF">
            <w:pPr>
              <w:pStyle w:val="TableTextLeft"/>
            </w:pPr>
            <w:r w:rsidRPr="005D0129">
              <w:t>1 Jul</w:t>
            </w:r>
            <w:r w:rsidR="00CF4806" w:rsidRPr="005D0129">
              <w:t> </w:t>
            </w:r>
            <w:r w:rsidRPr="005D0129">
              <w:t>–</w:t>
            </w:r>
            <w:r w:rsidR="00CF4806" w:rsidRPr="005D0129">
              <w:t> </w:t>
            </w:r>
            <w:r w:rsidRPr="005D0129">
              <w:t>31 Dec 2021</w:t>
            </w:r>
          </w:p>
        </w:tc>
        <w:tc>
          <w:tcPr>
            <w:tcW w:w="646" w:type="pct"/>
            <w:vAlign w:val="center"/>
          </w:tcPr>
          <w:p w14:paraId="3ED20FA3" w14:textId="286932DF" w:rsidR="006F4C21" w:rsidRPr="005D0129" w:rsidRDefault="006F4C21" w:rsidP="00ED1DFF">
            <w:pPr>
              <w:pStyle w:val="TableTextRight"/>
            </w:pPr>
            <w:r w:rsidRPr="005D0129">
              <w:t>7,528</w:t>
            </w:r>
          </w:p>
        </w:tc>
        <w:tc>
          <w:tcPr>
            <w:tcW w:w="709" w:type="pct"/>
            <w:vAlign w:val="center"/>
          </w:tcPr>
          <w:p w14:paraId="1BAEBDA7" w14:textId="66D15214" w:rsidR="006F4C21" w:rsidRPr="005D0129" w:rsidRDefault="006F4C21" w:rsidP="00ED1DFF">
            <w:pPr>
              <w:pStyle w:val="TableTextRight"/>
            </w:pPr>
            <w:r w:rsidRPr="005D0129">
              <w:t>35.9</w:t>
            </w:r>
          </w:p>
        </w:tc>
        <w:tc>
          <w:tcPr>
            <w:tcW w:w="657" w:type="pct"/>
            <w:vAlign w:val="center"/>
          </w:tcPr>
          <w:p w14:paraId="19AE768E" w14:textId="0746A488" w:rsidR="006F4C21" w:rsidRPr="005D0129" w:rsidRDefault="006F4C21" w:rsidP="00ED1DFF">
            <w:pPr>
              <w:pStyle w:val="TableTextRight"/>
            </w:pPr>
            <w:r w:rsidRPr="005D0129">
              <w:t>n/a</w:t>
            </w:r>
          </w:p>
        </w:tc>
        <w:tc>
          <w:tcPr>
            <w:tcW w:w="845" w:type="pct"/>
            <w:vAlign w:val="center"/>
          </w:tcPr>
          <w:p w14:paraId="5506D29E" w14:textId="3C22B206" w:rsidR="006F4C21" w:rsidRPr="005D0129" w:rsidRDefault="006F4C21" w:rsidP="00ED1DFF">
            <w:pPr>
              <w:pStyle w:val="TableTextRight"/>
            </w:pPr>
            <w:r w:rsidRPr="005D0129">
              <w:t>29.7%</w:t>
            </w:r>
          </w:p>
        </w:tc>
        <w:tc>
          <w:tcPr>
            <w:tcW w:w="714" w:type="pct"/>
            <w:vAlign w:val="center"/>
          </w:tcPr>
          <w:p w14:paraId="01CAD79C" w14:textId="1A146800" w:rsidR="006F4C21" w:rsidRPr="005D0129" w:rsidRDefault="006F4C21" w:rsidP="00ED1DFF">
            <w:pPr>
              <w:pStyle w:val="TableTextRight"/>
            </w:pPr>
            <w:r w:rsidRPr="005D0129">
              <w:t>65.6%</w:t>
            </w:r>
          </w:p>
        </w:tc>
      </w:tr>
      <w:tr w:rsidR="00EF7E74" w:rsidRPr="005D0129" w14:paraId="1641D5C1" w14:textId="77777777" w:rsidTr="00EF7E74">
        <w:trPr>
          <w:cnfStyle w:val="000000100000" w:firstRow="0" w:lastRow="0" w:firstColumn="0" w:lastColumn="0" w:oddVBand="0" w:evenVBand="0" w:oddHBand="1" w:evenHBand="0" w:firstRowFirstColumn="0" w:firstRowLastColumn="0" w:lastRowFirstColumn="0" w:lastRowLastColumn="0"/>
          <w:trHeight w:hRule="exact" w:val="312"/>
        </w:trPr>
        <w:tc>
          <w:tcPr>
            <w:tcW w:w="714" w:type="pct"/>
            <w:vAlign w:val="center"/>
          </w:tcPr>
          <w:p w14:paraId="4ECDA490" w14:textId="1BE676FC" w:rsidR="006F4C21" w:rsidRPr="005D0129" w:rsidRDefault="006F4C21" w:rsidP="00E27FBA">
            <w:pPr>
              <w:pStyle w:val="TableTextLeft"/>
            </w:pPr>
            <w:r w:rsidRPr="005D0129">
              <w:t>Cycle 3</w:t>
            </w:r>
          </w:p>
        </w:tc>
        <w:tc>
          <w:tcPr>
            <w:tcW w:w="714" w:type="pct"/>
            <w:vAlign w:val="center"/>
          </w:tcPr>
          <w:p w14:paraId="422F1569" w14:textId="16F599AA" w:rsidR="006F4C21" w:rsidRPr="005D0129" w:rsidRDefault="006F4C21" w:rsidP="00ED1DFF">
            <w:pPr>
              <w:pStyle w:val="TableTextLeft"/>
            </w:pPr>
            <w:r w:rsidRPr="005D0129">
              <w:t>1 Jan</w:t>
            </w:r>
            <w:r w:rsidR="00CF4806" w:rsidRPr="005D0129">
              <w:t> </w:t>
            </w:r>
            <w:r w:rsidRPr="005D0129">
              <w:t>–</w:t>
            </w:r>
            <w:r w:rsidR="00CF4806" w:rsidRPr="005D0129">
              <w:t> </w:t>
            </w:r>
            <w:r w:rsidRPr="005D0129">
              <w:t>30 Jun 2022</w:t>
            </w:r>
          </w:p>
        </w:tc>
        <w:tc>
          <w:tcPr>
            <w:tcW w:w="646" w:type="pct"/>
            <w:vAlign w:val="center"/>
          </w:tcPr>
          <w:p w14:paraId="2355229B" w14:textId="1079C03A" w:rsidR="006F4C21" w:rsidRPr="005D0129" w:rsidRDefault="006F4C21" w:rsidP="00ED1DFF">
            <w:pPr>
              <w:pStyle w:val="TableTextRight"/>
            </w:pPr>
            <w:r w:rsidRPr="005D0129">
              <w:t>7,753</w:t>
            </w:r>
          </w:p>
        </w:tc>
        <w:tc>
          <w:tcPr>
            <w:tcW w:w="709" w:type="pct"/>
            <w:vAlign w:val="center"/>
          </w:tcPr>
          <w:p w14:paraId="141D5666" w14:textId="29D028E5" w:rsidR="006F4C21" w:rsidRPr="005D0129" w:rsidRDefault="006F4C21" w:rsidP="00ED1DFF">
            <w:pPr>
              <w:pStyle w:val="TableTextRight"/>
            </w:pPr>
            <w:r w:rsidRPr="005D0129">
              <w:t>35.4</w:t>
            </w:r>
          </w:p>
        </w:tc>
        <w:tc>
          <w:tcPr>
            <w:tcW w:w="657" w:type="pct"/>
            <w:vAlign w:val="center"/>
          </w:tcPr>
          <w:p w14:paraId="44884279" w14:textId="31BD9908" w:rsidR="006F4C21" w:rsidRPr="005D0129" w:rsidRDefault="006F4C21" w:rsidP="00ED1DFF">
            <w:pPr>
              <w:pStyle w:val="TableTextRight"/>
            </w:pPr>
            <w:r w:rsidRPr="005D0129">
              <w:t>n/a</w:t>
            </w:r>
          </w:p>
        </w:tc>
        <w:tc>
          <w:tcPr>
            <w:tcW w:w="845" w:type="pct"/>
            <w:vAlign w:val="center"/>
          </w:tcPr>
          <w:p w14:paraId="3A6AF75F" w14:textId="51A49874" w:rsidR="006F4C21" w:rsidRPr="005D0129" w:rsidRDefault="006F4C21" w:rsidP="00ED1DFF">
            <w:pPr>
              <w:pStyle w:val="TableTextRight"/>
            </w:pPr>
            <w:r w:rsidRPr="005D0129">
              <w:t>29.7%</w:t>
            </w:r>
          </w:p>
        </w:tc>
        <w:tc>
          <w:tcPr>
            <w:tcW w:w="714" w:type="pct"/>
            <w:vAlign w:val="center"/>
          </w:tcPr>
          <w:p w14:paraId="34A0C211" w14:textId="32797E19" w:rsidR="006F4C21" w:rsidRPr="005D0129" w:rsidRDefault="006F4C21" w:rsidP="00ED1DFF">
            <w:pPr>
              <w:pStyle w:val="TableTextRight"/>
            </w:pPr>
            <w:r w:rsidRPr="005D0129">
              <w:t>66.2%</w:t>
            </w:r>
          </w:p>
        </w:tc>
      </w:tr>
      <w:tr w:rsidR="006553C2" w:rsidRPr="005D0129" w14:paraId="56290CA3" w14:textId="77777777" w:rsidTr="00EF7E74">
        <w:trPr>
          <w:trHeight w:hRule="exact" w:val="312"/>
        </w:trPr>
        <w:tc>
          <w:tcPr>
            <w:tcW w:w="714" w:type="pct"/>
            <w:vAlign w:val="center"/>
          </w:tcPr>
          <w:p w14:paraId="76B1FCD7" w14:textId="79E74465" w:rsidR="006F4C21" w:rsidRPr="005D0129" w:rsidRDefault="006F4C21" w:rsidP="00E27FBA">
            <w:pPr>
              <w:pStyle w:val="TableTextLeft"/>
            </w:pPr>
            <w:r w:rsidRPr="005D0129">
              <w:t>Cycle 4</w:t>
            </w:r>
          </w:p>
        </w:tc>
        <w:tc>
          <w:tcPr>
            <w:tcW w:w="714" w:type="pct"/>
            <w:vAlign w:val="center"/>
          </w:tcPr>
          <w:p w14:paraId="253DB8FF" w14:textId="4246B26D" w:rsidR="006F4C21" w:rsidRPr="005D0129" w:rsidRDefault="006F4C21" w:rsidP="00ED1DFF">
            <w:pPr>
              <w:pStyle w:val="TableTextLeft"/>
            </w:pPr>
            <w:r w:rsidRPr="005D0129">
              <w:t>1 Jul</w:t>
            </w:r>
            <w:r w:rsidR="00CF4806" w:rsidRPr="005D0129">
              <w:t> </w:t>
            </w:r>
            <w:r w:rsidRPr="005D0129">
              <w:t>–</w:t>
            </w:r>
            <w:r w:rsidR="00CF4806" w:rsidRPr="005D0129">
              <w:t> </w:t>
            </w:r>
            <w:r w:rsidRPr="005D0129">
              <w:t>31 Dec 2022</w:t>
            </w:r>
          </w:p>
        </w:tc>
        <w:tc>
          <w:tcPr>
            <w:tcW w:w="646" w:type="pct"/>
            <w:vAlign w:val="center"/>
          </w:tcPr>
          <w:p w14:paraId="4BEECFE6" w14:textId="4E47E2E0" w:rsidR="006F4C21" w:rsidRPr="005D0129" w:rsidRDefault="006F4C21" w:rsidP="00ED1DFF">
            <w:pPr>
              <w:pStyle w:val="TableTextRight"/>
            </w:pPr>
            <w:r w:rsidRPr="005D0129">
              <w:t>7,965</w:t>
            </w:r>
          </w:p>
        </w:tc>
        <w:tc>
          <w:tcPr>
            <w:tcW w:w="709" w:type="pct"/>
            <w:vAlign w:val="center"/>
          </w:tcPr>
          <w:p w14:paraId="23AA8C6A" w14:textId="36D78E6E" w:rsidR="006F4C21" w:rsidRPr="005D0129" w:rsidRDefault="006F4C21" w:rsidP="00ED1DFF">
            <w:pPr>
              <w:pStyle w:val="TableTextRight"/>
            </w:pPr>
            <w:r w:rsidRPr="005D0129">
              <w:t>35.1</w:t>
            </w:r>
          </w:p>
        </w:tc>
        <w:tc>
          <w:tcPr>
            <w:tcW w:w="657" w:type="pct"/>
            <w:vAlign w:val="center"/>
          </w:tcPr>
          <w:p w14:paraId="60D97A86" w14:textId="067FF0C0" w:rsidR="006F4C21" w:rsidRPr="005D0129" w:rsidRDefault="006F4C21" w:rsidP="00ED1DFF">
            <w:pPr>
              <w:pStyle w:val="TableTextRight"/>
            </w:pPr>
            <w:r w:rsidRPr="005D0129">
              <w:t>n/a</w:t>
            </w:r>
          </w:p>
        </w:tc>
        <w:tc>
          <w:tcPr>
            <w:tcW w:w="845" w:type="pct"/>
            <w:vAlign w:val="center"/>
          </w:tcPr>
          <w:p w14:paraId="123E537B" w14:textId="7543A09B" w:rsidR="006F4C21" w:rsidRPr="005D0129" w:rsidRDefault="006F4C21" w:rsidP="00ED1DFF">
            <w:pPr>
              <w:pStyle w:val="TableTextRight"/>
            </w:pPr>
            <w:r w:rsidRPr="005D0129">
              <w:t>29.5%</w:t>
            </w:r>
          </w:p>
        </w:tc>
        <w:tc>
          <w:tcPr>
            <w:tcW w:w="714" w:type="pct"/>
            <w:vAlign w:val="center"/>
          </w:tcPr>
          <w:p w14:paraId="7C153F44" w14:textId="3E75569D" w:rsidR="006F4C21" w:rsidRPr="005D0129" w:rsidRDefault="006F4C21" w:rsidP="00ED1DFF">
            <w:pPr>
              <w:pStyle w:val="TableTextRight"/>
            </w:pPr>
            <w:r w:rsidRPr="005D0129">
              <w:t>67.5%</w:t>
            </w:r>
          </w:p>
        </w:tc>
      </w:tr>
      <w:tr w:rsidR="00EF7E74" w:rsidRPr="005D0129" w14:paraId="7DE27E0E" w14:textId="77777777" w:rsidTr="00EF7E74">
        <w:trPr>
          <w:cnfStyle w:val="000000100000" w:firstRow="0" w:lastRow="0" w:firstColumn="0" w:lastColumn="0" w:oddVBand="0" w:evenVBand="0" w:oddHBand="1" w:evenHBand="0" w:firstRowFirstColumn="0" w:firstRowLastColumn="0" w:lastRowFirstColumn="0" w:lastRowLastColumn="0"/>
          <w:trHeight w:hRule="exact" w:val="312"/>
        </w:trPr>
        <w:tc>
          <w:tcPr>
            <w:tcW w:w="714" w:type="pct"/>
            <w:vAlign w:val="center"/>
          </w:tcPr>
          <w:p w14:paraId="1379A207" w14:textId="3688AC10" w:rsidR="006F4C21" w:rsidRPr="005D0129" w:rsidRDefault="006F4C21" w:rsidP="00E27FBA">
            <w:pPr>
              <w:pStyle w:val="TableTextLeft"/>
            </w:pPr>
            <w:r w:rsidRPr="005D0129">
              <w:t>Cycle 5</w:t>
            </w:r>
          </w:p>
        </w:tc>
        <w:tc>
          <w:tcPr>
            <w:tcW w:w="714" w:type="pct"/>
            <w:vAlign w:val="center"/>
          </w:tcPr>
          <w:p w14:paraId="3C499F6A" w14:textId="393C2F4D" w:rsidR="006F4C21" w:rsidRPr="005D0129" w:rsidRDefault="006F4C21" w:rsidP="00ED1DFF">
            <w:pPr>
              <w:pStyle w:val="TableTextLeft"/>
            </w:pPr>
            <w:r w:rsidRPr="005D0129">
              <w:t>1 Jan</w:t>
            </w:r>
            <w:r w:rsidR="00CF4806" w:rsidRPr="005D0129">
              <w:t> </w:t>
            </w:r>
            <w:r w:rsidRPr="005D0129">
              <w:t>–</w:t>
            </w:r>
            <w:r w:rsidR="00CF4806" w:rsidRPr="005D0129">
              <w:t> </w:t>
            </w:r>
            <w:r w:rsidRPr="005D0129">
              <w:t>30 Jun 2023</w:t>
            </w:r>
          </w:p>
        </w:tc>
        <w:tc>
          <w:tcPr>
            <w:tcW w:w="646" w:type="pct"/>
            <w:vAlign w:val="center"/>
          </w:tcPr>
          <w:p w14:paraId="6F757A2D" w14:textId="3DED7782" w:rsidR="006F4C21" w:rsidRPr="005D0129" w:rsidRDefault="006F4C21" w:rsidP="00ED1DFF">
            <w:pPr>
              <w:pStyle w:val="TableTextRight"/>
            </w:pPr>
            <w:r w:rsidRPr="005D0129">
              <w:t>8,014</w:t>
            </w:r>
          </w:p>
        </w:tc>
        <w:tc>
          <w:tcPr>
            <w:tcW w:w="709" w:type="pct"/>
            <w:vAlign w:val="center"/>
          </w:tcPr>
          <w:p w14:paraId="08DCF3EE" w14:textId="5A0E79A9" w:rsidR="006F4C21" w:rsidRPr="005D0129" w:rsidRDefault="006F4C21" w:rsidP="00ED1DFF">
            <w:pPr>
              <w:pStyle w:val="TableTextRight"/>
            </w:pPr>
            <w:r w:rsidRPr="005D0129">
              <w:t>34.9</w:t>
            </w:r>
          </w:p>
        </w:tc>
        <w:tc>
          <w:tcPr>
            <w:tcW w:w="657" w:type="pct"/>
            <w:vAlign w:val="center"/>
          </w:tcPr>
          <w:p w14:paraId="1F86B460" w14:textId="785E3483" w:rsidR="006F4C21" w:rsidRPr="005D0129" w:rsidRDefault="006F4C21" w:rsidP="00ED1DFF">
            <w:pPr>
              <w:pStyle w:val="TableTextRight"/>
            </w:pPr>
            <w:r w:rsidRPr="005D0129">
              <w:t>n/a</w:t>
            </w:r>
          </w:p>
        </w:tc>
        <w:tc>
          <w:tcPr>
            <w:tcW w:w="845" w:type="pct"/>
            <w:vAlign w:val="center"/>
          </w:tcPr>
          <w:p w14:paraId="0DC28239" w14:textId="511189EA" w:rsidR="006F4C21" w:rsidRPr="005D0129" w:rsidRDefault="006F4C21" w:rsidP="00ED1DFF">
            <w:pPr>
              <w:pStyle w:val="TableTextRight"/>
            </w:pPr>
            <w:r w:rsidRPr="005D0129">
              <w:t>30.0%</w:t>
            </w:r>
          </w:p>
        </w:tc>
        <w:tc>
          <w:tcPr>
            <w:tcW w:w="714" w:type="pct"/>
            <w:vAlign w:val="center"/>
          </w:tcPr>
          <w:p w14:paraId="7A0A72C9" w14:textId="28E4A775" w:rsidR="006F4C21" w:rsidRPr="005D0129" w:rsidRDefault="006F4C21" w:rsidP="00ED1DFF">
            <w:pPr>
              <w:pStyle w:val="TableTextRight"/>
            </w:pPr>
            <w:r w:rsidRPr="005D0129">
              <w:t>67.2%</w:t>
            </w:r>
          </w:p>
        </w:tc>
      </w:tr>
      <w:tr w:rsidR="006553C2" w:rsidRPr="005D0129" w14:paraId="0B3D66B6" w14:textId="77777777" w:rsidTr="00EF7E74">
        <w:trPr>
          <w:trHeight w:hRule="exact" w:val="312"/>
        </w:trPr>
        <w:tc>
          <w:tcPr>
            <w:tcW w:w="714" w:type="pct"/>
            <w:vAlign w:val="center"/>
          </w:tcPr>
          <w:p w14:paraId="750AD4CC" w14:textId="66F8F7FC" w:rsidR="006F4C21" w:rsidRPr="005D0129" w:rsidRDefault="006F4C21" w:rsidP="00E27FBA">
            <w:pPr>
              <w:pStyle w:val="TableTextLeft"/>
            </w:pPr>
            <w:r w:rsidRPr="005D0129">
              <w:t>Cycle 6</w:t>
            </w:r>
          </w:p>
        </w:tc>
        <w:tc>
          <w:tcPr>
            <w:tcW w:w="714" w:type="pct"/>
            <w:vAlign w:val="center"/>
          </w:tcPr>
          <w:p w14:paraId="3B927DBC" w14:textId="05EAE468" w:rsidR="006F4C21" w:rsidRPr="005D0129" w:rsidRDefault="006F4C21" w:rsidP="00ED1DFF">
            <w:pPr>
              <w:pStyle w:val="TableTextLeft"/>
            </w:pPr>
            <w:r w:rsidRPr="005D0129">
              <w:t>1 Jul</w:t>
            </w:r>
            <w:r w:rsidR="00CF4806" w:rsidRPr="005D0129">
              <w:t> </w:t>
            </w:r>
            <w:r w:rsidRPr="005D0129">
              <w:t>–</w:t>
            </w:r>
            <w:r w:rsidR="00CF4806" w:rsidRPr="005D0129">
              <w:t> </w:t>
            </w:r>
            <w:r w:rsidRPr="005D0129">
              <w:t>31 Dec 2023</w:t>
            </w:r>
          </w:p>
        </w:tc>
        <w:tc>
          <w:tcPr>
            <w:tcW w:w="646" w:type="pct"/>
            <w:vAlign w:val="center"/>
          </w:tcPr>
          <w:p w14:paraId="7DEE773A" w14:textId="767E1C20" w:rsidR="006F4C21" w:rsidRPr="005D0129" w:rsidRDefault="006F4C21" w:rsidP="00ED1DFF">
            <w:pPr>
              <w:pStyle w:val="TableTextRight"/>
            </w:pPr>
            <w:r w:rsidRPr="005D0129">
              <w:t>8,171</w:t>
            </w:r>
          </w:p>
        </w:tc>
        <w:tc>
          <w:tcPr>
            <w:tcW w:w="709" w:type="pct"/>
            <w:vAlign w:val="center"/>
          </w:tcPr>
          <w:p w14:paraId="4060D56B" w14:textId="5F09F487" w:rsidR="006F4C21" w:rsidRPr="005D0129" w:rsidRDefault="006F4C21" w:rsidP="00ED1DFF">
            <w:pPr>
              <w:pStyle w:val="TableTextRight"/>
            </w:pPr>
            <w:r w:rsidRPr="005D0129">
              <w:t>34.8</w:t>
            </w:r>
          </w:p>
        </w:tc>
        <w:tc>
          <w:tcPr>
            <w:tcW w:w="657" w:type="pct"/>
            <w:vAlign w:val="center"/>
          </w:tcPr>
          <w:p w14:paraId="5DE852B2" w14:textId="1BF6D775" w:rsidR="006F4C21" w:rsidRPr="005D0129" w:rsidRDefault="006F4C21" w:rsidP="00ED1DFF">
            <w:pPr>
              <w:pStyle w:val="TableTextRight"/>
            </w:pPr>
            <w:r w:rsidRPr="005D0129">
              <w:t>n/a</w:t>
            </w:r>
          </w:p>
        </w:tc>
        <w:tc>
          <w:tcPr>
            <w:tcW w:w="845" w:type="pct"/>
            <w:vAlign w:val="center"/>
          </w:tcPr>
          <w:p w14:paraId="34B954ED" w14:textId="67B45302" w:rsidR="006F4C21" w:rsidRPr="005D0129" w:rsidRDefault="006F4C21" w:rsidP="00ED1DFF">
            <w:pPr>
              <w:pStyle w:val="TableTextRight"/>
            </w:pPr>
            <w:r w:rsidRPr="005D0129">
              <w:t>30.1%</w:t>
            </w:r>
          </w:p>
        </w:tc>
        <w:tc>
          <w:tcPr>
            <w:tcW w:w="714" w:type="pct"/>
            <w:vAlign w:val="center"/>
          </w:tcPr>
          <w:p w14:paraId="44FBCEE8" w14:textId="0BE153B7" w:rsidR="006F4C21" w:rsidRPr="005D0129" w:rsidRDefault="006F4C21" w:rsidP="00ED1DFF">
            <w:pPr>
              <w:pStyle w:val="TableTextRight"/>
            </w:pPr>
            <w:r w:rsidRPr="005D0129">
              <w:t>68.7%</w:t>
            </w:r>
          </w:p>
        </w:tc>
      </w:tr>
      <w:tr w:rsidR="00EF7E74" w:rsidRPr="005D0129" w14:paraId="1680024A" w14:textId="77777777" w:rsidTr="00EF7E74">
        <w:trPr>
          <w:cnfStyle w:val="000000100000" w:firstRow="0" w:lastRow="0" w:firstColumn="0" w:lastColumn="0" w:oddVBand="0" w:evenVBand="0" w:oddHBand="1" w:evenHBand="0" w:firstRowFirstColumn="0" w:firstRowLastColumn="0" w:lastRowFirstColumn="0" w:lastRowLastColumn="0"/>
          <w:trHeight w:hRule="exact" w:val="312"/>
        </w:trPr>
        <w:tc>
          <w:tcPr>
            <w:tcW w:w="714" w:type="pct"/>
            <w:vAlign w:val="center"/>
          </w:tcPr>
          <w:p w14:paraId="14369DFF" w14:textId="5E553ABE" w:rsidR="006F4C21" w:rsidRPr="005D0129" w:rsidRDefault="006F4C21" w:rsidP="00E27FBA">
            <w:pPr>
              <w:pStyle w:val="TableTextLeft"/>
            </w:pPr>
            <w:r w:rsidRPr="005D0129">
              <w:t>Cycle 7</w:t>
            </w:r>
          </w:p>
        </w:tc>
        <w:tc>
          <w:tcPr>
            <w:tcW w:w="714" w:type="pct"/>
            <w:vAlign w:val="center"/>
          </w:tcPr>
          <w:p w14:paraId="0E57F43D" w14:textId="5CE5911C" w:rsidR="006F4C21" w:rsidRPr="005D0129" w:rsidRDefault="006F4C21" w:rsidP="00ED1DFF">
            <w:pPr>
              <w:pStyle w:val="TableTextLeft"/>
            </w:pPr>
            <w:r w:rsidRPr="005D0129">
              <w:t>1 Jan</w:t>
            </w:r>
            <w:r w:rsidR="00CF4806" w:rsidRPr="005D0129">
              <w:t> </w:t>
            </w:r>
            <w:r w:rsidRPr="005D0129">
              <w:t>– 30 Jun 2024</w:t>
            </w:r>
          </w:p>
        </w:tc>
        <w:tc>
          <w:tcPr>
            <w:tcW w:w="646" w:type="pct"/>
            <w:vAlign w:val="center"/>
          </w:tcPr>
          <w:p w14:paraId="5F418F44" w14:textId="5F21B80F" w:rsidR="006F4C21" w:rsidRPr="005D0129" w:rsidRDefault="006F4C21" w:rsidP="00ED1DFF">
            <w:pPr>
              <w:pStyle w:val="TableTextRight"/>
            </w:pPr>
            <w:r w:rsidRPr="005D0129">
              <w:t>8,155</w:t>
            </w:r>
          </w:p>
        </w:tc>
        <w:tc>
          <w:tcPr>
            <w:tcW w:w="709" w:type="pct"/>
            <w:vAlign w:val="center"/>
          </w:tcPr>
          <w:p w14:paraId="71220C00" w14:textId="2B9EF556" w:rsidR="006F4C21" w:rsidRPr="005D0129" w:rsidRDefault="006F4C21" w:rsidP="00ED1DFF">
            <w:pPr>
              <w:pStyle w:val="TableTextRight"/>
            </w:pPr>
            <w:r w:rsidRPr="005D0129">
              <w:t>35.0</w:t>
            </w:r>
          </w:p>
        </w:tc>
        <w:tc>
          <w:tcPr>
            <w:tcW w:w="657" w:type="pct"/>
            <w:vAlign w:val="center"/>
          </w:tcPr>
          <w:p w14:paraId="42335635" w14:textId="0C36AE93" w:rsidR="006F4C21" w:rsidRPr="005D0129" w:rsidRDefault="006F4C21" w:rsidP="00ED1DFF">
            <w:pPr>
              <w:pStyle w:val="TableTextRight"/>
            </w:pPr>
            <w:r w:rsidRPr="005D0129">
              <w:t>n/a</w:t>
            </w:r>
          </w:p>
        </w:tc>
        <w:tc>
          <w:tcPr>
            <w:tcW w:w="845" w:type="pct"/>
            <w:vAlign w:val="center"/>
          </w:tcPr>
          <w:p w14:paraId="467F12FC" w14:textId="28D3F813" w:rsidR="006F4C21" w:rsidRPr="005D0129" w:rsidRDefault="006F4C21" w:rsidP="00ED1DFF">
            <w:pPr>
              <w:pStyle w:val="TableTextRight"/>
            </w:pPr>
            <w:r w:rsidRPr="005D0129">
              <w:t>30.1%</w:t>
            </w:r>
          </w:p>
        </w:tc>
        <w:tc>
          <w:tcPr>
            <w:tcW w:w="714" w:type="pct"/>
            <w:vAlign w:val="center"/>
          </w:tcPr>
          <w:p w14:paraId="14081E53" w14:textId="66E0ACFE" w:rsidR="006F4C21" w:rsidRPr="005D0129" w:rsidRDefault="006F4C21" w:rsidP="00ED1DFF">
            <w:pPr>
              <w:pStyle w:val="TableTextRight"/>
            </w:pPr>
            <w:r w:rsidRPr="005D0129">
              <w:t>68.7%</w:t>
            </w:r>
          </w:p>
        </w:tc>
      </w:tr>
      <w:tr w:rsidR="006553C2" w:rsidRPr="005D0129" w14:paraId="211C925D" w14:textId="77777777" w:rsidTr="00EF7E74">
        <w:trPr>
          <w:trHeight w:hRule="exact" w:val="312"/>
        </w:trPr>
        <w:tc>
          <w:tcPr>
            <w:tcW w:w="714" w:type="pct"/>
            <w:vAlign w:val="center"/>
          </w:tcPr>
          <w:p w14:paraId="47E483D5" w14:textId="54598009" w:rsidR="006F4C21" w:rsidRPr="005D0129" w:rsidRDefault="006F4C21" w:rsidP="00E27FBA">
            <w:pPr>
              <w:pStyle w:val="TableTextLeft"/>
            </w:pPr>
            <w:r w:rsidRPr="005D0129">
              <w:t>Cycle 8</w:t>
            </w:r>
          </w:p>
        </w:tc>
        <w:tc>
          <w:tcPr>
            <w:tcW w:w="714" w:type="pct"/>
            <w:vAlign w:val="center"/>
          </w:tcPr>
          <w:p w14:paraId="24A27000" w14:textId="2D20D638" w:rsidR="006F4C21" w:rsidRPr="005D0129" w:rsidRDefault="006F4C21" w:rsidP="00ED1DFF">
            <w:pPr>
              <w:pStyle w:val="TableTextLeft"/>
            </w:pPr>
            <w:r w:rsidRPr="005D0129">
              <w:t>1 Jul</w:t>
            </w:r>
            <w:r w:rsidR="00CF4806" w:rsidRPr="005D0129">
              <w:t> </w:t>
            </w:r>
            <w:r w:rsidRPr="005D0129">
              <w:t>–</w:t>
            </w:r>
            <w:r w:rsidR="00CF4806" w:rsidRPr="005D0129">
              <w:t> </w:t>
            </w:r>
            <w:r w:rsidRPr="005D0129">
              <w:t>31 Dec 2024</w:t>
            </w:r>
          </w:p>
        </w:tc>
        <w:tc>
          <w:tcPr>
            <w:tcW w:w="646" w:type="pct"/>
            <w:vAlign w:val="center"/>
          </w:tcPr>
          <w:p w14:paraId="06AF7FE1" w14:textId="5C3740D0" w:rsidR="006F4C21" w:rsidRPr="005D0129" w:rsidRDefault="006F4C21" w:rsidP="00ED1DFF">
            <w:pPr>
              <w:pStyle w:val="TableTextRight"/>
            </w:pPr>
            <w:r w:rsidRPr="005D0129">
              <w:t>3,453</w:t>
            </w:r>
          </w:p>
        </w:tc>
        <w:tc>
          <w:tcPr>
            <w:tcW w:w="709" w:type="pct"/>
            <w:vAlign w:val="center"/>
          </w:tcPr>
          <w:p w14:paraId="15C97FFB" w14:textId="4EBE4853" w:rsidR="006F4C21" w:rsidRPr="005D0129" w:rsidRDefault="006F4C21" w:rsidP="00ED1DFF">
            <w:pPr>
              <w:pStyle w:val="TableTextRight"/>
            </w:pPr>
            <w:r w:rsidRPr="005D0129">
              <w:t>35.2</w:t>
            </w:r>
          </w:p>
        </w:tc>
        <w:tc>
          <w:tcPr>
            <w:tcW w:w="657" w:type="pct"/>
            <w:vAlign w:val="center"/>
          </w:tcPr>
          <w:p w14:paraId="6E3F7E39" w14:textId="74E96D0B" w:rsidR="006F4C21" w:rsidRPr="005D0129" w:rsidRDefault="006F4C21" w:rsidP="00ED1DFF">
            <w:pPr>
              <w:pStyle w:val="TableTextRight"/>
            </w:pPr>
            <w:r w:rsidRPr="005D0129">
              <w:t>30</w:t>
            </w:r>
          </w:p>
        </w:tc>
        <w:tc>
          <w:tcPr>
            <w:tcW w:w="845" w:type="pct"/>
            <w:vAlign w:val="center"/>
          </w:tcPr>
          <w:p w14:paraId="14DA39D6" w14:textId="3A09377B" w:rsidR="006F4C21" w:rsidRPr="005D0129" w:rsidRDefault="006F4C21" w:rsidP="00ED1DFF">
            <w:pPr>
              <w:pStyle w:val="TableTextRight"/>
            </w:pPr>
            <w:r w:rsidRPr="005D0129">
              <w:t>30.1%</w:t>
            </w:r>
          </w:p>
        </w:tc>
        <w:tc>
          <w:tcPr>
            <w:tcW w:w="714" w:type="pct"/>
            <w:vAlign w:val="center"/>
          </w:tcPr>
          <w:p w14:paraId="12E9743A" w14:textId="0EA24686" w:rsidR="006F4C21" w:rsidRPr="005D0129" w:rsidRDefault="006F4C21" w:rsidP="00ED1DFF">
            <w:pPr>
              <w:pStyle w:val="TableTextRight"/>
            </w:pPr>
            <w:r w:rsidRPr="005D0129">
              <w:t>68.4%</w:t>
            </w:r>
          </w:p>
        </w:tc>
      </w:tr>
      <w:tr w:rsidR="00EF7E74" w:rsidRPr="005D0129" w14:paraId="1B960724" w14:textId="77777777" w:rsidTr="00EF7E74">
        <w:trPr>
          <w:cnfStyle w:val="000000100000" w:firstRow="0" w:lastRow="0" w:firstColumn="0" w:lastColumn="0" w:oddVBand="0" w:evenVBand="0" w:oddHBand="1" w:evenHBand="0" w:firstRowFirstColumn="0" w:firstRowLastColumn="0" w:lastRowFirstColumn="0" w:lastRowLastColumn="0"/>
          <w:trHeight w:hRule="exact" w:val="312"/>
        </w:trPr>
        <w:tc>
          <w:tcPr>
            <w:tcW w:w="714" w:type="pct"/>
            <w:vAlign w:val="center"/>
          </w:tcPr>
          <w:p w14:paraId="6027C396" w14:textId="0278382F" w:rsidR="006F4C21" w:rsidRPr="005D0129" w:rsidRDefault="006F4C21" w:rsidP="00E27FBA">
            <w:pPr>
              <w:pStyle w:val="TableTextLeft"/>
            </w:pPr>
            <w:r w:rsidRPr="005D0129">
              <w:t>Cycle 9</w:t>
            </w:r>
          </w:p>
        </w:tc>
        <w:tc>
          <w:tcPr>
            <w:tcW w:w="714" w:type="pct"/>
            <w:vAlign w:val="center"/>
          </w:tcPr>
          <w:p w14:paraId="70874E78" w14:textId="3C227495" w:rsidR="006F4C21" w:rsidRPr="005D0129" w:rsidRDefault="006F4C21" w:rsidP="00ED1DFF">
            <w:pPr>
              <w:pStyle w:val="TableTextLeft"/>
            </w:pPr>
            <w:r w:rsidRPr="005D0129">
              <w:t>1 Jan</w:t>
            </w:r>
            <w:r w:rsidR="00CF4806" w:rsidRPr="005D0129">
              <w:t> </w:t>
            </w:r>
            <w:r w:rsidRPr="005D0129">
              <w:t>–</w:t>
            </w:r>
            <w:r w:rsidR="00CF4806" w:rsidRPr="005D0129">
              <w:t> </w:t>
            </w:r>
            <w:r w:rsidRPr="005D0129">
              <w:t>30 Jun 2025</w:t>
            </w:r>
          </w:p>
        </w:tc>
        <w:tc>
          <w:tcPr>
            <w:tcW w:w="646" w:type="pct"/>
            <w:vAlign w:val="center"/>
          </w:tcPr>
          <w:p w14:paraId="11DA50E6" w14:textId="5777C554" w:rsidR="006F4C21" w:rsidRPr="005D0129" w:rsidRDefault="006F4C21" w:rsidP="00ED1DFF">
            <w:pPr>
              <w:pStyle w:val="TableTextRight"/>
            </w:pPr>
            <w:r w:rsidRPr="005D0129">
              <w:t>3,104</w:t>
            </w:r>
          </w:p>
        </w:tc>
        <w:tc>
          <w:tcPr>
            <w:tcW w:w="709" w:type="pct"/>
            <w:vAlign w:val="center"/>
          </w:tcPr>
          <w:p w14:paraId="7F5E5268" w14:textId="47F71278" w:rsidR="006F4C21" w:rsidRPr="00BC20EC" w:rsidRDefault="00B8150A" w:rsidP="00ED1DFF">
            <w:pPr>
              <w:pStyle w:val="TableTextRight"/>
              <w:rPr>
                <w:vertAlign w:val="superscript"/>
              </w:rPr>
            </w:pPr>
            <w:r>
              <w:t>n/a</w:t>
            </w:r>
            <w:r w:rsidR="009A4078">
              <w:t>*</w:t>
            </w:r>
          </w:p>
        </w:tc>
        <w:tc>
          <w:tcPr>
            <w:tcW w:w="657" w:type="pct"/>
            <w:vAlign w:val="center"/>
          </w:tcPr>
          <w:p w14:paraId="608C4B3A" w14:textId="28DA16DC" w:rsidR="006F4C21" w:rsidRPr="005D0129" w:rsidRDefault="006F4C21" w:rsidP="00ED1DFF">
            <w:pPr>
              <w:pStyle w:val="TableTextRight"/>
            </w:pPr>
            <w:r w:rsidRPr="005D0129">
              <w:t>29</w:t>
            </w:r>
          </w:p>
        </w:tc>
        <w:tc>
          <w:tcPr>
            <w:tcW w:w="845" w:type="pct"/>
            <w:vAlign w:val="center"/>
          </w:tcPr>
          <w:p w14:paraId="012EDC32" w14:textId="51ABCC9D" w:rsidR="006F4C21" w:rsidRPr="005D0129" w:rsidRDefault="006F4C21" w:rsidP="00ED1DFF">
            <w:pPr>
              <w:pStyle w:val="TableTextRight"/>
            </w:pPr>
            <w:r w:rsidRPr="005D0129">
              <w:t>28.7%</w:t>
            </w:r>
          </w:p>
        </w:tc>
        <w:tc>
          <w:tcPr>
            <w:tcW w:w="714" w:type="pct"/>
            <w:vAlign w:val="center"/>
          </w:tcPr>
          <w:p w14:paraId="7DC221C2" w14:textId="46D582F1" w:rsidR="006F4C21" w:rsidRPr="005D0129" w:rsidRDefault="006F4C21" w:rsidP="00ED1DFF">
            <w:pPr>
              <w:pStyle w:val="TableTextRight"/>
            </w:pPr>
            <w:r w:rsidRPr="005D0129">
              <w:t>68.2%</w:t>
            </w:r>
          </w:p>
        </w:tc>
      </w:tr>
      <w:tr w:rsidR="006553C2" w:rsidRPr="005D0129" w14:paraId="0342CEFD" w14:textId="77777777" w:rsidTr="00EF7E74">
        <w:trPr>
          <w:trHeight w:hRule="exact" w:val="312"/>
        </w:trPr>
        <w:tc>
          <w:tcPr>
            <w:tcW w:w="714" w:type="pct"/>
            <w:vAlign w:val="center"/>
          </w:tcPr>
          <w:p w14:paraId="659CB23D" w14:textId="080D4493" w:rsidR="006F4C21" w:rsidRPr="005D0129" w:rsidRDefault="006F4C21" w:rsidP="00E27FBA">
            <w:pPr>
              <w:pStyle w:val="TableTextLeft"/>
            </w:pPr>
            <w:r w:rsidRPr="005D0129">
              <w:t>Cycle 10</w:t>
            </w:r>
          </w:p>
        </w:tc>
        <w:tc>
          <w:tcPr>
            <w:tcW w:w="714" w:type="pct"/>
            <w:vAlign w:val="center"/>
          </w:tcPr>
          <w:p w14:paraId="476EB6E9" w14:textId="5ABC2415" w:rsidR="006F4C21" w:rsidRPr="005D0129" w:rsidRDefault="006F4C21" w:rsidP="00ED1DFF">
            <w:pPr>
              <w:pStyle w:val="TableTextLeft"/>
            </w:pPr>
            <w:r w:rsidRPr="005D0129">
              <w:t>1 Jul</w:t>
            </w:r>
            <w:r w:rsidR="00CF4806" w:rsidRPr="005D0129">
              <w:t> </w:t>
            </w:r>
            <w:r w:rsidRPr="005D0129">
              <w:t>–</w:t>
            </w:r>
            <w:r w:rsidR="00CF4806" w:rsidRPr="005D0129">
              <w:t> </w:t>
            </w:r>
            <w:r w:rsidRPr="005D0129">
              <w:t>31 Dec 2025</w:t>
            </w:r>
          </w:p>
        </w:tc>
        <w:tc>
          <w:tcPr>
            <w:tcW w:w="646" w:type="pct"/>
            <w:vAlign w:val="center"/>
          </w:tcPr>
          <w:p w14:paraId="7D6BDFEF" w14:textId="79AD0C65" w:rsidR="006F4C21" w:rsidRPr="005D0129" w:rsidRDefault="006F4C21" w:rsidP="00ED1DFF">
            <w:pPr>
              <w:pStyle w:val="TableTextRight"/>
            </w:pPr>
            <w:r w:rsidRPr="005D0129">
              <w:t>294</w:t>
            </w:r>
          </w:p>
        </w:tc>
        <w:tc>
          <w:tcPr>
            <w:tcW w:w="709" w:type="pct"/>
            <w:vAlign w:val="center"/>
          </w:tcPr>
          <w:p w14:paraId="2E7AC51E" w14:textId="77777777" w:rsidR="006F4C21" w:rsidRPr="005D0129" w:rsidRDefault="006F4C21" w:rsidP="00ED1DFF">
            <w:pPr>
              <w:pStyle w:val="TableTextRight"/>
            </w:pPr>
          </w:p>
        </w:tc>
        <w:tc>
          <w:tcPr>
            <w:tcW w:w="657" w:type="pct"/>
            <w:vAlign w:val="center"/>
          </w:tcPr>
          <w:p w14:paraId="36E8DBF4" w14:textId="77777777" w:rsidR="006F4C21" w:rsidRPr="005D0129" w:rsidRDefault="006F4C21" w:rsidP="00ED1DFF">
            <w:pPr>
              <w:pStyle w:val="TableTextRight"/>
            </w:pPr>
          </w:p>
        </w:tc>
        <w:tc>
          <w:tcPr>
            <w:tcW w:w="845" w:type="pct"/>
            <w:vAlign w:val="center"/>
          </w:tcPr>
          <w:p w14:paraId="1E4AE121" w14:textId="77777777" w:rsidR="006F4C21" w:rsidRPr="005D0129" w:rsidRDefault="006F4C21" w:rsidP="00ED1DFF">
            <w:pPr>
              <w:pStyle w:val="TableTextRight"/>
            </w:pPr>
          </w:p>
        </w:tc>
        <w:tc>
          <w:tcPr>
            <w:tcW w:w="714" w:type="pct"/>
            <w:vAlign w:val="center"/>
          </w:tcPr>
          <w:p w14:paraId="39AB7F63" w14:textId="77777777" w:rsidR="006F4C21" w:rsidRPr="005D0129" w:rsidRDefault="006F4C21" w:rsidP="00ED1DFF">
            <w:pPr>
              <w:pStyle w:val="TableTextRight"/>
            </w:pPr>
          </w:p>
        </w:tc>
      </w:tr>
      <w:tr w:rsidR="00EF7E74" w:rsidRPr="005D0129" w14:paraId="223D0C31" w14:textId="77777777" w:rsidTr="00EF7E74">
        <w:trPr>
          <w:cnfStyle w:val="000000100000" w:firstRow="0" w:lastRow="0" w:firstColumn="0" w:lastColumn="0" w:oddVBand="0" w:evenVBand="0" w:oddHBand="1" w:evenHBand="0" w:firstRowFirstColumn="0" w:firstRowLastColumn="0" w:lastRowFirstColumn="0" w:lastRowLastColumn="0"/>
          <w:trHeight w:hRule="exact" w:val="312"/>
        </w:trPr>
        <w:tc>
          <w:tcPr>
            <w:tcW w:w="714" w:type="pct"/>
            <w:vAlign w:val="center"/>
          </w:tcPr>
          <w:p w14:paraId="056C01E0" w14:textId="4C30E3D9" w:rsidR="000F3DF0" w:rsidRPr="005D0129" w:rsidRDefault="000F3DF0" w:rsidP="00E27FBA">
            <w:pPr>
              <w:pStyle w:val="TableTextLeft"/>
            </w:pPr>
            <w:r w:rsidRPr="005D0129">
              <w:t>Total</w:t>
            </w:r>
          </w:p>
        </w:tc>
        <w:tc>
          <w:tcPr>
            <w:tcW w:w="714" w:type="pct"/>
            <w:vAlign w:val="center"/>
          </w:tcPr>
          <w:p w14:paraId="1B90A79F" w14:textId="77777777" w:rsidR="000F3DF0" w:rsidRPr="005D0129" w:rsidRDefault="000F3DF0" w:rsidP="00ED1DFF">
            <w:pPr>
              <w:pStyle w:val="TableTextLeft"/>
            </w:pPr>
          </w:p>
        </w:tc>
        <w:tc>
          <w:tcPr>
            <w:tcW w:w="646" w:type="pct"/>
            <w:vAlign w:val="center"/>
          </w:tcPr>
          <w:p w14:paraId="177B4FE9" w14:textId="0AA1D453" w:rsidR="000F3DF0" w:rsidRPr="005D0129" w:rsidRDefault="000F3DF0" w:rsidP="0092554D">
            <w:pPr>
              <w:pStyle w:val="TableTextRight"/>
              <w:rPr>
                <w:rStyle w:val="Strong"/>
              </w:rPr>
            </w:pPr>
            <w:r w:rsidRPr="005D0129">
              <w:rPr>
                <w:rStyle w:val="Strong"/>
              </w:rPr>
              <w:t>60,792</w:t>
            </w:r>
          </w:p>
        </w:tc>
        <w:tc>
          <w:tcPr>
            <w:tcW w:w="709" w:type="pct"/>
            <w:vAlign w:val="center"/>
          </w:tcPr>
          <w:p w14:paraId="70B56C9E" w14:textId="77777777" w:rsidR="000F3DF0" w:rsidRPr="005D0129" w:rsidRDefault="000F3DF0" w:rsidP="00ED1DFF">
            <w:pPr>
              <w:pStyle w:val="TableTextRight"/>
            </w:pPr>
          </w:p>
        </w:tc>
        <w:tc>
          <w:tcPr>
            <w:tcW w:w="657" w:type="pct"/>
            <w:vAlign w:val="center"/>
          </w:tcPr>
          <w:p w14:paraId="7B14D478" w14:textId="77777777" w:rsidR="000F3DF0" w:rsidRPr="005D0129" w:rsidRDefault="000F3DF0" w:rsidP="00ED1DFF">
            <w:pPr>
              <w:pStyle w:val="TableTextRight"/>
            </w:pPr>
          </w:p>
        </w:tc>
        <w:tc>
          <w:tcPr>
            <w:tcW w:w="845" w:type="pct"/>
            <w:vAlign w:val="center"/>
          </w:tcPr>
          <w:p w14:paraId="6927EF29" w14:textId="77777777" w:rsidR="000F3DF0" w:rsidRPr="005D0129" w:rsidRDefault="000F3DF0" w:rsidP="00ED1DFF">
            <w:pPr>
              <w:pStyle w:val="TableTextRight"/>
            </w:pPr>
          </w:p>
        </w:tc>
        <w:tc>
          <w:tcPr>
            <w:tcW w:w="714" w:type="pct"/>
            <w:vAlign w:val="center"/>
          </w:tcPr>
          <w:p w14:paraId="3C0EE391" w14:textId="77777777" w:rsidR="000F3DF0" w:rsidRPr="005D0129" w:rsidRDefault="000F3DF0" w:rsidP="00ED1DFF">
            <w:pPr>
              <w:pStyle w:val="TableTextRight"/>
            </w:pPr>
          </w:p>
        </w:tc>
      </w:tr>
      <w:tr w:rsidR="006553C2" w:rsidRPr="005D0129" w14:paraId="6909F1D4" w14:textId="77777777" w:rsidTr="00EF7E74">
        <w:trPr>
          <w:trHeight w:hRule="exact" w:val="312"/>
        </w:trPr>
        <w:tc>
          <w:tcPr>
            <w:tcW w:w="714" w:type="pct"/>
            <w:vAlign w:val="center"/>
          </w:tcPr>
          <w:p w14:paraId="02B6F312" w14:textId="14607AE9" w:rsidR="00F5438E" w:rsidRPr="005D0129" w:rsidRDefault="00F5438E" w:rsidP="00F5438E">
            <w:pPr>
              <w:pStyle w:val="TableTextLeft"/>
            </w:pPr>
            <w:r w:rsidRPr="005D0129">
              <w:t xml:space="preserve">Superseded </w:t>
            </w:r>
            <w:r w:rsidR="00990681">
              <w:t>r</w:t>
            </w:r>
            <w:r w:rsidRPr="005D0129">
              <w:t>eports</w:t>
            </w:r>
          </w:p>
        </w:tc>
        <w:tc>
          <w:tcPr>
            <w:tcW w:w="714" w:type="pct"/>
            <w:vAlign w:val="center"/>
          </w:tcPr>
          <w:p w14:paraId="3F97ABF7" w14:textId="77777777" w:rsidR="00F5438E" w:rsidRPr="005D0129" w:rsidRDefault="00F5438E" w:rsidP="00F5438E">
            <w:pPr>
              <w:pStyle w:val="TableTextLeft"/>
            </w:pPr>
          </w:p>
        </w:tc>
        <w:tc>
          <w:tcPr>
            <w:tcW w:w="646" w:type="pct"/>
            <w:vAlign w:val="center"/>
          </w:tcPr>
          <w:p w14:paraId="38AD05F0" w14:textId="1202BF2B" w:rsidR="00F5438E" w:rsidRPr="005D0129" w:rsidRDefault="00F5438E" w:rsidP="00F5438E">
            <w:pPr>
              <w:pStyle w:val="TableTextRight"/>
              <w:rPr>
                <w:rStyle w:val="Strong"/>
              </w:rPr>
            </w:pPr>
            <w:r w:rsidRPr="005D0129">
              <w:t>2,030</w:t>
            </w:r>
          </w:p>
        </w:tc>
        <w:tc>
          <w:tcPr>
            <w:tcW w:w="709" w:type="pct"/>
            <w:vAlign w:val="center"/>
          </w:tcPr>
          <w:p w14:paraId="60C9A58C" w14:textId="77777777" w:rsidR="00F5438E" w:rsidRPr="005D0129" w:rsidRDefault="00F5438E" w:rsidP="00F5438E">
            <w:pPr>
              <w:pStyle w:val="TableTextRight"/>
            </w:pPr>
          </w:p>
        </w:tc>
        <w:tc>
          <w:tcPr>
            <w:tcW w:w="657" w:type="pct"/>
            <w:vAlign w:val="center"/>
          </w:tcPr>
          <w:p w14:paraId="32E0D223" w14:textId="77777777" w:rsidR="00F5438E" w:rsidRPr="005D0129" w:rsidRDefault="00F5438E" w:rsidP="00F5438E">
            <w:pPr>
              <w:pStyle w:val="TableTextRight"/>
            </w:pPr>
          </w:p>
        </w:tc>
        <w:tc>
          <w:tcPr>
            <w:tcW w:w="845" w:type="pct"/>
            <w:vAlign w:val="center"/>
          </w:tcPr>
          <w:p w14:paraId="75EA603A" w14:textId="77777777" w:rsidR="00F5438E" w:rsidRPr="005D0129" w:rsidRDefault="00F5438E" w:rsidP="00F5438E">
            <w:pPr>
              <w:pStyle w:val="TableTextRight"/>
            </w:pPr>
          </w:p>
        </w:tc>
        <w:tc>
          <w:tcPr>
            <w:tcW w:w="714" w:type="pct"/>
            <w:vAlign w:val="center"/>
          </w:tcPr>
          <w:p w14:paraId="3B7A9744" w14:textId="77777777" w:rsidR="00F5438E" w:rsidRPr="005D0129" w:rsidRDefault="00F5438E" w:rsidP="00F5438E">
            <w:pPr>
              <w:pStyle w:val="TableTextRight"/>
            </w:pPr>
          </w:p>
        </w:tc>
      </w:tr>
      <w:tr w:rsidR="00EF7E74" w:rsidRPr="005D0129" w14:paraId="7378E5E8" w14:textId="77777777" w:rsidTr="00EF7E74">
        <w:trPr>
          <w:cnfStyle w:val="000000100000" w:firstRow="0" w:lastRow="0" w:firstColumn="0" w:lastColumn="0" w:oddVBand="0" w:evenVBand="0" w:oddHBand="1" w:evenHBand="0" w:firstRowFirstColumn="0" w:firstRowLastColumn="0" w:lastRowFirstColumn="0" w:lastRowLastColumn="0"/>
          <w:trHeight w:hRule="exact" w:val="312"/>
        </w:trPr>
        <w:tc>
          <w:tcPr>
            <w:tcW w:w="714" w:type="pct"/>
            <w:vAlign w:val="center"/>
          </w:tcPr>
          <w:p w14:paraId="34ED5704" w14:textId="48F6BA13" w:rsidR="00F5438E" w:rsidRPr="005D0129" w:rsidRDefault="00F5438E" w:rsidP="00F5438E">
            <w:pPr>
              <w:pStyle w:val="TableTextLeft"/>
            </w:pPr>
            <w:r w:rsidRPr="005D0129">
              <w:rPr>
                <w:rStyle w:val="Strong"/>
                <w:rFonts w:eastAsia="Aptos"/>
              </w:rPr>
              <w:t>Total reports</w:t>
            </w:r>
          </w:p>
        </w:tc>
        <w:tc>
          <w:tcPr>
            <w:tcW w:w="714" w:type="pct"/>
            <w:vAlign w:val="center"/>
          </w:tcPr>
          <w:p w14:paraId="10301257" w14:textId="77777777" w:rsidR="00F5438E" w:rsidRPr="005D0129" w:rsidRDefault="00F5438E" w:rsidP="00F5438E">
            <w:pPr>
              <w:pStyle w:val="TableTextLeft"/>
            </w:pPr>
          </w:p>
        </w:tc>
        <w:tc>
          <w:tcPr>
            <w:tcW w:w="646" w:type="pct"/>
            <w:vAlign w:val="center"/>
          </w:tcPr>
          <w:p w14:paraId="1F3C5DF0" w14:textId="7ACB700A" w:rsidR="00F5438E" w:rsidRPr="005D0129" w:rsidRDefault="00F5438E" w:rsidP="00F5438E">
            <w:pPr>
              <w:pStyle w:val="TableTextRight"/>
            </w:pPr>
            <w:r w:rsidRPr="005D0129">
              <w:rPr>
                <w:rFonts w:eastAsia="Aptos"/>
                <w:b/>
                <w:bCs/>
              </w:rPr>
              <w:t>62,822</w:t>
            </w:r>
          </w:p>
        </w:tc>
        <w:tc>
          <w:tcPr>
            <w:tcW w:w="709" w:type="pct"/>
            <w:vAlign w:val="center"/>
          </w:tcPr>
          <w:p w14:paraId="69EC7ADB" w14:textId="77777777" w:rsidR="00F5438E" w:rsidRPr="005D0129" w:rsidRDefault="00F5438E" w:rsidP="00F5438E">
            <w:pPr>
              <w:pStyle w:val="TableTextRight"/>
            </w:pPr>
          </w:p>
        </w:tc>
        <w:tc>
          <w:tcPr>
            <w:tcW w:w="657" w:type="pct"/>
            <w:vAlign w:val="center"/>
          </w:tcPr>
          <w:p w14:paraId="30320604" w14:textId="77777777" w:rsidR="00F5438E" w:rsidRPr="005D0129" w:rsidRDefault="00F5438E" w:rsidP="00F5438E">
            <w:pPr>
              <w:pStyle w:val="TableTextRight"/>
            </w:pPr>
          </w:p>
        </w:tc>
        <w:tc>
          <w:tcPr>
            <w:tcW w:w="845" w:type="pct"/>
            <w:vAlign w:val="center"/>
          </w:tcPr>
          <w:p w14:paraId="0A1D94DC" w14:textId="77777777" w:rsidR="00F5438E" w:rsidRPr="005D0129" w:rsidRDefault="00F5438E" w:rsidP="00F5438E">
            <w:pPr>
              <w:pStyle w:val="TableTextRight"/>
            </w:pPr>
          </w:p>
        </w:tc>
        <w:tc>
          <w:tcPr>
            <w:tcW w:w="714" w:type="pct"/>
            <w:vAlign w:val="center"/>
          </w:tcPr>
          <w:p w14:paraId="2BE46163" w14:textId="77777777" w:rsidR="00F5438E" w:rsidRPr="005D0129" w:rsidRDefault="00F5438E" w:rsidP="00F5438E">
            <w:pPr>
              <w:pStyle w:val="TableTextRight"/>
            </w:pPr>
          </w:p>
        </w:tc>
      </w:tr>
    </w:tbl>
    <w:p w14:paraId="1B9FC6FD" w14:textId="3BF89E2A" w:rsidR="00885C4F" w:rsidRDefault="00C4668C" w:rsidP="002D7956">
      <w:pPr>
        <w:pStyle w:val="ChartorTableNote"/>
      </w:pPr>
      <w:r>
        <w:t xml:space="preserve">* </w:t>
      </w:r>
      <w:r w:rsidR="00540C3A" w:rsidRPr="00540C3A">
        <w:t xml:space="preserve">The average standard payment terms reported since the Scheme began in 2021 has been replaced with the </w:t>
      </w:r>
      <w:r w:rsidR="002D7956">
        <w:t>m</w:t>
      </w:r>
      <w:r w:rsidR="00540C3A" w:rsidRPr="00540C3A">
        <w:t xml:space="preserve">ost </w:t>
      </w:r>
      <w:r w:rsidR="002D7956">
        <w:t>c</w:t>
      </w:r>
      <w:r w:rsidR="00540C3A" w:rsidRPr="00540C3A">
        <w:t>ommon payment term.</w:t>
      </w:r>
    </w:p>
    <w:p w14:paraId="3902A58C" w14:textId="77777777" w:rsidR="00C4668C" w:rsidRDefault="00C4668C" w:rsidP="00F44932">
      <w:pPr>
        <w:pStyle w:val="SingleParagraph"/>
        <w:rPr>
          <w:lang w:eastAsia="en-AU"/>
        </w:rPr>
      </w:pPr>
    </w:p>
    <w:p w14:paraId="263F10A1" w14:textId="33541FC9" w:rsidR="000C287A" w:rsidRDefault="006B665E" w:rsidP="000C287A">
      <w:pPr>
        <w:pStyle w:val="TableMainHeading"/>
        <w:keepNext w:val="0"/>
      </w:pPr>
      <w:r w:rsidRPr="002F5F97">
        <w:t>Table 5: Payment terms and times for Commonwealth entities, Reporting</w:t>
      </w:r>
      <w:r w:rsidR="00823145">
        <w:t xml:space="preserve"> </w:t>
      </w:r>
      <w:r w:rsidRPr="002F5F97">
        <w:t>Cycle 9</w:t>
      </w:r>
    </w:p>
    <w:tbl>
      <w:tblPr>
        <w:tblStyle w:val="TableGrid"/>
        <w:tblW w:w="5000" w:type="pct"/>
        <w:tblLayout w:type="fixed"/>
        <w:tblLook w:val="04A0" w:firstRow="1" w:lastRow="0" w:firstColumn="1" w:lastColumn="0" w:noHBand="0" w:noVBand="1"/>
      </w:tblPr>
      <w:tblGrid>
        <w:gridCol w:w="2977"/>
        <w:gridCol w:w="1498"/>
        <w:gridCol w:w="1596"/>
        <w:gridCol w:w="1725"/>
        <w:gridCol w:w="2126"/>
        <w:gridCol w:w="1983"/>
        <w:gridCol w:w="2097"/>
      </w:tblGrid>
      <w:tr w:rsidR="002A055B" w:rsidRPr="005D0129" w14:paraId="432B6E34" w14:textId="77777777" w:rsidTr="008D097B">
        <w:trPr>
          <w:cnfStyle w:val="100000000000" w:firstRow="1" w:lastRow="0" w:firstColumn="0" w:lastColumn="0" w:oddVBand="0" w:evenVBand="0" w:oddHBand="0" w:evenHBand="0" w:firstRowFirstColumn="0" w:firstRowLastColumn="0" w:lastRowFirstColumn="0" w:lastRowLastColumn="0"/>
          <w:trHeight w:val="602"/>
        </w:trPr>
        <w:tc>
          <w:tcPr>
            <w:tcW w:w="1063" w:type="pct"/>
            <w:tcMar>
              <w:top w:w="108" w:type="dxa"/>
              <w:bottom w:w="108" w:type="dxa"/>
            </w:tcMar>
            <w:vAlign w:val="bottom"/>
          </w:tcPr>
          <w:p w14:paraId="5DBE37AE" w14:textId="7E9219B3" w:rsidR="008E5101" w:rsidRPr="008D097B" w:rsidRDefault="008E5101" w:rsidP="008D097B">
            <w:pPr>
              <w:pStyle w:val="TableColumnHeadingLeft"/>
            </w:pPr>
            <w:r w:rsidRPr="008D097B">
              <w:rPr>
                <w:rFonts w:eastAsia="Aptos"/>
              </w:rPr>
              <w:t>Averages</w:t>
            </w:r>
          </w:p>
        </w:tc>
        <w:tc>
          <w:tcPr>
            <w:tcW w:w="535" w:type="pct"/>
            <w:tcMar>
              <w:top w:w="108" w:type="dxa"/>
              <w:bottom w:w="108" w:type="dxa"/>
            </w:tcMar>
            <w:vAlign w:val="bottom"/>
          </w:tcPr>
          <w:p w14:paraId="656AFDDA" w14:textId="538F7D77" w:rsidR="008E5101" w:rsidRPr="005D0129" w:rsidRDefault="008E5101" w:rsidP="00ED1DFF">
            <w:pPr>
              <w:pStyle w:val="TableColumnHeadingRight"/>
            </w:pPr>
            <w:r w:rsidRPr="005D0129">
              <w:t>Common payment term</w:t>
            </w:r>
            <w:r w:rsidR="008C5AAD">
              <w:t xml:space="preserve"> (days)</w:t>
            </w:r>
          </w:p>
        </w:tc>
        <w:tc>
          <w:tcPr>
            <w:tcW w:w="570" w:type="pct"/>
            <w:tcMar>
              <w:top w:w="108" w:type="dxa"/>
              <w:bottom w:w="108" w:type="dxa"/>
            </w:tcMar>
            <w:vAlign w:val="bottom"/>
          </w:tcPr>
          <w:p w14:paraId="549986C2" w14:textId="380FEDC4" w:rsidR="008E5101" w:rsidRPr="005D0129" w:rsidRDefault="008E5101" w:rsidP="00ED1DFF">
            <w:pPr>
              <w:pStyle w:val="TableColumnHeadingRight"/>
            </w:pPr>
            <w:r w:rsidRPr="005D0129">
              <w:rPr>
                <w:rFonts w:eastAsia="Aptos"/>
              </w:rPr>
              <w:t>Median payment time</w:t>
            </w:r>
            <w:r w:rsidR="008C5AAD">
              <w:rPr>
                <w:rFonts w:eastAsia="Aptos"/>
              </w:rPr>
              <w:t xml:space="preserve"> </w:t>
            </w:r>
            <w:r w:rsidR="008C5AAD">
              <w:t>(days)</w:t>
            </w:r>
          </w:p>
        </w:tc>
        <w:tc>
          <w:tcPr>
            <w:tcW w:w="616" w:type="pct"/>
            <w:tcMar>
              <w:top w:w="108" w:type="dxa"/>
              <w:bottom w:w="108" w:type="dxa"/>
            </w:tcMar>
            <w:vAlign w:val="bottom"/>
          </w:tcPr>
          <w:p w14:paraId="20D3B644" w14:textId="7A95E63E" w:rsidR="008E5101" w:rsidRPr="005D0129" w:rsidRDefault="008E5101" w:rsidP="00ED1DFF">
            <w:pPr>
              <w:pStyle w:val="TableColumnHeadingRight"/>
            </w:pPr>
            <w:r w:rsidRPr="005D0129">
              <w:rPr>
                <w:rFonts w:eastAsia="Aptos"/>
              </w:rPr>
              <w:t>Average payment time</w:t>
            </w:r>
            <w:r w:rsidR="008C5AAD">
              <w:rPr>
                <w:rFonts w:eastAsia="Aptos"/>
              </w:rPr>
              <w:t xml:space="preserve"> </w:t>
            </w:r>
            <w:r w:rsidR="008C5AAD">
              <w:t>(days)</w:t>
            </w:r>
          </w:p>
        </w:tc>
        <w:tc>
          <w:tcPr>
            <w:tcW w:w="759" w:type="pct"/>
            <w:tcMar>
              <w:top w:w="108" w:type="dxa"/>
              <w:bottom w:w="108" w:type="dxa"/>
            </w:tcMar>
            <w:vAlign w:val="bottom"/>
          </w:tcPr>
          <w:p w14:paraId="750416DB" w14:textId="5D59679C" w:rsidR="008E5101" w:rsidRPr="005D0129" w:rsidRDefault="008E5101" w:rsidP="00ED1DFF">
            <w:pPr>
              <w:pStyle w:val="TableColumnHeadingRight"/>
            </w:pPr>
            <w:r w:rsidRPr="005D0129">
              <w:rPr>
                <w:rFonts w:eastAsia="Aptos"/>
              </w:rPr>
              <w:t>80</w:t>
            </w:r>
            <w:r w:rsidRPr="008C5AAD">
              <w:rPr>
                <w:rFonts w:eastAsia="Aptos"/>
              </w:rPr>
              <w:t>th</w:t>
            </w:r>
            <w:r w:rsidRPr="005D0129">
              <w:rPr>
                <w:rFonts w:eastAsia="Aptos"/>
                <w:vertAlign w:val="superscript"/>
              </w:rPr>
              <w:t xml:space="preserve"> </w:t>
            </w:r>
            <w:r w:rsidRPr="005D0129">
              <w:rPr>
                <w:rFonts w:eastAsia="Aptos"/>
              </w:rPr>
              <w:t>percentile payment time</w:t>
            </w:r>
            <w:r w:rsidR="008D097B">
              <w:rPr>
                <w:rFonts w:eastAsia="Aptos"/>
              </w:rPr>
              <w:br/>
            </w:r>
            <w:r w:rsidR="008C5AAD">
              <w:t>(days)</w:t>
            </w:r>
          </w:p>
        </w:tc>
        <w:tc>
          <w:tcPr>
            <w:tcW w:w="708" w:type="pct"/>
            <w:tcMar>
              <w:top w:w="108" w:type="dxa"/>
              <w:bottom w:w="108" w:type="dxa"/>
            </w:tcMar>
            <w:vAlign w:val="bottom"/>
          </w:tcPr>
          <w:p w14:paraId="38EDCCB1" w14:textId="7B68A900" w:rsidR="008E5101" w:rsidRPr="005D0129" w:rsidRDefault="008E5101" w:rsidP="00ED1DFF">
            <w:pPr>
              <w:pStyle w:val="TableColumnHeadingRight"/>
            </w:pPr>
            <w:r w:rsidRPr="005D0129">
              <w:rPr>
                <w:rFonts w:eastAsia="Aptos"/>
              </w:rPr>
              <w:t>95</w:t>
            </w:r>
            <w:r w:rsidRPr="008C5AAD">
              <w:rPr>
                <w:rFonts w:eastAsia="Aptos"/>
              </w:rPr>
              <w:t xml:space="preserve">th </w:t>
            </w:r>
            <w:r w:rsidRPr="005D0129">
              <w:rPr>
                <w:rFonts w:eastAsia="Aptos"/>
              </w:rPr>
              <w:t>percentile payment time</w:t>
            </w:r>
            <w:r w:rsidR="008C5AAD">
              <w:rPr>
                <w:rFonts w:eastAsia="Aptos"/>
              </w:rPr>
              <w:t xml:space="preserve"> </w:t>
            </w:r>
            <w:r w:rsidR="008C5AAD">
              <w:t>(days)</w:t>
            </w:r>
          </w:p>
        </w:tc>
        <w:tc>
          <w:tcPr>
            <w:tcW w:w="749" w:type="pct"/>
            <w:tcMar>
              <w:top w:w="108" w:type="dxa"/>
              <w:bottom w:w="108" w:type="dxa"/>
            </w:tcMar>
            <w:vAlign w:val="bottom"/>
          </w:tcPr>
          <w:p w14:paraId="15D262F8" w14:textId="540BF528" w:rsidR="008E5101" w:rsidRPr="005D0129" w:rsidRDefault="008E5101" w:rsidP="00ED1DFF">
            <w:pPr>
              <w:pStyle w:val="TableColumnHeadingRight"/>
            </w:pPr>
            <w:r w:rsidRPr="005D0129">
              <w:rPr>
                <w:rFonts w:eastAsia="Aptos"/>
              </w:rPr>
              <w:t>Average percentage paid on time</w:t>
            </w:r>
            <w:r w:rsidR="008D097B">
              <w:rPr>
                <w:rFonts w:eastAsia="Aptos"/>
              </w:rPr>
              <w:br/>
            </w:r>
            <w:r w:rsidR="008C5AAD">
              <w:rPr>
                <w:rFonts w:eastAsia="Aptos"/>
              </w:rPr>
              <w:t>(%)</w:t>
            </w:r>
          </w:p>
        </w:tc>
      </w:tr>
      <w:tr w:rsidR="00291823" w:rsidRPr="005D0129" w14:paraId="5BFADF0F" w14:textId="77777777" w:rsidTr="008D097B">
        <w:trPr>
          <w:cnfStyle w:val="000000100000" w:firstRow="0" w:lastRow="0" w:firstColumn="0" w:lastColumn="0" w:oddVBand="0" w:evenVBand="0" w:oddHBand="1" w:evenHBand="0" w:firstRowFirstColumn="0" w:firstRowLastColumn="0" w:lastRowFirstColumn="0" w:lastRowLastColumn="0"/>
          <w:trHeight w:hRule="exact" w:val="312"/>
        </w:trPr>
        <w:tc>
          <w:tcPr>
            <w:tcW w:w="1063" w:type="pct"/>
            <w:vAlign w:val="center"/>
          </w:tcPr>
          <w:p w14:paraId="70B639E3" w14:textId="3052A589" w:rsidR="002A055B" w:rsidRPr="005D0129" w:rsidRDefault="002A055B" w:rsidP="00EF1780">
            <w:pPr>
              <w:pStyle w:val="TableTextLeft"/>
            </w:pPr>
            <w:r w:rsidRPr="005D0129">
              <w:t>Commonwealth Entity Averages</w:t>
            </w:r>
          </w:p>
        </w:tc>
        <w:tc>
          <w:tcPr>
            <w:tcW w:w="535" w:type="pct"/>
            <w:vAlign w:val="center"/>
          </w:tcPr>
          <w:p w14:paraId="19D7B94C" w14:textId="7C14C5DD" w:rsidR="002A055B" w:rsidRPr="005D0129" w:rsidRDefault="00F81B54" w:rsidP="00EF1780">
            <w:pPr>
              <w:pStyle w:val="TableTextRight"/>
            </w:pPr>
            <w:r>
              <w:t>19.6</w:t>
            </w:r>
          </w:p>
        </w:tc>
        <w:tc>
          <w:tcPr>
            <w:tcW w:w="570" w:type="pct"/>
            <w:vAlign w:val="center"/>
          </w:tcPr>
          <w:p w14:paraId="03EC4798" w14:textId="66F50065" w:rsidR="002A055B" w:rsidRPr="005D0129" w:rsidRDefault="002A055B" w:rsidP="00EF1780">
            <w:pPr>
              <w:pStyle w:val="TableTextRight"/>
            </w:pPr>
            <w:r w:rsidRPr="005D0129">
              <w:t>12</w:t>
            </w:r>
          </w:p>
        </w:tc>
        <w:tc>
          <w:tcPr>
            <w:tcW w:w="616" w:type="pct"/>
            <w:vAlign w:val="center"/>
          </w:tcPr>
          <w:p w14:paraId="1A83416D" w14:textId="601D127C" w:rsidR="002A055B" w:rsidRPr="005D0129" w:rsidRDefault="002A055B" w:rsidP="00EF1780">
            <w:pPr>
              <w:pStyle w:val="TableTextRight"/>
            </w:pPr>
            <w:r w:rsidRPr="005D0129">
              <w:t>16.4</w:t>
            </w:r>
          </w:p>
        </w:tc>
        <w:tc>
          <w:tcPr>
            <w:tcW w:w="759" w:type="pct"/>
            <w:vAlign w:val="center"/>
          </w:tcPr>
          <w:p w14:paraId="3871B6B5" w14:textId="565AF92F" w:rsidR="002A055B" w:rsidRPr="005D0129" w:rsidRDefault="002A055B" w:rsidP="00EF1780">
            <w:pPr>
              <w:pStyle w:val="TableTextRight"/>
            </w:pPr>
            <w:r w:rsidRPr="005D0129">
              <w:t>20</w:t>
            </w:r>
          </w:p>
        </w:tc>
        <w:tc>
          <w:tcPr>
            <w:tcW w:w="708" w:type="pct"/>
            <w:vAlign w:val="center"/>
          </w:tcPr>
          <w:p w14:paraId="7D7B1BDC" w14:textId="7B166D9E" w:rsidR="002A055B" w:rsidRPr="005D0129" w:rsidRDefault="002A055B" w:rsidP="00EF1780">
            <w:pPr>
              <w:pStyle w:val="TableTextRight"/>
            </w:pPr>
            <w:r w:rsidRPr="005D0129">
              <w:t>40</w:t>
            </w:r>
          </w:p>
        </w:tc>
        <w:tc>
          <w:tcPr>
            <w:tcW w:w="749" w:type="pct"/>
            <w:vAlign w:val="center"/>
          </w:tcPr>
          <w:p w14:paraId="76E8CC84" w14:textId="267835AB" w:rsidR="002A055B" w:rsidRPr="005D0129" w:rsidRDefault="002A055B" w:rsidP="00EF1780">
            <w:pPr>
              <w:pStyle w:val="TableTextRight"/>
            </w:pPr>
            <w:r w:rsidRPr="005D0129">
              <w:t>74.3%</w:t>
            </w:r>
          </w:p>
        </w:tc>
      </w:tr>
      <w:tr w:rsidR="00EF1780" w:rsidRPr="005D0129" w14:paraId="7A417BC4" w14:textId="77777777" w:rsidTr="008D097B">
        <w:trPr>
          <w:trHeight w:hRule="exact" w:val="312"/>
        </w:trPr>
        <w:tc>
          <w:tcPr>
            <w:tcW w:w="1063" w:type="pct"/>
            <w:vAlign w:val="center"/>
          </w:tcPr>
          <w:p w14:paraId="424C2D13" w14:textId="6DA54B7D" w:rsidR="002A055B" w:rsidRPr="00FA1868" w:rsidRDefault="002A055B" w:rsidP="00EF1780">
            <w:pPr>
              <w:pStyle w:val="TableTextLeft"/>
              <w:rPr>
                <w:b/>
                <w:bCs/>
              </w:rPr>
            </w:pPr>
            <w:r w:rsidRPr="00FA1868">
              <w:rPr>
                <w:b/>
                <w:bCs/>
              </w:rPr>
              <w:t>All industry Averages</w:t>
            </w:r>
          </w:p>
        </w:tc>
        <w:tc>
          <w:tcPr>
            <w:tcW w:w="535" w:type="pct"/>
            <w:vAlign w:val="center"/>
          </w:tcPr>
          <w:p w14:paraId="7F69F795" w14:textId="6CAFB0EB" w:rsidR="002A055B" w:rsidRPr="00FA1868" w:rsidRDefault="002A055B" w:rsidP="00EF1780">
            <w:pPr>
              <w:pStyle w:val="TableTextRight"/>
              <w:rPr>
                <w:b/>
                <w:bCs/>
              </w:rPr>
            </w:pPr>
            <w:r w:rsidRPr="00FA1868">
              <w:rPr>
                <w:b/>
                <w:bCs/>
              </w:rPr>
              <w:t>29</w:t>
            </w:r>
          </w:p>
        </w:tc>
        <w:tc>
          <w:tcPr>
            <w:tcW w:w="570" w:type="pct"/>
            <w:vAlign w:val="center"/>
          </w:tcPr>
          <w:p w14:paraId="1F4C0C7C" w14:textId="6C34FDD5" w:rsidR="002A055B" w:rsidRPr="00FA1868" w:rsidRDefault="002A055B" w:rsidP="00EF1780">
            <w:pPr>
              <w:pStyle w:val="TableTextRight"/>
              <w:rPr>
                <w:b/>
                <w:bCs/>
              </w:rPr>
            </w:pPr>
            <w:r w:rsidRPr="00FA1868">
              <w:rPr>
                <w:b/>
                <w:bCs/>
              </w:rPr>
              <w:t>2</w:t>
            </w:r>
            <w:r w:rsidR="00102A85">
              <w:rPr>
                <w:b/>
                <w:bCs/>
              </w:rPr>
              <w:t>3</w:t>
            </w:r>
          </w:p>
        </w:tc>
        <w:tc>
          <w:tcPr>
            <w:tcW w:w="616" w:type="pct"/>
            <w:vAlign w:val="center"/>
          </w:tcPr>
          <w:p w14:paraId="4387C68A" w14:textId="7B8488AC" w:rsidR="002A055B" w:rsidRPr="00FA1868" w:rsidRDefault="002A055B" w:rsidP="00EF1780">
            <w:pPr>
              <w:pStyle w:val="TableTextRight"/>
              <w:rPr>
                <w:b/>
                <w:bCs/>
              </w:rPr>
            </w:pPr>
            <w:r w:rsidRPr="00FA1868">
              <w:rPr>
                <w:b/>
                <w:bCs/>
              </w:rPr>
              <w:t>27.4</w:t>
            </w:r>
          </w:p>
        </w:tc>
        <w:tc>
          <w:tcPr>
            <w:tcW w:w="759" w:type="pct"/>
            <w:vAlign w:val="center"/>
          </w:tcPr>
          <w:p w14:paraId="4AD87FA3" w14:textId="267C173C" w:rsidR="002A055B" w:rsidRPr="00FA1868" w:rsidRDefault="002A055B" w:rsidP="00EF1780">
            <w:pPr>
              <w:pStyle w:val="TableTextRight"/>
              <w:rPr>
                <w:b/>
                <w:bCs/>
              </w:rPr>
            </w:pPr>
            <w:r w:rsidRPr="00FA1868">
              <w:rPr>
                <w:b/>
                <w:bCs/>
              </w:rPr>
              <w:t>39</w:t>
            </w:r>
          </w:p>
        </w:tc>
        <w:tc>
          <w:tcPr>
            <w:tcW w:w="708" w:type="pct"/>
            <w:vAlign w:val="center"/>
          </w:tcPr>
          <w:p w14:paraId="6EA57271" w14:textId="0194303E" w:rsidR="002A055B" w:rsidRPr="00FA1868" w:rsidRDefault="002A055B" w:rsidP="00EF1780">
            <w:pPr>
              <w:pStyle w:val="TableTextRight"/>
              <w:rPr>
                <w:b/>
                <w:bCs/>
              </w:rPr>
            </w:pPr>
            <w:r w:rsidRPr="00FA1868">
              <w:rPr>
                <w:b/>
                <w:bCs/>
              </w:rPr>
              <w:t>64</w:t>
            </w:r>
          </w:p>
        </w:tc>
        <w:tc>
          <w:tcPr>
            <w:tcW w:w="749" w:type="pct"/>
            <w:vAlign w:val="center"/>
          </w:tcPr>
          <w:p w14:paraId="5C245E46" w14:textId="2D0B6D07" w:rsidR="002A055B" w:rsidRPr="00FA1868" w:rsidRDefault="002A055B" w:rsidP="00EF1780">
            <w:pPr>
              <w:pStyle w:val="TableTextRight"/>
              <w:rPr>
                <w:b/>
                <w:bCs/>
              </w:rPr>
            </w:pPr>
            <w:r w:rsidRPr="00FA1868">
              <w:rPr>
                <w:b/>
                <w:bCs/>
              </w:rPr>
              <w:t>66.5%</w:t>
            </w:r>
          </w:p>
        </w:tc>
      </w:tr>
    </w:tbl>
    <w:p w14:paraId="70271BAE" w14:textId="77777777" w:rsidR="000C287A" w:rsidRPr="000C287A" w:rsidRDefault="000C287A" w:rsidP="002A055B">
      <w:pPr>
        <w:pStyle w:val="SingleParagraph"/>
        <w:rPr>
          <w:lang w:eastAsia="en-AU"/>
        </w:rPr>
      </w:pPr>
    </w:p>
    <w:p w14:paraId="2013DD08" w14:textId="77777777" w:rsidR="00885C4F" w:rsidRDefault="00885C4F">
      <w:pPr>
        <w:spacing w:before="0" w:after="160" w:line="259" w:lineRule="auto"/>
        <w:rPr>
          <w:lang w:eastAsia="en-AU"/>
        </w:rPr>
        <w:sectPr w:rsidR="00885C4F" w:rsidSect="00D579BF">
          <w:headerReference w:type="even" r:id="rId154"/>
          <w:headerReference w:type="default" r:id="rId155"/>
          <w:footerReference w:type="even" r:id="rId156"/>
          <w:footerReference w:type="default" r:id="rId157"/>
          <w:pgSz w:w="16838" w:h="11906" w:orient="landscape" w:code="9"/>
          <w:pgMar w:top="1701" w:right="1418" w:bottom="1701" w:left="1418" w:header="709" w:footer="709" w:gutter="0"/>
          <w:cols w:space="708"/>
          <w:docGrid w:linePitch="360"/>
        </w:sectPr>
      </w:pPr>
    </w:p>
    <w:p w14:paraId="443CD090" w14:textId="24075B53" w:rsidR="004F6A29" w:rsidRDefault="00536E70" w:rsidP="00CF25DB">
      <w:pPr>
        <w:pStyle w:val="TableMainHeading"/>
      </w:pPr>
      <w:r w:rsidRPr="002F5F97">
        <w:t xml:space="preserve">Table 6: </w:t>
      </w:r>
      <w:r w:rsidR="00E35D5F">
        <w:t>Average p</w:t>
      </w:r>
      <w:r w:rsidRPr="002F5F97">
        <w:t>ayment times</w:t>
      </w:r>
      <w:r w:rsidR="00E35D5F">
        <w:t xml:space="preserve"> with day r</w:t>
      </w:r>
      <w:r w:rsidR="00C65869">
        <w:t>anges</w:t>
      </w:r>
      <w:r w:rsidRPr="002F5F97">
        <w:t xml:space="preserve">, Reporting Cycles 1 to </w:t>
      </w:r>
      <w:r w:rsidR="00C72133">
        <w:t>9</w:t>
      </w:r>
    </w:p>
    <w:tbl>
      <w:tblPr>
        <w:tblStyle w:val="TableGrid"/>
        <w:tblW w:w="5000" w:type="pct"/>
        <w:tblLook w:val="04A0" w:firstRow="1" w:lastRow="0" w:firstColumn="1" w:lastColumn="0" w:noHBand="0" w:noVBand="1"/>
      </w:tblPr>
      <w:tblGrid>
        <w:gridCol w:w="2709"/>
        <w:gridCol w:w="2138"/>
        <w:gridCol w:w="1219"/>
        <w:gridCol w:w="1219"/>
        <w:gridCol w:w="1219"/>
      </w:tblGrid>
      <w:tr w:rsidR="00BE5B28" w:rsidRPr="005D0129" w14:paraId="26949F75" w14:textId="77777777" w:rsidTr="00C65869">
        <w:trPr>
          <w:cnfStyle w:val="100000000000" w:firstRow="1" w:lastRow="0" w:firstColumn="0" w:lastColumn="0" w:oddVBand="0" w:evenVBand="0" w:oddHBand="0" w:evenHBand="0" w:firstRowFirstColumn="0" w:firstRowLastColumn="0" w:lastRowFirstColumn="0" w:lastRowLastColumn="0"/>
          <w:trHeight w:val="244"/>
        </w:trPr>
        <w:tc>
          <w:tcPr>
            <w:tcW w:w="1592" w:type="pct"/>
            <w:vMerge w:val="restart"/>
            <w:tcMar>
              <w:top w:w="108" w:type="dxa"/>
              <w:bottom w:w="108" w:type="dxa"/>
            </w:tcMar>
            <w:vAlign w:val="bottom"/>
            <w:hideMark/>
          </w:tcPr>
          <w:p w14:paraId="6C31B81A" w14:textId="48AAC9E7" w:rsidR="00BE5B28" w:rsidRPr="005D0129" w:rsidRDefault="00BE5B28" w:rsidP="00ED1DFF">
            <w:pPr>
              <w:pStyle w:val="TableColumnHeadingLeft"/>
            </w:pPr>
            <w:r w:rsidRPr="005D0129">
              <w:rPr>
                <w:bCs/>
              </w:rPr>
              <w:t xml:space="preserve">Reporting </w:t>
            </w:r>
            <w:r w:rsidR="004D047B">
              <w:rPr>
                <w:bCs/>
              </w:rPr>
              <w:t>C</w:t>
            </w:r>
            <w:r w:rsidRPr="005D0129">
              <w:rPr>
                <w:bCs/>
              </w:rPr>
              <w:t>ycle</w:t>
            </w:r>
          </w:p>
        </w:tc>
        <w:tc>
          <w:tcPr>
            <w:tcW w:w="1257" w:type="pct"/>
            <w:vMerge w:val="restart"/>
            <w:tcMar>
              <w:top w:w="108" w:type="dxa"/>
              <w:bottom w:w="108" w:type="dxa"/>
            </w:tcMar>
            <w:vAlign w:val="bottom"/>
            <w:hideMark/>
          </w:tcPr>
          <w:p w14:paraId="4A70B2EF" w14:textId="18AFAB97" w:rsidR="00BE5B28" w:rsidRPr="005D0129" w:rsidRDefault="00BE5B28" w:rsidP="00ED1DFF">
            <w:pPr>
              <w:pStyle w:val="TableColumnHeadingRight"/>
              <w:jc w:val="left"/>
            </w:pPr>
            <w:r w:rsidRPr="005D0129">
              <w:t>Cycle range</w:t>
            </w:r>
          </w:p>
        </w:tc>
        <w:tc>
          <w:tcPr>
            <w:tcW w:w="2151" w:type="pct"/>
            <w:gridSpan w:val="3"/>
            <w:tcMar>
              <w:top w:w="108" w:type="dxa"/>
              <w:bottom w:w="108" w:type="dxa"/>
            </w:tcMar>
            <w:hideMark/>
          </w:tcPr>
          <w:p w14:paraId="608D4D78" w14:textId="2C55D823" w:rsidR="00BE5B28" w:rsidRPr="005D0129" w:rsidRDefault="00B4173A" w:rsidP="00C65869">
            <w:pPr>
              <w:pStyle w:val="TableColumnHeadingRight"/>
              <w:jc w:val="center"/>
            </w:pPr>
            <w:r>
              <w:t xml:space="preserve">Proportion of </w:t>
            </w:r>
            <w:r w:rsidR="00D96293">
              <w:t>entities with a</w:t>
            </w:r>
            <w:r w:rsidR="00BE5B28" w:rsidRPr="005D0129">
              <w:t>verage payment time</w:t>
            </w:r>
            <w:r w:rsidR="009E2D15">
              <w:t>s within</w:t>
            </w:r>
            <w:r w:rsidR="00D96293">
              <w:t>:</w:t>
            </w:r>
          </w:p>
        </w:tc>
      </w:tr>
      <w:tr w:rsidR="00BE5B28" w:rsidRPr="005D0129" w14:paraId="1F845E0E" w14:textId="77777777" w:rsidTr="00ED1DFF">
        <w:trPr>
          <w:cnfStyle w:val="000000100000" w:firstRow="0" w:lastRow="0" w:firstColumn="0" w:lastColumn="0" w:oddVBand="0" w:evenVBand="0" w:oddHBand="1" w:evenHBand="0" w:firstRowFirstColumn="0" w:firstRowLastColumn="0" w:lastRowFirstColumn="0" w:lastRowLastColumn="0"/>
          <w:trHeight w:val="244"/>
        </w:trPr>
        <w:tc>
          <w:tcPr>
            <w:tcW w:w="1592" w:type="pct"/>
            <w:vMerge/>
            <w:tcMar>
              <w:top w:w="108" w:type="dxa"/>
              <w:bottom w:w="108" w:type="dxa"/>
            </w:tcMar>
            <w:vAlign w:val="bottom"/>
          </w:tcPr>
          <w:p w14:paraId="54302C32" w14:textId="77777777" w:rsidR="00BE5B28" w:rsidRPr="005D0129" w:rsidRDefault="00BE5B28" w:rsidP="00ED1DFF">
            <w:pPr>
              <w:pStyle w:val="TableColumnHeadingLeft"/>
              <w:jc w:val="right"/>
              <w:rPr>
                <w:bCs/>
              </w:rPr>
            </w:pPr>
          </w:p>
        </w:tc>
        <w:tc>
          <w:tcPr>
            <w:tcW w:w="1257" w:type="pct"/>
            <w:vMerge/>
            <w:tcMar>
              <w:top w:w="108" w:type="dxa"/>
              <w:bottom w:w="108" w:type="dxa"/>
            </w:tcMar>
            <w:vAlign w:val="bottom"/>
          </w:tcPr>
          <w:p w14:paraId="571C5B45" w14:textId="77777777" w:rsidR="00BE5B28" w:rsidRPr="005D0129" w:rsidRDefault="00BE5B28" w:rsidP="00ED1DFF">
            <w:pPr>
              <w:pStyle w:val="TableColumnHeadingRight"/>
              <w:rPr>
                <w:bCs/>
              </w:rPr>
            </w:pPr>
          </w:p>
        </w:tc>
        <w:tc>
          <w:tcPr>
            <w:tcW w:w="717" w:type="pct"/>
            <w:shd w:val="clear" w:color="auto" w:fill="461F65" w:themeFill="accent1"/>
            <w:tcMar>
              <w:top w:w="108" w:type="dxa"/>
              <w:bottom w:w="108" w:type="dxa"/>
            </w:tcMar>
            <w:vAlign w:val="bottom"/>
          </w:tcPr>
          <w:p w14:paraId="285CF2D8" w14:textId="2648EECE" w:rsidR="00BE5B28" w:rsidRPr="005D0129" w:rsidRDefault="00BE5B28" w:rsidP="00ED1DFF">
            <w:pPr>
              <w:pStyle w:val="TableColumnHeadingRight"/>
            </w:pPr>
            <w:r w:rsidRPr="005D0129">
              <w:t>30 days</w:t>
            </w:r>
            <w:r w:rsidR="000D6A9C">
              <w:br/>
              <w:t>(%)</w:t>
            </w:r>
          </w:p>
        </w:tc>
        <w:tc>
          <w:tcPr>
            <w:tcW w:w="717" w:type="pct"/>
            <w:shd w:val="clear" w:color="auto" w:fill="461F65" w:themeFill="accent1"/>
            <w:tcMar>
              <w:top w:w="108" w:type="dxa"/>
              <w:bottom w:w="108" w:type="dxa"/>
            </w:tcMar>
            <w:vAlign w:val="bottom"/>
          </w:tcPr>
          <w:p w14:paraId="10DD01DE" w14:textId="308BAA64" w:rsidR="00BE5B28" w:rsidRPr="005D0129" w:rsidRDefault="00BE5B28" w:rsidP="00ED1DFF">
            <w:pPr>
              <w:pStyle w:val="TableColumnHeadingRight"/>
            </w:pPr>
            <w:r w:rsidRPr="005D0129">
              <w:t>31-60 days</w:t>
            </w:r>
            <w:r w:rsidR="000D6A9C">
              <w:br/>
              <w:t>(%)</w:t>
            </w:r>
          </w:p>
        </w:tc>
        <w:tc>
          <w:tcPr>
            <w:tcW w:w="717" w:type="pct"/>
            <w:shd w:val="clear" w:color="auto" w:fill="461F65" w:themeFill="accent1"/>
            <w:tcMar>
              <w:top w:w="108" w:type="dxa"/>
              <w:bottom w:w="108" w:type="dxa"/>
            </w:tcMar>
            <w:vAlign w:val="bottom"/>
          </w:tcPr>
          <w:p w14:paraId="75E64F7D" w14:textId="58DB2990" w:rsidR="00BE5B28" w:rsidRPr="005D0129" w:rsidRDefault="00BE5B28" w:rsidP="00ED1DFF">
            <w:pPr>
              <w:pStyle w:val="TableColumnHeadingRight"/>
            </w:pPr>
            <w:r w:rsidRPr="005D0129">
              <w:t>&gt;60 days</w:t>
            </w:r>
            <w:r w:rsidR="000D6A9C">
              <w:br/>
              <w:t>(%)</w:t>
            </w:r>
          </w:p>
        </w:tc>
      </w:tr>
      <w:tr w:rsidR="00BE5B28" w:rsidRPr="005D0129" w14:paraId="3FC5BED7" w14:textId="77777777" w:rsidTr="00996C49">
        <w:trPr>
          <w:trHeight w:val="397"/>
        </w:trPr>
        <w:tc>
          <w:tcPr>
            <w:tcW w:w="1592" w:type="pct"/>
            <w:vAlign w:val="center"/>
          </w:tcPr>
          <w:p w14:paraId="342E2895" w14:textId="102A6FC4" w:rsidR="00BE5B28" w:rsidRPr="005D0129" w:rsidRDefault="00BE5B28" w:rsidP="00BE1EF4">
            <w:pPr>
              <w:pStyle w:val="TableTextLeft"/>
              <w:rPr>
                <w:bCs/>
              </w:rPr>
            </w:pPr>
            <w:r w:rsidRPr="005D0129">
              <w:t>Cycle 1</w:t>
            </w:r>
          </w:p>
        </w:tc>
        <w:tc>
          <w:tcPr>
            <w:tcW w:w="1257" w:type="pct"/>
            <w:vAlign w:val="center"/>
          </w:tcPr>
          <w:p w14:paraId="69D7BB96" w14:textId="470E6A2D" w:rsidR="00BE5B28" w:rsidRPr="005D0129" w:rsidRDefault="00BE5B28" w:rsidP="00BE1EF4">
            <w:pPr>
              <w:pStyle w:val="TableTextRight"/>
              <w:rPr>
                <w:bCs/>
              </w:rPr>
            </w:pPr>
            <w:r w:rsidRPr="005D0129">
              <w:t>1 Jan 2021 - 30 Jun 2021</w:t>
            </w:r>
          </w:p>
        </w:tc>
        <w:tc>
          <w:tcPr>
            <w:tcW w:w="717" w:type="pct"/>
            <w:vAlign w:val="center"/>
          </w:tcPr>
          <w:p w14:paraId="14445312" w14:textId="1A677B41" w:rsidR="00BE5B28" w:rsidRPr="005D0129" w:rsidRDefault="00BE5B28" w:rsidP="00BE1EF4">
            <w:pPr>
              <w:pStyle w:val="TableTextRight"/>
            </w:pPr>
            <w:r w:rsidRPr="005D0129">
              <w:t>63.2%</w:t>
            </w:r>
          </w:p>
        </w:tc>
        <w:tc>
          <w:tcPr>
            <w:tcW w:w="717" w:type="pct"/>
            <w:vAlign w:val="center"/>
          </w:tcPr>
          <w:p w14:paraId="1C338A65" w14:textId="41481399" w:rsidR="00BE5B28" w:rsidRPr="005D0129" w:rsidRDefault="00BE5B28" w:rsidP="00BE1EF4">
            <w:pPr>
              <w:pStyle w:val="TableTextRight"/>
            </w:pPr>
            <w:r w:rsidRPr="005D0129">
              <w:t>28.2%</w:t>
            </w:r>
          </w:p>
        </w:tc>
        <w:tc>
          <w:tcPr>
            <w:tcW w:w="717" w:type="pct"/>
            <w:vAlign w:val="center"/>
          </w:tcPr>
          <w:p w14:paraId="005108A8" w14:textId="0524B492" w:rsidR="00BE5B28" w:rsidRPr="005D0129" w:rsidRDefault="00BE5B28" w:rsidP="00BE1EF4">
            <w:pPr>
              <w:pStyle w:val="TableTextRight"/>
            </w:pPr>
            <w:r w:rsidRPr="005D0129">
              <w:t>8.6%</w:t>
            </w:r>
          </w:p>
        </w:tc>
      </w:tr>
      <w:tr w:rsidR="00996C49" w:rsidRPr="005D0129" w14:paraId="5BE72F7F" w14:textId="77777777" w:rsidTr="00996C49">
        <w:trPr>
          <w:cnfStyle w:val="000000100000" w:firstRow="0" w:lastRow="0" w:firstColumn="0" w:lastColumn="0" w:oddVBand="0" w:evenVBand="0" w:oddHBand="1" w:evenHBand="0" w:firstRowFirstColumn="0" w:firstRowLastColumn="0" w:lastRowFirstColumn="0" w:lastRowLastColumn="0"/>
          <w:trHeight w:val="397"/>
        </w:trPr>
        <w:tc>
          <w:tcPr>
            <w:tcW w:w="1592" w:type="pct"/>
            <w:vAlign w:val="center"/>
          </w:tcPr>
          <w:p w14:paraId="42218C02" w14:textId="0F0C0E20" w:rsidR="00BE5B28" w:rsidRPr="005D0129" w:rsidRDefault="00BE5B28" w:rsidP="00BE1EF4">
            <w:pPr>
              <w:pStyle w:val="TableTextLeft"/>
              <w:rPr>
                <w:bCs/>
              </w:rPr>
            </w:pPr>
            <w:r w:rsidRPr="005D0129">
              <w:t>Cycle 2</w:t>
            </w:r>
          </w:p>
        </w:tc>
        <w:tc>
          <w:tcPr>
            <w:tcW w:w="1257" w:type="pct"/>
            <w:vAlign w:val="center"/>
          </w:tcPr>
          <w:p w14:paraId="1C04FBC0" w14:textId="5C86A9EE" w:rsidR="00BE5B28" w:rsidRPr="005D0129" w:rsidRDefault="00BE5B28" w:rsidP="00BE1EF4">
            <w:pPr>
              <w:pStyle w:val="TableTextRight"/>
              <w:rPr>
                <w:bCs/>
              </w:rPr>
            </w:pPr>
            <w:r w:rsidRPr="005D0129">
              <w:t>1 Jul 2021 - 31 Dec 2021</w:t>
            </w:r>
          </w:p>
        </w:tc>
        <w:tc>
          <w:tcPr>
            <w:tcW w:w="717" w:type="pct"/>
            <w:vAlign w:val="center"/>
          </w:tcPr>
          <w:p w14:paraId="063AB21F" w14:textId="0EF02CFB" w:rsidR="00BE5B28" w:rsidRPr="005D0129" w:rsidRDefault="00BE5B28" w:rsidP="00BE1EF4">
            <w:pPr>
              <w:pStyle w:val="TableTextRight"/>
            </w:pPr>
            <w:r w:rsidRPr="005D0129">
              <w:t>65.6%</w:t>
            </w:r>
          </w:p>
        </w:tc>
        <w:tc>
          <w:tcPr>
            <w:tcW w:w="717" w:type="pct"/>
            <w:vAlign w:val="center"/>
          </w:tcPr>
          <w:p w14:paraId="14CFF9AD" w14:textId="6C2FEC4D" w:rsidR="00BE5B28" w:rsidRPr="005D0129" w:rsidRDefault="00BE5B28" w:rsidP="00BE1EF4">
            <w:pPr>
              <w:pStyle w:val="TableTextRight"/>
            </w:pPr>
            <w:r w:rsidRPr="005D0129">
              <w:t>26.6%</w:t>
            </w:r>
          </w:p>
        </w:tc>
        <w:tc>
          <w:tcPr>
            <w:tcW w:w="717" w:type="pct"/>
            <w:vAlign w:val="center"/>
          </w:tcPr>
          <w:p w14:paraId="09AA0DFC" w14:textId="058926B5" w:rsidR="00BE5B28" w:rsidRPr="005D0129" w:rsidRDefault="00BE5B28" w:rsidP="00BE1EF4">
            <w:pPr>
              <w:pStyle w:val="TableTextRight"/>
            </w:pPr>
            <w:r w:rsidRPr="005D0129">
              <w:t>7.8%</w:t>
            </w:r>
          </w:p>
        </w:tc>
      </w:tr>
      <w:tr w:rsidR="00BE5B28" w:rsidRPr="005D0129" w14:paraId="0F9CF56F" w14:textId="77777777" w:rsidTr="00996C49">
        <w:trPr>
          <w:trHeight w:val="397"/>
        </w:trPr>
        <w:tc>
          <w:tcPr>
            <w:tcW w:w="1592" w:type="pct"/>
            <w:vAlign w:val="center"/>
          </w:tcPr>
          <w:p w14:paraId="3DF30A92" w14:textId="3531F42A" w:rsidR="00BE5B28" w:rsidRPr="005D0129" w:rsidRDefault="00BE5B28" w:rsidP="00BE1EF4">
            <w:pPr>
              <w:pStyle w:val="TableTextLeft"/>
              <w:rPr>
                <w:bCs/>
              </w:rPr>
            </w:pPr>
            <w:r w:rsidRPr="005D0129">
              <w:t>Cycle 3</w:t>
            </w:r>
          </w:p>
        </w:tc>
        <w:tc>
          <w:tcPr>
            <w:tcW w:w="1257" w:type="pct"/>
            <w:vAlign w:val="center"/>
          </w:tcPr>
          <w:p w14:paraId="2FE9468D" w14:textId="5870CDE4" w:rsidR="00BE5B28" w:rsidRPr="005D0129" w:rsidRDefault="00BE5B28" w:rsidP="00BE1EF4">
            <w:pPr>
              <w:pStyle w:val="TableTextRight"/>
              <w:rPr>
                <w:bCs/>
              </w:rPr>
            </w:pPr>
            <w:r w:rsidRPr="005D0129">
              <w:t>1 Jan 2022 - 30 Jun 2022</w:t>
            </w:r>
          </w:p>
        </w:tc>
        <w:tc>
          <w:tcPr>
            <w:tcW w:w="717" w:type="pct"/>
            <w:vAlign w:val="center"/>
          </w:tcPr>
          <w:p w14:paraId="23445BF4" w14:textId="2EFA4DC9" w:rsidR="00BE5B28" w:rsidRPr="005D0129" w:rsidRDefault="00BE5B28" w:rsidP="00BE1EF4">
            <w:pPr>
              <w:pStyle w:val="TableTextRight"/>
            </w:pPr>
            <w:r w:rsidRPr="005D0129">
              <w:t>66.2%</w:t>
            </w:r>
          </w:p>
        </w:tc>
        <w:tc>
          <w:tcPr>
            <w:tcW w:w="717" w:type="pct"/>
            <w:vAlign w:val="center"/>
          </w:tcPr>
          <w:p w14:paraId="1088531F" w14:textId="799EB468" w:rsidR="00BE5B28" w:rsidRPr="005D0129" w:rsidRDefault="00BE5B28" w:rsidP="00BE1EF4">
            <w:pPr>
              <w:pStyle w:val="TableTextRight"/>
            </w:pPr>
            <w:r w:rsidRPr="005D0129">
              <w:t>25.8%</w:t>
            </w:r>
          </w:p>
        </w:tc>
        <w:tc>
          <w:tcPr>
            <w:tcW w:w="717" w:type="pct"/>
            <w:vAlign w:val="center"/>
          </w:tcPr>
          <w:p w14:paraId="58E97792" w14:textId="587C04FF" w:rsidR="00BE5B28" w:rsidRPr="005D0129" w:rsidRDefault="00BE5B28" w:rsidP="00BE1EF4">
            <w:pPr>
              <w:pStyle w:val="TableTextRight"/>
            </w:pPr>
            <w:r w:rsidRPr="005D0129">
              <w:t>8.1%</w:t>
            </w:r>
          </w:p>
        </w:tc>
      </w:tr>
      <w:tr w:rsidR="00BE1EF4" w:rsidRPr="005D0129" w14:paraId="61565A4A" w14:textId="77777777" w:rsidTr="00996C49">
        <w:trPr>
          <w:cnfStyle w:val="000000100000" w:firstRow="0" w:lastRow="0" w:firstColumn="0" w:lastColumn="0" w:oddVBand="0" w:evenVBand="0" w:oddHBand="1" w:evenHBand="0" w:firstRowFirstColumn="0" w:firstRowLastColumn="0" w:lastRowFirstColumn="0" w:lastRowLastColumn="0"/>
          <w:trHeight w:val="397"/>
        </w:trPr>
        <w:tc>
          <w:tcPr>
            <w:tcW w:w="1592" w:type="pct"/>
            <w:vAlign w:val="center"/>
          </w:tcPr>
          <w:p w14:paraId="13804B30" w14:textId="7A978D79" w:rsidR="00BE5B28" w:rsidRPr="005D0129" w:rsidRDefault="00BE5B28" w:rsidP="00BE1EF4">
            <w:pPr>
              <w:pStyle w:val="TableTextLeft"/>
              <w:rPr>
                <w:bCs/>
              </w:rPr>
            </w:pPr>
            <w:r w:rsidRPr="005D0129">
              <w:t>Cycle 4</w:t>
            </w:r>
          </w:p>
        </w:tc>
        <w:tc>
          <w:tcPr>
            <w:tcW w:w="1257" w:type="pct"/>
            <w:vAlign w:val="center"/>
          </w:tcPr>
          <w:p w14:paraId="3BD13C31" w14:textId="231B5F82" w:rsidR="00BE5B28" w:rsidRPr="005D0129" w:rsidRDefault="00BE5B28" w:rsidP="00BE1EF4">
            <w:pPr>
              <w:pStyle w:val="TableTextRight"/>
              <w:rPr>
                <w:bCs/>
              </w:rPr>
            </w:pPr>
            <w:r w:rsidRPr="005D0129">
              <w:t>1 Jul 2022 - 31 Dec 2022</w:t>
            </w:r>
          </w:p>
        </w:tc>
        <w:tc>
          <w:tcPr>
            <w:tcW w:w="717" w:type="pct"/>
            <w:vAlign w:val="center"/>
          </w:tcPr>
          <w:p w14:paraId="64FEEFC7" w14:textId="5386DF20" w:rsidR="00BE5B28" w:rsidRPr="005D0129" w:rsidRDefault="00BE5B28" w:rsidP="00BE1EF4">
            <w:pPr>
              <w:pStyle w:val="TableTextRight"/>
            </w:pPr>
            <w:r w:rsidRPr="005D0129">
              <w:t>67.5%</w:t>
            </w:r>
          </w:p>
        </w:tc>
        <w:tc>
          <w:tcPr>
            <w:tcW w:w="717" w:type="pct"/>
            <w:vAlign w:val="center"/>
          </w:tcPr>
          <w:p w14:paraId="2341862D" w14:textId="28D8975C" w:rsidR="00BE5B28" w:rsidRPr="005D0129" w:rsidRDefault="00BE5B28" w:rsidP="00BE1EF4">
            <w:pPr>
              <w:pStyle w:val="TableTextRight"/>
            </w:pPr>
            <w:r w:rsidRPr="005D0129">
              <w:t>24.8%</w:t>
            </w:r>
          </w:p>
        </w:tc>
        <w:tc>
          <w:tcPr>
            <w:tcW w:w="717" w:type="pct"/>
            <w:vAlign w:val="center"/>
          </w:tcPr>
          <w:p w14:paraId="23C540DE" w14:textId="18336D68" w:rsidR="00BE5B28" w:rsidRPr="005D0129" w:rsidRDefault="00BE5B28" w:rsidP="00BE1EF4">
            <w:pPr>
              <w:pStyle w:val="TableTextRight"/>
            </w:pPr>
            <w:r w:rsidRPr="005D0129">
              <w:t>7.7%</w:t>
            </w:r>
          </w:p>
        </w:tc>
      </w:tr>
      <w:tr w:rsidR="00BE5B28" w:rsidRPr="005D0129" w14:paraId="3D2658C3" w14:textId="77777777" w:rsidTr="00996C49">
        <w:trPr>
          <w:trHeight w:val="397"/>
        </w:trPr>
        <w:tc>
          <w:tcPr>
            <w:tcW w:w="1592" w:type="pct"/>
            <w:vAlign w:val="center"/>
          </w:tcPr>
          <w:p w14:paraId="1911E59B" w14:textId="6C2BBE23" w:rsidR="00BE5B28" w:rsidRPr="005D0129" w:rsidRDefault="00BE5B28" w:rsidP="00BE1EF4">
            <w:pPr>
              <w:pStyle w:val="TableTextLeft"/>
              <w:rPr>
                <w:bCs/>
              </w:rPr>
            </w:pPr>
            <w:r w:rsidRPr="005D0129">
              <w:t>Cycle 5</w:t>
            </w:r>
          </w:p>
        </w:tc>
        <w:tc>
          <w:tcPr>
            <w:tcW w:w="1257" w:type="pct"/>
            <w:vAlign w:val="center"/>
          </w:tcPr>
          <w:p w14:paraId="5EA22ED1" w14:textId="652A4298" w:rsidR="00BE5B28" w:rsidRPr="005D0129" w:rsidRDefault="00BE5B28" w:rsidP="00BE1EF4">
            <w:pPr>
              <w:pStyle w:val="TableTextRight"/>
              <w:rPr>
                <w:bCs/>
              </w:rPr>
            </w:pPr>
            <w:r w:rsidRPr="005D0129">
              <w:t>1 Jan 2023 - 30 Jun 2023</w:t>
            </w:r>
          </w:p>
        </w:tc>
        <w:tc>
          <w:tcPr>
            <w:tcW w:w="717" w:type="pct"/>
            <w:vAlign w:val="center"/>
          </w:tcPr>
          <w:p w14:paraId="0EEAFB05" w14:textId="782AB6EC" w:rsidR="00BE5B28" w:rsidRPr="005D0129" w:rsidRDefault="00BE5B28" w:rsidP="00BE1EF4">
            <w:pPr>
              <w:pStyle w:val="TableTextRight"/>
            </w:pPr>
            <w:r w:rsidRPr="005D0129">
              <w:t>67.2%</w:t>
            </w:r>
          </w:p>
        </w:tc>
        <w:tc>
          <w:tcPr>
            <w:tcW w:w="717" w:type="pct"/>
            <w:vAlign w:val="center"/>
          </w:tcPr>
          <w:p w14:paraId="67ACA24A" w14:textId="07F8DF1D" w:rsidR="00BE5B28" w:rsidRPr="005D0129" w:rsidRDefault="00BE5B28" w:rsidP="00BE1EF4">
            <w:pPr>
              <w:pStyle w:val="TableTextRight"/>
            </w:pPr>
            <w:r w:rsidRPr="005D0129">
              <w:t>24.8%</w:t>
            </w:r>
          </w:p>
        </w:tc>
        <w:tc>
          <w:tcPr>
            <w:tcW w:w="717" w:type="pct"/>
            <w:vAlign w:val="center"/>
          </w:tcPr>
          <w:p w14:paraId="64DAE8EA" w14:textId="71941514" w:rsidR="00BE5B28" w:rsidRPr="005D0129" w:rsidRDefault="00BE5B28" w:rsidP="00BE1EF4">
            <w:pPr>
              <w:pStyle w:val="TableTextRight"/>
            </w:pPr>
            <w:r w:rsidRPr="005D0129">
              <w:t>8.0%</w:t>
            </w:r>
          </w:p>
        </w:tc>
      </w:tr>
      <w:tr w:rsidR="00BE1EF4" w:rsidRPr="005D0129" w14:paraId="0A101A08" w14:textId="77777777" w:rsidTr="00996C49">
        <w:trPr>
          <w:cnfStyle w:val="000000100000" w:firstRow="0" w:lastRow="0" w:firstColumn="0" w:lastColumn="0" w:oddVBand="0" w:evenVBand="0" w:oddHBand="1" w:evenHBand="0" w:firstRowFirstColumn="0" w:firstRowLastColumn="0" w:lastRowFirstColumn="0" w:lastRowLastColumn="0"/>
          <w:trHeight w:val="397"/>
        </w:trPr>
        <w:tc>
          <w:tcPr>
            <w:tcW w:w="1592" w:type="pct"/>
            <w:vAlign w:val="center"/>
          </w:tcPr>
          <w:p w14:paraId="0327FF12" w14:textId="2149A10E" w:rsidR="00BE5B28" w:rsidRPr="005D0129" w:rsidRDefault="00BE5B28" w:rsidP="00BE1EF4">
            <w:pPr>
              <w:pStyle w:val="TableTextLeft"/>
              <w:rPr>
                <w:bCs/>
              </w:rPr>
            </w:pPr>
            <w:r w:rsidRPr="005D0129">
              <w:t>Cycle 6</w:t>
            </w:r>
          </w:p>
        </w:tc>
        <w:tc>
          <w:tcPr>
            <w:tcW w:w="1257" w:type="pct"/>
            <w:vAlign w:val="center"/>
          </w:tcPr>
          <w:p w14:paraId="3070FAEE" w14:textId="20B455C7" w:rsidR="00BE5B28" w:rsidRPr="005D0129" w:rsidRDefault="00BE5B28" w:rsidP="00BE1EF4">
            <w:pPr>
              <w:pStyle w:val="TableTextRight"/>
              <w:rPr>
                <w:bCs/>
              </w:rPr>
            </w:pPr>
            <w:r w:rsidRPr="005D0129">
              <w:t>1 Jul 2023 - 31 Dec 2023</w:t>
            </w:r>
          </w:p>
        </w:tc>
        <w:tc>
          <w:tcPr>
            <w:tcW w:w="717" w:type="pct"/>
            <w:vAlign w:val="center"/>
          </w:tcPr>
          <w:p w14:paraId="79574870" w14:textId="19B875F2" w:rsidR="00BE5B28" w:rsidRPr="005D0129" w:rsidRDefault="00BE5B28" w:rsidP="00BE1EF4">
            <w:pPr>
              <w:pStyle w:val="TableTextRight"/>
            </w:pPr>
            <w:r w:rsidRPr="005D0129">
              <w:t>68.7%</w:t>
            </w:r>
          </w:p>
        </w:tc>
        <w:tc>
          <w:tcPr>
            <w:tcW w:w="717" w:type="pct"/>
            <w:vAlign w:val="center"/>
          </w:tcPr>
          <w:p w14:paraId="2482E893" w14:textId="58F98D49" w:rsidR="00BE5B28" w:rsidRPr="005D0129" w:rsidRDefault="00BE5B28" w:rsidP="00BE1EF4">
            <w:pPr>
              <w:pStyle w:val="TableTextRight"/>
            </w:pPr>
            <w:r w:rsidRPr="005D0129">
              <w:t>24.1%</w:t>
            </w:r>
          </w:p>
        </w:tc>
        <w:tc>
          <w:tcPr>
            <w:tcW w:w="717" w:type="pct"/>
            <w:vAlign w:val="center"/>
          </w:tcPr>
          <w:p w14:paraId="4D211ADB" w14:textId="78AE0E72" w:rsidR="00BE5B28" w:rsidRPr="005D0129" w:rsidRDefault="00BE5B28" w:rsidP="00BE1EF4">
            <w:pPr>
              <w:pStyle w:val="TableTextRight"/>
            </w:pPr>
            <w:r w:rsidRPr="005D0129">
              <w:t>7.1%</w:t>
            </w:r>
          </w:p>
        </w:tc>
      </w:tr>
      <w:tr w:rsidR="00BE5B28" w:rsidRPr="005D0129" w14:paraId="2FA108C3" w14:textId="77777777" w:rsidTr="00996C49">
        <w:trPr>
          <w:trHeight w:val="397"/>
        </w:trPr>
        <w:tc>
          <w:tcPr>
            <w:tcW w:w="1592" w:type="pct"/>
            <w:vAlign w:val="center"/>
          </w:tcPr>
          <w:p w14:paraId="36C642E6" w14:textId="414B75E8" w:rsidR="00BE5B28" w:rsidRPr="005D0129" w:rsidRDefault="00BE5B28" w:rsidP="00BE1EF4">
            <w:pPr>
              <w:pStyle w:val="TableTextLeft"/>
              <w:rPr>
                <w:bCs/>
              </w:rPr>
            </w:pPr>
            <w:r w:rsidRPr="005D0129">
              <w:t>Cycle 7</w:t>
            </w:r>
          </w:p>
        </w:tc>
        <w:tc>
          <w:tcPr>
            <w:tcW w:w="1257" w:type="pct"/>
            <w:vAlign w:val="center"/>
          </w:tcPr>
          <w:p w14:paraId="6F0140C0" w14:textId="06F70B1E" w:rsidR="00BE5B28" w:rsidRPr="005D0129" w:rsidRDefault="00BE5B28" w:rsidP="00BE1EF4">
            <w:pPr>
              <w:pStyle w:val="TableTextRight"/>
              <w:rPr>
                <w:bCs/>
              </w:rPr>
            </w:pPr>
            <w:r w:rsidRPr="005D0129">
              <w:t>1 Jan 2024 - 30 Jun 2024</w:t>
            </w:r>
          </w:p>
        </w:tc>
        <w:tc>
          <w:tcPr>
            <w:tcW w:w="717" w:type="pct"/>
            <w:vAlign w:val="center"/>
          </w:tcPr>
          <w:p w14:paraId="1E1E05BB" w14:textId="54918248" w:rsidR="00BE5B28" w:rsidRPr="005D0129" w:rsidRDefault="00BE5B28" w:rsidP="00BE1EF4">
            <w:pPr>
              <w:pStyle w:val="TableTextRight"/>
            </w:pPr>
            <w:r w:rsidRPr="005D0129">
              <w:t>68.7%</w:t>
            </w:r>
          </w:p>
        </w:tc>
        <w:tc>
          <w:tcPr>
            <w:tcW w:w="717" w:type="pct"/>
            <w:vAlign w:val="center"/>
          </w:tcPr>
          <w:p w14:paraId="00CE93B4" w14:textId="486D1EF4" w:rsidR="00BE5B28" w:rsidRPr="005D0129" w:rsidRDefault="00BE5B28" w:rsidP="00BE1EF4">
            <w:pPr>
              <w:pStyle w:val="TableTextRight"/>
            </w:pPr>
            <w:r w:rsidRPr="005D0129">
              <w:t>24.0%</w:t>
            </w:r>
          </w:p>
        </w:tc>
        <w:tc>
          <w:tcPr>
            <w:tcW w:w="717" w:type="pct"/>
            <w:vAlign w:val="center"/>
          </w:tcPr>
          <w:p w14:paraId="10051FC9" w14:textId="1D495414" w:rsidR="00BE5B28" w:rsidRPr="005D0129" w:rsidRDefault="00BE5B28" w:rsidP="00BE1EF4">
            <w:pPr>
              <w:pStyle w:val="TableTextRight"/>
            </w:pPr>
            <w:r w:rsidRPr="005D0129">
              <w:t>7.3%</w:t>
            </w:r>
          </w:p>
        </w:tc>
      </w:tr>
      <w:tr w:rsidR="00BE1EF4" w:rsidRPr="005D0129" w14:paraId="022FFDC9" w14:textId="77777777" w:rsidTr="00996C49">
        <w:trPr>
          <w:cnfStyle w:val="000000100000" w:firstRow="0" w:lastRow="0" w:firstColumn="0" w:lastColumn="0" w:oddVBand="0" w:evenVBand="0" w:oddHBand="1" w:evenHBand="0" w:firstRowFirstColumn="0" w:firstRowLastColumn="0" w:lastRowFirstColumn="0" w:lastRowLastColumn="0"/>
          <w:trHeight w:val="397"/>
        </w:trPr>
        <w:tc>
          <w:tcPr>
            <w:tcW w:w="1592" w:type="pct"/>
            <w:vAlign w:val="center"/>
          </w:tcPr>
          <w:p w14:paraId="4FD9DC4B" w14:textId="4E723C77" w:rsidR="00BE5B28" w:rsidRPr="005D0129" w:rsidRDefault="00BE5B28" w:rsidP="00BE1EF4">
            <w:pPr>
              <w:pStyle w:val="TableTextLeft"/>
              <w:rPr>
                <w:bCs/>
              </w:rPr>
            </w:pPr>
            <w:r w:rsidRPr="005D0129">
              <w:t>Cycle 8</w:t>
            </w:r>
          </w:p>
        </w:tc>
        <w:tc>
          <w:tcPr>
            <w:tcW w:w="1257" w:type="pct"/>
            <w:vAlign w:val="center"/>
          </w:tcPr>
          <w:p w14:paraId="73E51B52" w14:textId="0F866E69" w:rsidR="00BE5B28" w:rsidRPr="005D0129" w:rsidRDefault="00BE5B28" w:rsidP="00BE1EF4">
            <w:pPr>
              <w:pStyle w:val="TableTextRight"/>
              <w:rPr>
                <w:bCs/>
              </w:rPr>
            </w:pPr>
            <w:r w:rsidRPr="005D0129">
              <w:t>1 Jul 2024 - 31 Dec 2024</w:t>
            </w:r>
          </w:p>
        </w:tc>
        <w:tc>
          <w:tcPr>
            <w:tcW w:w="717" w:type="pct"/>
            <w:vAlign w:val="center"/>
          </w:tcPr>
          <w:p w14:paraId="37561ADE" w14:textId="6D3FD4ED" w:rsidR="00BE5B28" w:rsidRPr="005D0129" w:rsidRDefault="00BE5B28" w:rsidP="00BE1EF4">
            <w:pPr>
              <w:pStyle w:val="TableTextRight"/>
            </w:pPr>
            <w:r w:rsidRPr="005D0129">
              <w:t>68.2%</w:t>
            </w:r>
          </w:p>
        </w:tc>
        <w:tc>
          <w:tcPr>
            <w:tcW w:w="717" w:type="pct"/>
            <w:vAlign w:val="center"/>
          </w:tcPr>
          <w:p w14:paraId="7D5176B5" w14:textId="212B4A26" w:rsidR="00BE5B28" w:rsidRPr="005D0129" w:rsidRDefault="00BE5B28" w:rsidP="00BE1EF4">
            <w:pPr>
              <w:pStyle w:val="TableTextRight"/>
            </w:pPr>
            <w:r w:rsidRPr="005D0129">
              <w:t>25.0%</w:t>
            </w:r>
          </w:p>
        </w:tc>
        <w:tc>
          <w:tcPr>
            <w:tcW w:w="717" w:type="pct"/>
            <w:vAlign w:val="center"/>
          </w:tcPr>
          <w:p w14:paraId="39440992" w14:textId="14C86734" w:rsidR="00BE5B28" w:rsidRPr="005D0129" w:rsidRDefault="00BE5B28" w:rsidP="00BE1EF4">
            <w:pPr>
              <w:pStyle w:val="TableTextRight"/>
            </w:pPr>
            <w:r w:rsidRPr="005D0129">
              <w:t>6.8%</w:t>
            </w:r>
          </w:p>
        </w:tc>
      </w:tr>
      <w:tr w:rsidR="00BE5B28" w:rsidRPr="005D0129" w14:paraId="22CFCD27" w14:textId="77777777" w:rsidTr="00996C49">
        <w:trPr>
          <w:trHeight w:val="397"/>
        </w:trPr>
        <w:tc>
          <w:tcPr>
            <w:tcW w:w="1592" w:type="pct"/>
            <w:vAlign w:val="center"/>
          </w:tcPr>
          <w:p w14:paraId="0627B009" w14:textId="33466911" w:rsidR="00BE5B28" w:rsidRPr="005D0129" w:rsidRDefault="00BE5B28" w:rsidP="00BE1EF4">
            <w:pPr>
              <w:pStyle w:val="TableTextLeft"/>
              <w:rPr>
                <w:bCs/>
              </w:rPr>
            </w:pPr>
            <w:r w:rsidRPr="005D0129">
              <w:t>Cycle 9</w:t>
            </w:r>
          </w:p>
        </w:tc>
        <w:tc>
          <w:tcPr>
            <w:tcW w:w="1257" w:type="pct"/>
            <w:vAlign w:val="center"/>
          </w:tcPr>
          <w:p w14:paraId="3B98FC99" w14:textId="2F39907C" w:rsidR="00BE5B28" w:rsidRPr="005D0129" w:rsidRDefault="00BE5B28" w:rsidP="00BE1EF4">
            <w:pPr>
              <w:pStyle w:val="TableTextRight"/>
              <w:rPr>
                <w:bCs/>
              </w:rPr>
            </w:pPr>
            <w:r w:rsidRPr="005D0129">
              <w:t>1 Jan 2025 - 30 Jun 2025</w:t>
            </w:r>
          </w:p>
        </w:tc>
        <w:tc>
          <w:tcPr>
            <w:tcW w:w="717" w:type="pct"/>
            <w:vAlign w:val="center"/>
          </w:tcPr>
          <w:p w14:paraId="771F544F" w14:textId="44D880F5" w:rsidR="00BE5B28" w:rsidRPr="005D0129" w:rsidRDefault="00BE5B28" w:rsidP="00BE1EF4">
            <w:pPr>
              <w:pStyle w:val="TableTextRight"/>
            </w:pPr>
            <w:r w:rsidRPr="005D0129">
              <w:t>68.2%</w:t>
            </w:r>
          </w:p>
        </w:tc>
        <w:tc>
          <w:tcPr>
            <w:tcW w:w="717" w:type="pct"/>
            <w:vAlign w:val="center"/>
          </w:tcPr>
          <w:p w14:paraId="07F24A59" w14:textId="672BEFBC" w:rsidR="00BE5B28" w:rsidRPr="005D0129" w:rsidRDefault="00BE5B28" w:rsidP="00BE1EF4">
            <w:pPr>
              <w:pStyle w:val="TableTextRight"/>
            </w:pPr>
            <w:r w:rsidRPr="005D0129">
              <w:t>25.0%</w:t>
            </w:r>
          </w:p>
        </w:tc>
        <w:tc>
          <w:tcPr>
            <w:tcW w:w="717" w:type="pct"/>
            <w:vAlign w:val="center"/>
          </w:tcPr>
          <w:p w14:paraId="751ADE51" w14:textId="1B98E1D5" w:rsidR="00BE5B28" w:rsidRPr="005D0129" w:rsidRDefault="00BE5B28" w:rsidP="00BE1EF4">
            <w:pPr>
              <w:pStyle w:val="TableTextRight"/>
            </w:pPr>
            <w:r w:rsidRPr="005D0129">
              <w:t>6.8%</w:t>
            </w:r>
          </w:p>
        </w:tc>
      </w:tr>
    </w:tbl>
    <w:p w14:paraId="2C0628E7" w14:textId="77777777" w:rsidR="00BE5B28" w:rsidRPr="00BE5B28" w:rsidRDefault="00BE5B28" w:rsidP="00BE1EF4">
      <w:pPr>
        <w:pStyle w:val="SingleParagraph"/>
        <w:rPr>
          <w:lang w:eastAsia="en-AU"/>
        </w:rPr>
      </w:pPr>
    </w:p>
    <w:p w14:paraId="1C71B915" w14:textId="7FC3C7E3" w:rsidR="004F6A29" w:rsidRPr="002F5F97" w:rsidRDefault="00CF7B38" w:rsidP="00CF7B38">
      <w:pPr>
        <w:pStyle w:val="TableMainHeading"/>
      </w:pPr>
      <w:r w:rsidRPr="002F5F97">
        <w:t>Table 7: Payment times and terms, Reporting Cycle 9</w:t>
      </w:r>
    </w:p>
    <w:tbl>
      <w:tblPr>
        <w:tblStyle w:val="TableGrid"/>
        <w:tblW w:w="5000" w:type="pct"/>
        <w:tblLook w:val="04A0" w:firstRow="1" w:lastRow="0" w:firstColumn="1" w:lastColumn="0" w:noHBand="0" w:noVBand="1"/>
      </w:tblPr>
      <w:tblGrid>
        <w:gridCol w:w="1700"/>
        <w:gridCol w:w="1701"/>
        <w:gridCol w:w="1701"/>
        <w:gridCol w:w="1701"/>
        <w:gridCol w:w="1701"/>
      </w:tblGrid>
      <w:tr w:rsidR="0058089E" w:rsidRPr="005D0129" w14:paraId="7EE08746" w14:textId="77777777" w:rsidTr="00ED1DFF">
        <w:trPr>
          <w:cnfStyle w:val="100000000000" w:firstRow="1" w:lastRow="0" w:firstColumn="0" w:lastColumn="0" w:oddVBand="0" w:evenVBand="0" w:oddHBand="0" w:evenHBand="0" w:firstRowFirstColumn="0" w:firstRowLastColumn="0" w:lastRowFirstColumn="0" w:lastRowLastColumn="0"/>
          <w:trHeight w:val="612"/>
        </w:trPr>
        <w:tc>
          <w:tcPr>
            <w:tcW w:w="1000" w:type="pct"/>
            <w:tcMar>
              <w:top w:w="108" w:type="dxa"/>
              <w:bottom w:w="108" w:type="dxa"/>
            </w:tcMar>
            <w:vAlign w:val="bottom"/>
            <w:hideMark/>
          </w:tcPr>
          <w:p w14:paraId="1C5C295D" w14:textId="77777777" w:rsidR="00CA20DA" w:rsidRPr="005D0129" w:rsidRDefault="00CA20DA" w:rsidP="00ED1DFF">
            <w:pPr>
              <w:pStyle w:val="TableColumnHeadingLeft"/>
            </w:pPr>
            <w:r w:rsidRPr="005D0129">
              <w:t>Common payment term</w:t>
            </w:r>
          </w:p>
        </w:tc>
        <w:tc>
          <w:tcPr>
            <w:tcW w:w="1000" w:type="pct"/>
            <w:tcMar>
              <w:top w:w="108" w:type="dxa"/>
              <w:bottom w:w="108" w:type="dxa"/>
            </w:tcMar>
            <w:vAlign w:val="bottom"/>
            <w:hideMark/>
          </w:tcPr>
          <w:p w14:paraId="16AB9500" w14:textId="77777777" w:rsidR="00CA20DA" w:rsidRPr="005D0129" w:rsidRDefault="00CA20DA" w:rsidP="00ED1DFF">
            <w:pPr>
              <w:pStyle w:val="TableColumnHeadingRight"/>
            </w:pPr>
            <w:r w:rsidRPr="005D0129">
              <w:t>Median payment time</w:t>
            </w:r>
          </w:p>
        </w:tc>
        <w:tc>
          <w:tcPr>
            <w:tcW w:w="1000" w:type="pct"/>
            <w:tcMar>
              <w:top w:w="108" w:type="dxa"/>
              <w:bottom w:w="108" w:type="dxa"/>
            </w:tcMar>
            <w:vAlign w:val="bottom"/>
            <w:hideMark/>
          </w:tcPr>
          <w:p w14:paraId="4F7FEE07" w14:textId="77777777" w:rsidR="00CA20DA" w:rsidRPr="005D0129" w:rsidRDefault="00CA20DA" w:rsidP="00ED1DFF">
            <w:pPr>
              <w:pStyle w:val="TableColumnHeadingRight"/>
            </w:pPr>
            <w:r w:rsidRPr="005D0129">
              <w:t>Average payment time</w:t>
            </w:r>
          </w:p>
        </w:tc>
        <w:tc>
          <w:tcPr>
            <w:tcW w:w="1000" w:type="pct"/>
            <w:tcMar>
              <w:top w:w="108" w:type="dxa"/>
              <w:bottom w:w="108" w:type="dxa"/>
            </w:tcMar>
            <w:vAlign w:val="bottom"/>
            <w:hideMark/>
          </w:tcPr>
          <w:p w14:paraId="79DB51E4" w14:textId="77777777" w:rsidR="00CA20DA" w:rsidRPr="005D0129" w:rsidRDefault="00CA20DA" w:rsidP="00ED1DFF">
            <w:pPr>
              <w:pStyle w:val="TableColumnHeadingRight"/>
            </w:pPr>
            <w:r w:rsidRPr="005D0129">
              <w:t>80th percentile payment time</w:t>
            </w:r>
          </w:p>
        </w:tc>
        <w:tc>
          <w:tcPr>
            <w:tcW w:w="1000" w:type="pct"/>
            <w:tcMar>
              <w:top w:w="108" w:type="dxa"/>
              <w:bottom w:w="108" w:type="dxa"/>
            </w:tcMar>
            <w:vAlign w:val="bottom"/>
            <w:hideMark/>
          </w:tcPr>
          <w:p w14:paraId="6DE17F60" w14:textId="77777777" w:rsidR="00CA20DA" w:rsidRPr="005D0129" w:rsidRDefault="00CA20DA" w:rsidP="00ED1DFF">
            <w:pPr>
              <w:pStyle w:val="TableColumnHeadingRight"/>
            </w:pPr>
            <w:r w:rsidRPr="005D0129">
              <w:t>95th percentile payment time</w:t>
            </w:r>
          </w:p>
        </w:tc>
      </w:tr>
      <w:tr w:rsidR="0058089E" w:rsidRPr="005D0129" w14:paraId="727424A5" w14:textId="77777777" w:rsidTr="00823145">
        <w:trPr>
          <w:cnfStyle w:val="000000100000" w:firstRow="0" w:lastRow="0" w:firstColumn="0" w:lastColumn="0" w:oddVBand="0" w:evenVBand="0" w:oddHBand="1" w:evenHBand="0" w:firstRowFirstColumn="0" w:firstRowLastColumn="0" w:lastRowFirstColumn="0" w:lastRowLastColumn="0"/>
          <w:trHeight w:val="397"/>
        </w:trPr>
        <w:tc>
          <w:tcPr>
            <w:tcW w:w="1000" w:type="pct"/>
            <w:vAlign w:val="center"/>
          </w:tcPr>
          <w:p w14:paraId="0C0C3F51" w14:textId="1C9704B2" w:rsidR="0058089E" w:rsidRPr="005D0129" w:rsidRDefault="0058089E" w:rsidP="008E5101">
            <w:pPr>
              <w:pStyle w:val="TableTextLeft"/>
            </w:pPr>
            <w:r w:rsidRPr="005D0129">
              <w:t>29</w:t>
            </w:r>
          </w:p>
        </w:tc>
        <w:tc>
          <w:tcPr>
            <w:tcW w:w="1000" w:type="pct"/>
            <w:vAlign w:val="center"/>
          </w:tcPr>
          <w:p w14:paraId="4CE5AC44" w14:textId="4B2EA9F3" w:rsidR="0058089E" w:rsidRPr="005D0129" w:rsidRDefault="0058089E" w:rsidP="008E5101">
            <w:pPr>
              <w:pStyle w:val="TableTextRight"/>
            </w:pPr>
            <w:r w:rsidRPr="005D0129">
              <w:t>23.0</w:t>
            </w:r>
          </w:p>
        </w:tc>
        <w:tc>
          <w:tcPr>
            <w:tcW w:w="1000" w:type="pct"/>
            <w:vAlign w:val="center"/>
          </w:tcPr>
          <w:p w14:paraId="220E931F" w14:textId="227FEE4D" w:rsidR="0058089E" w:rsidRPr="005D0129" w:rsidRDefault="0058089E" w:rsidP="008E5101">
            <w:pPr>
              <w:pStyle w:val="TableTextRight"/>
            </w:pPr>
            <w:r w:rsidRPr="005D0129">
              <w:t>27.4</w:t>
            </w:r>
          </w:p>
        </w:tc>
        <w:tc>
          <w:tcPr>
            <w:tcW w:w="1000" w:type="pct"/>
            <w:vAlign w:val="center"/>
          </w:tcPr>
          <w:p w14:paraId="242EE26E" w14:textId="2E9CA33D" w:rsidR="0058089E" w:rsidRPr="005D0129" w:rsidRDefault="0058089E" w:rsidP="008E5101">
            <w:pPr>
              <w:pStyle w:val="TableTextRight"/>
            </w:pPr>
            <w:r w:rsidRPr="005D0129">
              <w:t>39</w:t>
            </w:r>
          </w:p>
        </w:tc>
        <w:tc>
          <w:tcPr>
            <w:tcW w:w="1000" w:type="pct"/>
            <w:vAlign w:val="center"/>
          </w:tcPr>
          <w:p w14:paraId="35B16B74" w14:textId="7D5B1F04" w:rsidR="0058089E" w:rsidRPr="005D0129" w:rsidRDefault="0058089E" w:rsidP="008E5101">
            <w:pPr>
              <w:pStyle w:val="TableTextRight"/>
            </w:pPr>
            <w:r w:rsidRPr="005D0129">
              <w:t>64</w:t>
            </w:r>
          </w:p>
        </w:tc>
      </w:tr>
    </w:tbl>
    <w:p w14:paraId="072A0064" w14:textId="77777777" w:rsidR="004F6A29" w:rsidRDefault="004F6A29" w:rsidP="0058089E">
      <w:pPr>
        <w:pStyle w:val="SingleParagraph"/>
        <w:rPr>
          <w:lang w:eastAsia="en-AU"/>
        </w:rPr>
      </w:pPr>
    </w:p>
    <w:p w14:paraId="2FFCA04E" w14:textId="24D9CC56" w:rsidR="0058089E" w:rsidRDefault="0058089E">
      <w:pPr>
        <w:spacing w:before="0" w:after="160" w:line="259" w:lineRule="auto"/>
        <w:rPr>
          <w:lang w:eastAsia="en-AU"/>
        </w:rPr>
      </w:pPr>
      <w:r>
        <w:rPr>
          <w:lang w:eastAsia="en-AU"/>
        </w:rPr>
        <w:br w:type="page"/>
      </w:r>
    </w:p>
    <w:p w14:paraId="55A9C4C8" w14:textId="3AA9BE78" w:rsidR="00910BDC" w:rsidRPr="002F5F97" w:rsidRDefault="00144B09" w:rsidP="00D367C9">
      <w:pPr>
        <w:pStyle w:val="TableMainHeading"/>
      </w:pPr>
      <w:r w:rsidRPr="002F5F97">
        <w:t xml:space="preserve">Table 8: </w:t>
      </w:r>
      <w:r w:rsidRPr="00D367C9">
        <w:t>Average</w:t>
      </w:r>
      <w:r w:rsidRPr="002F5F97">
        <w:t xml:space="preserve"> percentage of payments within 30 days by industry, Reporting Cycle 9</w:t>
      </w:r>
    </w:p>
    <w:tbl>
      <w:tblPr>
        <w:tblStyle w:val="TableGrid"/>
        <w:tblW w:w="5000" w:type="pct"/>
        <w:tblLook w:val="04A0" w:firstRow="1" w:lastRow="0" w:firstColumn="1" w:lastColumn="0" w:noHBand="0" w:noVBand="1"/>
      </w:tblPr>
      <w:tblGrid>
        <w:gridCol w:w="5812"/>
        <w:gridCol w:w="2692"/>
      </w:tblGrid>
      <w:tr w:rsidR="00DC3FFB" w:rsidRPr="005D0129" w14:paraId="75481D07" w14:textId="77777777" w:rsidTr="00ED1DFF">
        <w:trPr>
          <w:cnfStyle w:val="100000000000" w:firstRow="1" w:lastRow="0" w:firstColumn="0" w:lastColumn="0" w:oddVBand="0" w:evenVBand="0" w:oddHBand="0" w:evenHBand="0" w:firstRowFirstColumn="0" w:firstRowLastColumn="0" w:lastRowFirstColumn="0" w:lastRowLastColumn="0"/>
          <w:trHeight w:val="250"/>
        </w:trPr>
        <w:tc>
          <w:tcPr>
            <w:tcW w:w="3417" w:type="pct"/>
            <w:vMerge w:val="restart"/>
            <w:tcMar>
              <w:top w:w="108" w:type="dxa"/>
              <w:bottom w:w="108" w:type="dxa"/>
            </w:tcMar>
            <w:vAlign w:val="bottom"/>
            <w:hideMark/>
          </w:tcPr>
          <w:p w14:paraId="429C97CB" w14:textId="390881F6" w:rsidR="00DC3FFB" w:rsidRPr="00F24AA2" w:rsidRDefault="00DC3FFB" w:rsidP="00F24AA2">
            <w:pPr>
              <w:pStyle w:val="TableColumnHeadingLeft"/>
            </w:pPr>
            <w:r w:rsidRPr="00F24AA2">
              <w:t>Industr</w:t>
            </w:r>
            <w:r w:rsidR="00F837CC">
              <w:t>y</w:t>
            </w:r>
            <w:r w:rsidR="00F24AA2" w:rsidRPr="00F24AA2">
              <w:br/>
            </w:r>
            <w:r w:rsidR="00F24AA2" w:rsidRPr="00F24AA2">
              <w:rPr>
                <w:rStyle w:val="Strong"/>
                <w:rFonts w:eastAsia="Aptos"/>
                <w:b/>
                <w:bCs w:val="0"/>
              </w:rPr>
              <w:t>Ranked by alphabetical order</w:t>
            </w:r>
          </w:p>
        </w:tc>
        <w:tc>
          <w:tcPr>
            <w:tcW w:w="1583" w:type="pct"/>
            <w:tcMar>
              <w:top w:w="108" w:type="dxa"/>
              <w:bottom w:w="108" w:type="dxa"/>
            </w:tcMar>
            <w:vAlign w:val="bottom"/>
            <w:hideMark/>
          </w:tcPr>
          <w:p w14:paraId="0C78119B" w14:textId="77777777" w:rsidR="00DC3FFB" w:rsidRPr="005D0129" w:rsidRDefault="00DC3FFB" w:rsidP="00ED1DFF">
            <w:pPr>
              <w:pStyle w:val="TableColumnHeadingRight"/>
            </w:pPr>
            <w:r w:rsidRPr="005D0129">
              <w:t>Reporting Cycle 9</w:t>
            </w:r>
          </w:p>
        </w:tc>
      </w:tr>
      <w:tr w:rsidR="00DC3FFB" w:rsidRPr="005D0129" w14:paraId="581F2F9C" w14:textId="77777777" w:rsidTr="00ED1DFF">
        <w:trPr>
          <w:cnfStyle w:val="000000100000" w:firstRow="0" w:lastRow="0" w:firstColumn="0" w:lastColumn="0" w:oddVBand="0" w:evenVBand="0" w:oddHBand="1" w:evenHBand="0" w:firstRowFirstColumn="0" w:firstRowLastColumn="0" w:lastRowFirstColumn="0" w:lastRowLastColumn="0"/>
          <w:trHeight w:val="20"/>
        </w:trPr>
        <w:tc>
          <w:tcPr>
            <w:tcW w:w="3417" w:type="pct"/>
            <w:vMerge/>
            <w:tcMar>
              <w:top w:w="108" w:type="dxa"/>
              <w:bottom w:w="108" w:type="dxa"/>
            </w:tcMar>
            <w:hideMark/>
          </w:tcPr>
          <w:p w14:paraId="6A8E9ECF" w14:textId="77777777" w:rsidR="00DC3FFB" w:rsidRPr="005D0129" w:rsidRDefault="00DC3FFB" w:rsidP="00805861">
            <w:pPr>
              <w:rPr>
                <w:b/>
                <w:bCs/>
              </w:rPr>
            </w:pPr>
          </w:p>
        </w:tc>
        <w:tc>
          <w:tcPr>
            <w:tcW w:w="1583" w:type="pct"/>
            <w:shd w:val="clear" w:color="auto" w:fill="461F65" w:themeFill="accent1"/>
            <w:tcMar>
              <w:top w:w="108" w:type="dxa"/>
              <w:bottom w:w="108" w:type="dxa"/>
            </w:tcMar>
            <w:vAlign w:val="bottom"/>
            <w:hideMark/>
          </w:tcPr>
          <w:p w14:paraId="7C6F6268" w14:textId="3C210371" w:rsidR="00DC3FFB" w:rsidRPr="005D0129" w:rsidRDefault="00DC3FFB" w:rsidP="00ED1DFF">
            <w:pPr>
              <w:pStyle w:val="TableColumnHeadingRight"/>
            </w:pPr>
            <w:r w:rsidRPr="005D0129">
              <w:t>1 Jan 2025 to 30 Jun 2025</w:t>
            </w:r>
            <w:r w:rsidR="00F24AA2">
              <w:t xml:space="preserve"> (%)</w:t>
            </w:r>
            <w:r w:rsidR="00D579BF" w:rsidRPr="005D0129">
              <w:t xml:space="preserve"> </w:t>
            </w:r>
          </w:p>
        </w:tc>
      </w:tr>
      <w:tr w:rsidR="00DC3FFB" w:rsidRPr="005D0129" w14:paraId="15094E4B" w14:textId="77777777" w:rsidTr="00823145">
        <w:trPr>
          <w:trHeight w:val="312"/>
        </w:trPr>
        <w:tc>
          <w:tcPr>
            <w:tcW w:w="3417" w:type="pct"/>
            <w:shd w:val="clear" w:color="auto" w:fill="F1E1FF" w:themeFill="background2"/>
            <w:noWrap/>
            <w:vAlign w:val="center"/>
            <w:hideMark/>
          </w:tcPr>
          <w:p w14:paraId="3F724904" w14:textId="77777777" w:rsidR="00DC3FFB" w:rsidRPr="005D0129" w:rsidRDefault="00DC3FFB" w:rsidP="009763C9">
            <w:pPr>
              <w:pStyle w:val="TableTextLeft"/>
              <w:rPr>
                <w:rStyle w:val="Strong"/>
                <w:rFonts w:eastAsia="Aptos"/>
              </w:rPr>
            </w:pPr>
            <w:r w:rsidRPr="005D0129">
              <w:rPr>
                <w:rStyle w:val="Strong"/>
                <w:rFonts w:eastAsia="Aptos"/>
              </w:rPr>
              <w:t>Ranked by alphabetical order</w:t>
            </w:r>
          </w:p>
        </w:tc>
        <w:tc>
          <w:tcPr>
            <w:tcW w:w="1583" w:type="pct"/>
            <w:shd w:val="clear" w:color="auto" w:fill="F1E1FF" w:themeFill="background2"/>
            <w:noWrap/>
            <w:vAlign w:val="center"/>
            <w:hideMark/>
          </w:tcPr>
          <w:p w14:paraId="1E67F406" w14:textId="77777777" w:rsidR="00DC3FFB" w:rsidRPr="005D0129" w:rsidRDefault="00DC3FFB" w:rsidP="00823145">
            <w:pPr>
              <w:pStyle w:val="TableTextRight"/>
              <w:rPr>
                <w:rStyle w:val="Strong"/>
                <w:rFonts w:eastAsia="Aptos"/>
              </w:rPr>
            </w:pPr>
            <w:r w:rsidRPr="005D0129">
              <w:rPr>
                <w:rStyle w:val="Strong"/>
                <w:rFonts w:eastAsia="Aptos"/>
              </w:rPr>
              <w:t>%</w:t>
            </w:r>
          </w:p>
        </w:tc>
      </w:tr>
      <w:tr w:rsidR="00DC3FFB" w:rsidRPr="005D0129" w14:paraId="052C3CE6"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210D4AFF" w14:textId="77777777" w:rsidR="00DC3FFB" w:rsidRPr="005D0129" w:rsidRDefault="00DC3FFB" w:rsidP="009763C9">
            <w:pPr>
              <w:pStyle w:val="TableTextLeft"/>
            </w:pPr>
            <w:r w:rsidRPr="005D0129">
              <w:t>Accommodation and Food Services</w:t>
            </w:r>
          </w:p>
        </w:tc>
        <w:tc>
          <w:tcPr>
            <w:tcW w:w="1583" w:type="pct"/>
            <w:shd w:val="clear" w:color="auto" w:fill="auto"/>
            <w:noWrap/>
            <w:vAlign w:val="center"/>
            <w:hideMark/>
          </w:tcPr>
          <w:p w14:paraId="1602D183" w14:textId="77777777" w:rsidR="00DC3FFB" w:rsidRPr="005D0129" w:rsidRDefault="00DC3FFB" w:rsidP="00823145">
            <w:pPr>
              <w:pStyle w:val="TableTextRight"/>
            </w:pPr>
            <w:r w:rsidRPr="005D0129">
              <w:t>74.2%</w:t>
            </w:r>
          </w:p>
        </w:tc>
      </w:tr>
      <w:tr w:rsidR="00DC3FFB" w:rsidRPr="005D0129" w14:paraId="60192FF1" w14:textId="77777777" w:rsidTr="00823145">
        <w:trPr>
          <w:trHeight w:val="312"/>
        </w:trPr>
        <w:tc>
          <w:tcPr>
            <w:tcW w:w="3417" w:type="pct"/>
            <w:shd w:val="clear" w:color="auto" w:fill="F1E1FF" w:themeFill="background2"/>
            <w:noWrap/>
            <w:vAlign w:val="center"/>
            <w:hideMark/>
          </w:tcPr>
          <w:p w14:paraId="0D2900C6" w14:textId="77777777" w:rsidR="00DC3FFB" w:rsidRPr="005D0129" w:rsidRDefault="00DC3FFB" w:rsidP="009763C9">
            <w:pPr>
              <w:pStyle w:val="TableTextLeft"/>
            </w:pPr>
            <w:r w:rsidRPr="005D0129">
              <w:t>Administrative and Support Services</w:t>
            </w:r>
          </w:p>
        </w:tc>
        <w:tc>
          <w:tcPr>
            <w:tcW w:w="1583" w:type="pct"/>
            <w:shd w:val="clear" w:color="auto" w:fill="F1E1FF" w:themeFill="background2"/>
            <w:noWrap/>
            <w:vAlign w:val="center"/>
            <w:hideMark/>
          </w:tcPr>
          <w:p w14:paraId="790F6EC3" w14:textId="77777777" w:rsidR="00DC3FFB" w:rsidRPr="005D0129" w:rsidRDefault="00DC3FFB" w:rsidP="00823145">
            <w:pPr>
              <w:pStyle w:val="TableTextRight"/>
            </w:pPr>
            <w:r w:rsidRPr="005D0129">
              <w:t>75.8%</w:t>
            </w:r>
          </w:p>
        </w:tc>
      </w:tr>
      <w:tr w:rsidR="00DC3FFB" w:rsidRPr="005D0129" w14:paraId="4356EB24"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41510931" w14:textId="77777777" w:rsidR="00DC3FFB" w:rsidRPr="005D0129" w:rsidRDefault="00DC3FFB" w:rsidP="009763C9">
            <w:pPr>
              <w:pStyle w:val="TableTextLeft"/>
            </w:pPr>
            <w:r w:rsidRPr="005D0129">
              <w:t>Agriculture, Forestry and Fishing</w:t>
            </w:r>
          </w:p>
        </w:tc>
        <w:tc>
          <w:tcPr>
            <w:tcW w:w="1583" w:type="pct"/>
            <w:shd w:val="clear" w:color="auto" w:fill="auto"/>
            <w:noWrap/>
            <w:vAlign w:val="center"/>
            <w:hideMark/>
          </w:tcPr>
          <w:p w14:paraId="5CDA7211" w14:textId="77777777" w:rsidR="00DC3FFB" w:rsidRPr="005D0129" w:rsidRDefault="00DC3FFB" w:rsidP="00823145">
            <w:pPr>
              <w:pStyle w:val="TableTextRight"/>
            </w:pPr>
            <w:r w:rsidRPr="005D0129">
              <w:t>72.8%</w:t>
            </w:r>
          </w:p>
        </w:tc>
      </w:tr>
      <w:tr w:rsidR="00DC3FFB" w:rsidRPr="005D0129" w14:paraId="4697D528" w14:textId="77777777" w:rsidTr="00823145">
        <w:trPr>
          <w:trHeight w:val="312"/>
        </w:trPr>
        <w:tc>
          <w:tcPr>
            <w:tcW w:w="3417" w:type="pct"/>
            <w:shd w:val="clear" w:color="auto" w:fill="F1E1FF" w:themeFill="background2"/>
            <w:noWrap/>
            <w:vAlign w:val="center"/>
            <w:hideMark/>
          </w:tcPr>
          <w:p w14:paraId="78878C4E" w14:textId="77777777" w:rsidR="00DC3FFB" w:rsidRPr="005D0129" w:rsidRDefault="00DC3FFB" w:rsidP="009763C9">
            <w:pPr>
              <w:pStyle w:val="TableTextLeft"/>
            </w:pPr>
            <w:r w:rsidRPr="005D0129">
              <w:t>Arts and Recreation Services</w:t>
            </w:r>
          </w:p>
        </w:tc>
        <w:tc>
          <w:tcPr>
            <w:tcW w:w="1583" w:type="pct"/>
            <w:shd w:val="clear" w:color="auto" w:fill="F1E1FF" w:themeFill="background2"/>
            <w:noWrap/>
            <w:vAlign w:val="center"/>
            <w:hideMark/>
          </w:tcPr>
          <w:p w14:paraId="031E9070" w14:textId="77777777" w:rsidR="00DC3FFB" w:rsidRPr="005D0129" w:rsidRDefault="00DC3FFB" w:rsidP="00823145">
            <w:pPr>
              <w:pStyle w:val="TableTextRight"/>
            </w:pPr>
            <w:r w:rsidRPr="005D0129">
              <w:t>79.9%</w:t>
            </w:r>
          </w:p>
        </w:tc>
      </w:tr>
      <w:tr w:rsidR="00DC3FFB" w:rsidRPr="005D0129" w14:paraId="1C7B190D"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49D9296A" w14:textId="77777777" w:rsidR="00DC3FFB" w:rsidRPr="005D0129" w:rsidRDefault="00DC3FFB" w:rsidP="009763C9">
            <w:pPr>
              <w:pStyle w:val="TableTextLeft"/>
            </w:pPr>
            <w:r w:rsidRPr="005D0129">
              <w:t>Construction</w:t>
            </w:r>
          </w:p>
        </w:tc>
        <w:tc>
          <w:tcPr>
            <w:tcW w:w="1583" w:type="pct"/>
            <w:shd w:val="clear" w:color="auto" w:fill="auto"/>
            <w:noWrap/>
            <w:vAlign w:val="center"/>
            <w:hideMark/>
          </w:tcPr>
          <w:p w14:paraId="2B1695BC" w14:textId="77777777" w:rsidR="00DC3FFB" w:rsidRPr="005D0129" w:rsidRDefault="00DC3FFB" w:rsidP="00823145">
            <w:pPr>
              <w:pStyle w:val="TableTextRight"/>
            </w:pPr>
            <w:r w:rsidRPr="005D0129">
              <w:t>54.7%</w:t>
            </w:r>
          </w:p>
        </w:tc>
      </w:tr>
      <w:tr w:rsidR="00DC3FFB" w:rsidRPr="005D0129" w14:paraId="14F6712B" w14:textId="77777777" w:rsidTr="00823145">
        <w:trPr>
          <w:trHeight w:val="312"/>
        </w:trPr>
        <w:tc>
          <w:tcPr>
            <w:tcW w:w="3417" w:type="pct"/>
            <w:shd w:val="clear" w:color="auto" w:fill="F1E1FF" w:themeFill="background2"/>
            <w:noWrap/>
            <w:vAlign w:val="center"/>
            <w:hideMark/>
          </w:tcPr>
          <w:p w14:paraId="397CD3B3" w14:textId="77777777" w:rsidR="00DC3FFB" w:rsidRPr="005D0129" w:rsidRDefault="00DC3FFB" w:rsidP="009763C9">
            <w:pPr>
              <w:pStyle w:val="TableTextLeft"/>
            </w:pPr>
            <w:r w:rsidRPr="005D0129">
              <w:t>Education and Training</w:t>
            </w:r>
          </w:p>
        </w:tc>
        <w:tc>
          <w:tcPr>
            <w:tcW w:w="1583" w:type="pct"/>
            <w:shd w:val="clear" w:color="auto" w:fill="F1E1FF" w:themeFill="background2"/>
            <w:noWrap/>
            <w:vAlign w:val="center"/>
            <w:hideMark/>
          </w:tcPr>
          <w:p w14:paraId="04D25AEA" w14:textId="77777777" w:rsidR="00DC3FFB" w:rsidRPr="005D0129" w:rsidRDefault="00DC3FFB" w:rsidP="00823145">
            <w:pPr>
              <w:pStyle w:val="TableTextRight"/>
            </w:pPr>
            <w:r w:rsidRPr="005D0129">
              <w:t>76.6%</w:t>
            </w:r>
          </w:p>
        </w:tc>
      </w:tr>
      <w:tr w:rsidR="00DC3FFB" w:rsidRPr="005D0129" w14:paraId="59982DA0"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4D602DE6" w14:textId="77777777" w:rsidR="00DC3FFB" w:rsidRPr="005D0129" w:rsidRDefault="00DC3FFB" w:rsidP="009763C9">
            <w:pPr>
              <w:pStyle w:val="TableTextLeft"/>
            </w:pPr>
            <w:r w:rsidRPr="005D0129">
              <w:t>Electricity, Gas, Water and Waste Services</w:t>
            </w:r>
          </w:p>
        </w:tc>
        <w:tc>
          <w:tcPr>
            <w:tcW w:w="1583" w:type="pct"/>
            <w:shd w:val="clear" w:color="auto" w:fill="auto"/>
            <w:noWrap/>
            <w:vAlign w:val="center"/>
            <w:hideMark/>
          </w:tcPr>
          <w:p w14:paraId="7DCDC1FE" w14:textId="77777777" w:rsidR="00DC3FFB" w:rsidRPr="005D0129" w:rsidRDefault="00DC3FFB" w:rsidP="00823145">
            <w:pPr>
              <w:pStyle w:val="TableTextRight"/>
            </w:pPr>
            <w:r w:rsidRPr="005D0129">
              <w:t>77.9%</w:t>
            </w:r>
          </w:p>
        </w:tc>
      </w:tr>
      <w:tr w:rsidR="00DC3FFB" w:rsidRPr="005D0129" w14:paraId="221A7948" w14:textId="77777777" w:rsidTr="00823145">
        <w:trPr>
          <w:trHeight w:val="312"/>
        </w:trPr>
        <w:tc>
          <w:tcPr>
            <w:tcW w:w="3417" w:type="pct"/>
            <w:shd w:val="clear" w:color="auto" w:fill="F1E1FF" w:themeFill="background2"/>
            <w:noWrap/>
            <w:vAlign w:val="center"/>
            <w:hideMark/>
          </w:tcPr>
          <w:p w14:paraId="3E1B32CF" w14:textId="77777777" w:rsidR="00DC3FFB" w:rsidRPr="005D0129" w:rsidRDefault="00DC3FFB" w:rsidP="009763C9">
            <w:pPr>
              <w:pStyle w:val="TableTextLeft"/>
            </w:pPr>
            <w:r w:rsidRPr="005D0129">
              <w:t>Financial and Insurance Services</w:t>
            </w:r>
          </w:p>
        </w:tc>
        <w:tc>
          <w:tcPr>
            <w:tcW w:w="1583" w:type="pct"/>
            <w:shd w:val="clear" w:color="auto" w:fill="F1E1FF" w:themeFill="background2"/>
            <w:noWrap/>
            <w:vAlign w:val="center"/>
            <w:hideMark/>
          </w:tcPr>
          <w:p w14:paraId="34790751" w14:textId="77777777" w:rsidR="00DC3FFB" w:rsidRPr="005D0129" w:rsidRDefault="00DC3FFB" w:rsidP="00823145">
            <w:pPr>
              <w:pStyle w:val="TableTextRight"/>
            </w:pPr>
            <w:r w:rsidRPr="005D0129">
              <w:t>87.3%</w:t>
            </w:r>
          </w:p>
        </w:tc>
      </w:tr>
      <w:tr w:rsidR="00DC3FFB" w:rsidRPr="005D0129" w14:paraId="27945C74"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6CAB843D" w14:textId="77777777" w:rsidR="00DC3FFB" w:rsidRPr="005D0129" w:rsidRDefault="00DC3FFB" w:rsidP="009763C9">
            <w:pPr>
              <w:pStyle w:val="TableTextLeft"/>
            </w:pPr>
            <w:r w:rsidRPr="005D0129">
              <w:t>Health Care and Social Assistance</w:t>
            </w:r>
          </w:p>
        </w:tc>
        <w:tc>
          <w:tcPr>
            <w:tcW w:w="1583" w:type="pct"/>
            <w:shd w:val="clear" w:color="auto" w:fill="auto"/>
            <w:noWrap/>
            <w:vAlign w:val="center"/>
            <w:hideMark/>
          </w:tcPr>
          <w:p w14:paraId="0AFD0423" w14:textId="77777777" w:rsidR="00DC3FFB" w:rsidRPr="005D0129" w:rsidRDefault="00DC3FFB" w:rsidP="00823145">
            <w:pPr>
              <w:pStyle w:val="TableTextRight"/>
            </w:pPr>
            <w:r w:rsidRPr="005D0129">
              <w:t>71.6%</w:t>
            </w:r>
          </w:p>
        </w:tc>
      </w:tr>
      <w:tr w:rsidR="00DC3FFB" w:rsidRPr="005D0129" w14:paraId="658BC833" w14:textId="77777777" w:rsidTr="00823145">
        <w:trPr>
          <w:trHeight w:val="312"/>
        </w:trPr>
        <w:tc>
          <w:tcPr>
            <w:tcW w:w="3417" w:type="pct"/>
            <w:shd w:val="clear" w:color="auto" w:fill="F1E1FF" w:themeFill="background2"/>
            <w:noWrap/>
            <w:vAlign w:val="center"/>
            <w:hideMark/>
          </w:tcPr>
          <w:p w14:paraId="01AB884A" w14:textId="77777777" w:rsidR="00DC3FFB" w:rsidRPr="005D0129" w:rsidRDefault="00DC3FFB" w:rsidP="009763C9">
            <w:pPr>
              <w:pStyle w:val="TableTextLeft"/>
            </w:pPr>
            <w:r w:rsidRPr="005D0129">
              <w:t>Information Media and Telecommunications</w:t>
            </w:r>
          </w:p>
        </w:tc>
        <w:tc>
          <w:tcPr>
            <w:tcW w:w="1583" w:type="pct"/>
            <w:shd w:val="clear" w:color="auto" w:fill="F1E1FF" w:themeFill="background2"/>
            <w:noWrap/>
            <w:vAlign w:val="center"/>
            <w:hideMark/>
          </w:tcPr>
          <w:p w14:paraId="2C983090" w14:textId="77777777" w:rsidR="00DC3FFB" w:rsidRPr="005D0129" w:rsidRDefault="00DC3FFB" w:rsidP="00823145">
            <w:pPr>
              <w:pStyle w:val="TableTextRight"/>
            </w:pPr>
            <w:r w:rsidRPr="005D0129">
              <w:t>74.1%</w:t>
            </w:r>
          </w:p>
        </w:tc>
      </w:tr>
      <w:tr w:rsidR="00DC3FFB" w:rsidRPr="005D0129" w14:paraId="7DB53B62"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3E8C2CBC" w14:textId="77777777" w:rsidR="00DC3FFB" w:rsidRPr="005D0129" w:rsidRDefault="00DC3FFB" w:rsidP="009763C9">
            <w:pPr>
              <w:pStyle w:val="TableTextLeft"/>
            </w:pPr>
            <w:r w:rsidRPr="005D0129">
              <w:t>Manufacturing</w:t>
            </w:r>
          </w:p>
        </w:tc>
        <w:tc>
          <w:tcPr>
            <w:tcW w:w="1583" w:type="pct"/>
            <w:shd w:val="clear" w:color="auto" w:fill="auto"/>
            <w:noWrap/>
            <w:vAlign w:val="center"/>
            <w:hideMark/>
          </w:tcPr>
          <w:p w14:paraId="229D0AD4" w14:textId="77777777" w:rsidR="00DC3FFB" w:rsidRPr="005D0129" w:rsidRDefault="00DC3FFB" w:rsidP="00823145">
            <w:pPr>
              <w:pStyle w:val="TableTextRight"/>
            </w:pPr>
            <w:r w:rsidRPr="005D0129">
              <w:t>54.3%</w:t>
            </w:r>
          </w:p>
        </w:tc>
      </w:tr>
      <w:tr w:rsidR="00DC3FFB" w:rsidRPr="005D0129" w14:paraId="2D2398F3" w14:textId="77777777" w:rsidTr="00823145">
        <w:trPr>
          <w:trHeight w:val="312"/>
        </w:trPr>
        <w:tc>
          <w:tcPr>
            <w:tcW w:w="3417" w:type="pct"/>
            <w:shd w:val="clear" w:color="auto" w:fill="F1E1FF" w:themeFill="background2"/>
            <w:noWrap/>
            <w:vAlign w:val="center"/>
            <w:hideMark/>
          </w:tcPr>
          <w:p w14:paraId="2CB40CAC" w14:textId="77777777" w:rsidR="00DC3FFB" w:rsidRPr="005D0129" w:rsidRDefault="00DC3FFB" w:rsidP="009763C9">
            <w:pPr>
              <w:pStyle w:val="TableTextLeft"/>
            </w:pPr>
            <w:r w:rsidRPr="005D0129">
              <w:t>Mining</w:t>
            </w:r>
          </w:p>
        </w:tc>
        <w:tc>
          <w:tcPr>
            <w:tcW w:w="1583" w:type="pct"/>
            <w:shd w:val="clear" w:color="auto" w:fill="F1E1FF" w:themeFill="background2"/>
            <w:noWrap/>
            <w:vAlign w:val="center"/>
            <w:hideMark/>
          </w:tcPr>
          <w:p w14:paraId="1256F5E2" w14:textId="77777777" w:rsidR="00DC3FFB" w:rsidRPr="005D0129" w:rsidRDefault="00DC3FFB" w:rsidP="00823145">
            <w:pPr>
              <w:pStyle w:val="TableTextRight"/>
            </w:pPr>
            <w:r w:rsidRPr="005D0129">
              <w:t>63.5%</w:t>
            </w:r>
          </w:p>
        </w:tc>
      </w:tr>
      <w:tr w:rsidR="00DC3FFB" w:rsidRPr="005D0129" w14:paraId="5AB559B9"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49AF5E72" w14:textId="77777777" w:rsidR="00DC3FFB" w:rsidRPr="005D0129" w:rsidRDefault="00DC3FFB" w:rsidP="009763C9">
            <w:pPr>
              <w:pStyle w:val="TableTextLeft"/>
            </w:pPr>
            <w:r w:rsidRPr="005D0129">
              <w:t>Other Services</w:t>
            </w:r>
          </w:p>
        </w:tc>
        <w:tc>
          <w:tcPr>
            <w:tcW w:w="1583" w:type="pct"/>
            <w:shd w:val="clear" w:color="auto" w:fill="auto"/>
            <w:noWrap/>
            <w:vAlign w:val="center"/>
            <w:hideMark/>
          </w:tcPr>
          <w:p w14:paraId="67C70FC8" w14:textId="77777777" w:rsidR="00DC3FFB" w:rsidRPr="005D0129" w:rsidRDefault="00DC3FFB" w:rsidP="00823145">
            <w:pPr>
              <w:pStyle w:val="TableTextRight"/>
            </w:pPr>
            <w:r w:rsidRPr="005D0129">
              <w:t>67.9%</w:t>
            </w:r>
          </w:p>
        </w:tc>
      </w:tr>
      <w:tr w:rsidR="00DC3FFB" w:rsidRPr="005D0129" w14:paraId="702C65E6" w14:textId="77777777" w:rsidTr="00823145">
        <w:trPr>
          <w:trHeight w:val="312"/>
        </w:trPr>
        <w:tc>
          <w:tcPr>
            <w:tcW w:w="3417" w:type="pct"/>
            <w:shd w:val="clear" w:color="auto" w:fill="F1E1FF" w:themeFill="background2"/>
            <w:noWrap/>
            <w:vAlign w:val="center"/>
            <w:hideMark/>
          </w:tcPr>
          <w:p w14:paraId="7A4007E3" w14:textId="77777777" w:rsidR="00DC3FFB" w:rsidRPr="005D0129" w:rsidRDefault="00DC3FFB" w:rsidP="009763C9">
            <w:pPr>
              <w:pStyle w:val="TableTextLeft"/>
            </w:pPr>
            <w:r w:rsidRPr="005D0129">
              <w:t>Professional, Scientific and Technical Services</w:t>
            </w:r>
          </w:p>
        </w:tc>
        <w:tc>
          <w:tcPr>
            <w:tcW w:w="1583" w:type="pct"/>
            <w:shd w:val="clear" w:color="auto" w:fill="F1E1FF" w:themeFill="background2"/>
            <w:noWrap/>
            <w:vAlign w:val="center"/>
            <w:hideMark/>
          </w:tcPr>
          <w:p w14:paraId="057B8F12" w14:textId="77777777" w:rsidR="00DC3FFB" w:rsidRPr="005D0129" w:rsidRDefault="00DC3FFB" w:rsidP="00823145">
            <w:pPr>
              <w:pStyle w:val="TableTextRight"/>
            </w:pPr>
            <w:r w:rsidRPr="005D0129">
              <w:t>70.0%</w:t>
            </w:r>
          </w:p>
        </w:tc>
      </w:tr>
      <w:tr w:rsidR="00DC3FFB" w:rsidRPr="005D0129" w14:paraId="722DBB5E"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724E29E1" w14:textId="77777777" w:rsidR="00DC3FFB" w:rsidRPr="005D0129" w:rsidRDefault="00DC3FFB" w:rsidP="009763C9">
            <w:pPr>
              <w:pStyle w:val="TableTextLeft"/>
            </w:pPr>
            <w:r w:rsidRPr="005D0129">
              <w:t>Public Administration and Safety</w:t>
            </w:r>
          </w:p>
        </w:tc>
        <w:tc>
          <w:tcPr>
            <w:tcW w:w="1583" w:type="pct"/>
            <w:shd w:val="clear" w:color="auto" w:fill="auto"/>
            <w:noWrap/>
            <w:vAlign w:val="center"/>
            <w:hideMark/>
          </w:tcPr>
          <w:p w14:paraId="3BA98A5C" w14:textId="77777777" w:rsidR="00DC3FFB" w:rsidRPr="005D0129" w:rsidRDefault="00DC3FFB" w:rsidP="00823145">
            <w:pPr>
              <w:pStyle w:val="TableTextRight"/>
            </w:pPr>
            <w:r w:rsidRPr="005D0129">
              <w:t>78.9%</w:t>
            </w:r>
          </w:p>
        </w:tc>
      </w:tr>
      <w:tr w:rsidR="00DC3FFB" w:rsidRPr="005D0129" w14:paraId="5A13D2E2" w14:textId="77777777" w:rsidTr="00823145">
        <w:trPr>
          <w:trHeight w:val="312"/>
        </w:trPr>
        <w:tc>
          <w:tcPr>
            <w:tcW w:w="3417" w:type="pct"/>
            <w:shd w:val="clear" w:color="auto" w:fill="F1E1FF" w:themeFill="background2"/>
            <w:noWrap/>
            <w:vAlign w:val="center"/>
            <w:hideMark/>
          </w:tcPr>
          <w:p w14:paraId="5F79FE15" w14:textId="77777777" w:rsidR="00DC3FFB" w:rsidRPr="005D0129" w:rsidRDefault="00DC3FFB" w:rsidP="009763C9">
            <w:pPr>
              <w:pStyle w:val="TableTextLeft"/>
            </w:pPr>
            <w:r w:rsidRPr="005D0129">
              <w:t>Rental, Hiring and Real Estate Services</w:t>
            </w:r>
          </w:p>
        </w:tc>
        <w:tc>
          <w:tcPr>
            <w:tcW w:w="1583" w:type="pct"/>
            <w:shd w:val="clear" w:color="auto" w:fill="F1E1FF" w:themeFill="background2"/>
            <w:noWrap/>
            <w:vAlign w:val="center"/>
            <w:hideMark/>
          </w:tcPr>
          <w:p w14:paraId="66154C0F" w14:textId="77777777" w:rsidR="00DC3FFB" w:rsidRPr="005D0129" w:rsidRDefault="00DC3FFB" w:rsidP="00823145">
            <w:pPr>
              <w:pStyle w:val="TableTextRight"/>
            </w:pPr>
            <w:r w:rsidRPr="005D0129">
              <w:t>73.8%</w:t>
            </w:r>
          </w:p>
        </w:tc>
      </w:tr>
      <w:tr w:rsidR="00DC3FFB" w:rsidRPr="005D0129" w14:paraId="78EF5623"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458E1679" w14:textId="77777777" w:rsidR="00DC3FFB" w:rsidRPr="005D0129" w:rsidRDefault="00DC3FFB" w:rsidP="009763C9">
            <w:pPr>
              <w:pStyle w:val="TableTextLeft"/>
            </w:pPr>
            <w:r w:rsidRPr="005D0129">
              <w:t>Retail Trade</w:t>
            </w:r>
          </w:p>
        </w:tc>
        <w:tc>
          <w:tcPr>
            <w:tcW w:w="1583" w:type="pct"/>
            <w:shd w:val="clear" w:color="auto" w:fill="auto"/>
            <w:noWrap/>
            <w:vAlign w:val="center"/>
            <w:hideMark/>
          </w:tcPr>
          <w:p w14:paraId="7700E8C9" w14:textId="77777777" w:rsidR="00DC3FFB" w:rsidRPr="005D0129" w:rsidRDefault="00DC3FFB" w:rsidP="00823145">
            <w:pPr>
              <w:pStyle w:val="TableTextRight"/>
            </w:pPr>
            <w:r w:rsidRPr="005D0129">
              <w:t>65.3%</w:t>
            </w:r>
          </w:p>
        </w:tc>
      </w:tr>
      <w:tr w:rsidR="00DC3FFB" w:rsidRPr="005D0129" w14:paraId="79CBA33E" w14:textId="77777777" w:rsidTr="00823145">
        <w:trPr>
          <w:trHeight w:val="312"/>
        </w:trPr>
        <w:tc>
          <w:tcPr>
            <w:tcW w:w="3417" w:type="pct"/>
            <w:shd w:val="clear" w:color="auto" w:fill="F1E1FF" w:themeFill="background2"/>
            <w:noWrap/>
            <w:vAlign w:val="center"/>
            <w:hideMark/>
          </w:tcPr>
          <w:p w14:paraId="10C864F1" w14:textId="77777777" w:rsidR="00DC3FFB" w:rsidRPr="005D0129" w:rsidRDefault="00DC3FFB" w:rsidP="009763C9">
            <w:pPr>
              <w:pStyle w:val="TableTextLeft"/>
            </w:pPr>
            <w:r w:rsidRPr="005D0129">
              <w:t>Transport, Postal and Warehousing</w:t>
            </w:r>
          </w:p>
        </w:tc>
        <w:tc>
          <w:tcPr>
            <w:tcW w:w="1583" w:type="pct"/>
            <w:shd w:val="clear" w:color="auto" w:fill="F1E1FF" w:themeFill="background2"/>
            <w:noWrap/>
            <w:vAlign w:val="center"/>
            <w:hideMark/>
          </w:tcPr>
          <w:p w14:paraId="72D53E80" w14:textId="77777777" w:rsidR="00DC3FFB" w:rsidRPr="005D0129" w:rsidRDefault="00DC3FFB" w:rsidP="00823145">
            <w:pPr>
              <w:pStyle w:val="TableTextRight"/>
            </w:pPr>
            <w:r w:rsidRPr="005D0129">
              <w:t>67.0%</w:t>
            </w:r>
          </w:p>
        </w:tc>
      </w:tr>
      <w:tr w:rsidR="00DC3FFB" w:rsidRPr="005D0129" w14:paraId="18CB1787" w14:textId="77777777" w:rsidTr="00823145">
        <w:trPr>
          <w:cnfStyle w:val="000000100000" w:firstRow="0" w:lastRow="0" w:firstColumn="0" w:lastColumn="0" w:oddVBand="0" w:evenVBand="0" w:oddHBand="1" w:evenHBand="0" w:firstRowFirstColumn="0" w:firstRowLastColumn="0" w:lastRowFirstColumn="0" w:lastRowLastColumn="0"/>
          <w:trHeight w:val="312"/>
        </w:trPr>
        <w:tc>
          <w:tcPr>
            <w:tcW w:w="3417" w:type="pct"/>
            <w:shd w:val="clear" w:color="auto" w:fill="auto"/>
            <w:noWrap/>
            <w:vAlign w:val="center"/>
            <w:hideMark/>
          </w:tcPr>
          <w:p w14:paraId="14426D59" w14:textId="77777777" w:rsidR="00DC3FFB" w:rsidRPr="005D0129" w:rsidRDefault="00DC3FFB" w:rsidP="009763C9">
            <w:pPr>
              <w:pStyle w:val="TableTextLeft"/>
            </w:pPr>
            <w:r w:rsidRPr="005D0129">
              <w:t>Wholesale Trade</w:t>
            </w:r>
          </w:p>
        </w:tc>
        <w:tc>
          <w:tcPr>
            <w:tcW w:w="1583" w:type="pct"/>
            <w:shd w:val="clear" w:color="auto" w:fill="auto"/>
            <w:noWrap/>
            <w:vAlign w:val="center"/>
            <w:hideMark/>
          </w:tcPr>
          <w:p w14:paraId="5369B17E" w14:textId="77777777" w:rsidR="00DC3FFB" w:rsidRPr="005D0129" w:rsidRDefault="00DC3FFB" w:rsidP="00823145">
            <w:pPr>
              <w:pStyle w:val="TableTextRight"/>
            </w:pPr>
            <w:r w:rsidRPr="005D0129">
              <w:t>64.1%</w:t>
            </w:r>
          </w:p>
        </w:tc>
      </w:tr>
      <w:tr w:rsidR="00DC3FFB" w:rsidRPr="005D0129" w14:paraId="76986704" w14:textId="77777777" w:rsidTr="00823145">
        <w:trPr>
          <w:trHeight w:val="312"/>
        </w:trPr>
        <w:tc>
          <w:tcPr>
            <w:tcW w:w="3417" w:type="pct"/>
            <w:shd w:val="clear" w:color="auto" w:fill="F1E1FF" w:themeFill="background2"/>
            <w:noWrap/>
            <w:vAlign w:val="center"/>
            <w:hideMark/>
          </w:tcPr>
          <w:p w14:paraId="425246F9" w14:textId="77777777" w:rsidR="00DC3FFB" w:rsidRPr="005D0129" w:rsidRDefault="00DC3FFB" w:rsidP="009763C9">
            <w:pPr>
              <w:pStyle w:val="TableTextLeft"/>
              <w:rPr>
                <w:rStyle w:val="Strong"/>
              </w:rPr>
            </w:pPr>
            <w:r w:rsidRPr="005D0129">
              <w:rPr>
                <w:rStyle w:val="Strong"/>
              </w:rPr>
              <w:t>All industries</w:t>
            </w:r>
          </w:p>
        </w:tc>
        <w:tc>
          <w:tcPr>
            <w:tcW w:w="1583" w:type="pct"/>
            <w:shd w:val="clear" w:color="auto" w:fill="F1E1FF" w:themeFill="background2"/>
            <w:noWrap/>
            <w:vAlign w:val="center"/>
            <w:hideMark/>
          </w:tcPr>
          <w:p w14:paraId="69798962" w14:textId="77777777" w:rsidR="00DC3FFB" w:rsidRPr="005D0129" w:rsidRDefault="00DC3FFB" w:rsidP="00823145">
            <w:pPr>
              <w:pStyle w:val="TableTextRight"/>
              <w:rPr>
                <w:rStyle w:val="Strong"/>
              </w:rPr>
            </w:pPr>
            <w:r w:rsidRPr="005D0129">
              <w:rPr>
                <w:rStyle w:val="Strong"/>
              </w:rPr>
              <w:t>68.2%</w:t>
            </w:r>
          </w:p>
        </w:tc>
      </w:tr>
    </w:tbl>
    <w:p w14:paraId="13F61732" w14:textId="77777777" w:rsidR="008D5F55" w:rsidRDefault="008D5F55" w:rsidP="00D367C9">
      <w:pPr>
        <w:pStyle w:val="SingleParagraph"/>
        <w:rPr>
          <w:lang w:eastAsia="en-AU"/>
        </w:rPr>
      </w:pPr>
    </w:p>
    <w:p w14:paraId="7BFDD1B7" w14:textId="77777777" w:rsidR="00D367C9" w:rsidRPr="002F5F97" w:rsidRDefault="00D367C9" w:rsidP="00CB0251">
      <w:pPr>
        <w:rPr>
          <w:lang w:eastAsia="en-AU"/>
        </w:rPr>
      </w:pPr>
    </w:p>
    <w:p w14:paraId="509C7818" w14:textId="77777777" w:rsidR="00AE5F33" w:rsidRPr="002F5F97" w:rsidRDefault="00AE5F33" w:rsidP="00CB0251">
      <w:pPr>
        <w:rPr>
          <w:lang w:eastAsia="en-AU"/>
        </w:rPr>
        <w:sectPr w:rsidR="00AE5F33" w:rsidRPr="002F5F97" w:rsidSect="00CC3C5B">
          <w:headerReference w:type="even" r:id="rId158"/>
          <w:headerReference w:type="default" r:id="rId159"/>
          <w:footerReference w:type="even" r:id="rId160"/>
          <w:footerReference w:type="default" r:id="rId161"/>
          <w:pgSz w:w="11906" w:h="16838" w:code="9"/>
          <w:pgMar w:top="1418" w:right="1701" w:bottom="1418" w:left="1701" w:header="709" w:footer="709" w:gutter="0"/>
          <w:cols w:space="708"/>
          <w:docGrid w:linePitch="360"/>
        </w:sectPr>
      </w:pPr>
    </w:p>
    <w:p w14:paraId="6903F458" w14:textId="5D3BED3D" w:rsidR="007C63F8" w:rsidRPr="002F5F97" w:rsidRDefault="00812EDC" w:rsidP="007C63F8">
      <w:pPr>
        <w:pStyle w:val="TableMainHeading"/>
        <w:keepNext w:val="0"/>
        <w:widowControl w:val="0"/>
      </w:pPr>
      <w:r w:rsidRPr="002F5F97">
        <w:t>Table 9: Payment terms and times measures by industry, Reporting Cycle 9</w:t>
      </w:r>
    </w:p>
    <w:tbl>
      <w:tblPr>
        <w:tblStyle w:val="TableGrid"/>
        <w:tblW w:w="5000" w:type="pct"/>
        <w:tblLook w:val="04A0" w:firstRow="1" w:lastRow="0" w:firstColumn="1" w:lastColumn="0" w:noHBand="0" w:noVBand="1"/>
      </w:tblPr>
      <w:tblGrid>
        <w:gridCol w:w="3794"/>
        <w:gridCol w:w="2042"/>
        <w:gridCol w:w="2042"/>
        <w:gridCol w:w="2041"/>
        <w:gridCol w:w="2042"/>
        <w:gridCol w:w="2041"/>
      </w:tblGrid>
      <w:tr w:rsidR="000E5569" w:rsidRPr="005D0129" w14:paraId="0ABDE335" w14:textId="77777777" w:rsidTr="000E5569">
        <w:trPr>
          <w:cnfStyle w:val="100000000000" w:firstRow="1" w:lastRow="0" w:firstColumn="0" w:lastColumn="0" w:oddVBand="0" w:evenVBand="0" w:oddHBand="0" w:evenHBand="0" w:firstRowFirstColumn="0" w:firstRowLastColumn="0" w:lastRowFirstColumn="0" w:lastRowLastColumn="0"/>
          <w:trHeight w:val="818"/>
        </w:trPr>
        <w:tc>
          <w:tcPr>
            <w:tcW w:w="3686" w:type="dxa"/>
            <w:tcMar>
              <w:top w:w="108" w:type="dxa"/>
              <w:bottom w:w="108" w:type="dxa"/>
            </w:tcMar>
            <w:vAlign w:val="bottom"/>
          </w:tcPr>
          <w:p w14:paraId="3D610744" w14:textId="22885FD0" w:rsidR="00963FD5" w:rsidRPr="005D0129" w:rsidRDefault="00033F25" w:rsidP="000E5569">
            <w:pPr>
              <w:pStyle w:val="TableColumnHeadingLeft"/>
            </w:pPr>
            <w:r w:rsidRPr="005D0129">
              <w:rPr>
                <w:rFonts w:eastAsia="Aptos"/>
              </w:rPr>
              <w:t>Industry</w:t>
            </w:r>
            <w:r w:rsidR="000E5569" w:rsidRPr="005D0129">
              <w:rPr>
                <w:rFonts w:eastAsia="Aptos"/>
              </w:rPr>
              <w:t xml:space="preserve"> </w:t>
            </w:r>
            <w:r w:rsidR="000E5569" w:rsidRPr="005D0129">
              <w:rPr>
                <w:rFonts w:eastAsia="Aptos"/>
              </w:rPr>
              <w:br/>
              <w:t xml:space="preserve">Ranked </w:t>
            </w:r>
            <w:r w:rsidR="00C43D35" w:rsidRPr="005D0129">
              <w:rPr>
                <w:rFonts w:eastAsia="Aptos"/>
              </w:rPr>
              <w:t>by alphabetical order</w:t>
            </w:r>
          </w:p>
        </w:tc>
        <w:tc>
          <w:tcPr>
            <w:tcW w:w="1984" w:type="dxa"/>
            <w:tcMar>
              <w:top w:w="108" w:type="dxa"/>
              <w:bottom w:w="108" w:type="dxa"/>
            </w:tcMar>
            <w:vAlign w:val="bottom"/>
          </w:tcPr>
          <w:p w14:paraId="4E6093E5" w14:textId="2ECCBBB7" w:rsidR="00963FD5" w:rsidRPr="005D0129" w:rsidRDefault="00963FD5" w:rsidP="00ED1DFF">
            <w:pPr>
              <w:pStyle w:val="TableColumnHeadingRight"/>
            </w:pPr>
            <w:r w:rsidRPr="005D0129">
              <w:rPr>
                <w:rFonts w:eastAsia="Aptos"/>
              </w:rPr>
              <w:t>Average common payment term</w:t>
            </w:r>
            <w:r w:rsidR="000E5569" w:rsidRPr="005D0129">
              <w:rPr>
                <w:rFonts w:eastAsia="Aptos"/>
              </w:rPr>
              <w:t xml:space="preserve"> (days)</w:t>
            </w:r>
          </w:p>
        </w:tc>
        <w:tc>
          <w:tcPr>
            <w:tcW w:w="1985" w:type="dxa"/>
            <w:tcMar>
              <w:top w:w="108" w:type="dxa"/>
              <w:bottom w:w="108" w:type="dxa"/>
            </w:tcMar>
            <w:vAlign w:val="bottom"/>
          </w:tcPr>
          <w:p w14:paraId="6A168A03" w14:textId="076C6D28" w:rsidR="00963FD5" w:rsidRPr="005D0129" w:rsidRDefault="00963FD5" w:rsidP="00ED1DFF">
            <w:pPr>
              <w:pStyle w:val="TableColumnHeadingRight"/>
            </w:pPr>
            <w:r w:rsidRPr="005D0129">
              <w:rPr>
                <w:rFonts w:eastAsia="Aptos"/>
              </w:rPr>
              <w:t>Average payment time</w:t>
            </w:r>
            <w:r w:rsidR="000E5569" w:rsidRPr="005D0129">
              <w:rPr>
                <w:rFonts w:eastAsia="Aptos"/>
              </w:rPr>
              <w:t xml:space="preserve"> (days)</w:t>
            </w:r>
          </w:p>
        </w:tc>
        <w:tc>
          <w:tcPr>
            <w:tcW w:w="1984" w:type="dxa"/>
            <w:tcMar>
              <w:top w:w="108" w:type="dxa"/>
              <w:bottom w:w="108" w:type="dxa"/>
            </w:tcMar>
            <w:vAlign w:val="bottom"/>
          </w:tcPr>
          <w:p w14:paraId="7DB97C6A" w14:textId="104D58D7" w:rsidR="00963FD5" w:rsidRPr="005D0129" w:rsidRDefault="00963FD5" w:rsidP="00ED1DFF">
            <w:pPr>
              <w:pStyle w:val="TableColumnHeadingRight"/>
            </w:pPr>
            <w:r w:rsidRPr="005D0129">
              <w:rPr>
                <w:rFonts w:eastAsia="Aptos"/>
              </w:rPr>
              <w:t>80th percentile payment time</w:t>
            </w:r>
            <w:r w:rsidR="000E5569" w:rsidRPr="005D0129">
              <w:rPr>
                <w:rFonts w:eastAsia="Aptos"/>
              </w:rPr>
              <w:t xml:space="preserve"> (days)</w:t>
            </w:r>
          </w:p>
        </w:tc>
        <w:tc>
          <w:tcPr>
            <w:tcW w:w="1985" w:type="dxa"/>
            <w:tcMar>
              <w:top w:w="108" w:type="dxa"/>
              <w:bottom w:w="108" w:type="dxa"/>
            </w:tcMar>
            <w:vAlign w:val="bottom"/>
          </w:tcPr>
          <w:p w14:paraId="4FE6DADA" w14:textId="76BCE8A7" w:rsidR="00963FD5" w:rsidRPr="005D0129" w:rsidRDefault="00963FD5" w:rsidP="00ED1DFF">
            <w:pPr>
              <w:pStyle w:val="TableColumnHeadingRight"/>
            </w:pPr>
            <w:r w:rsidRPr="005D0129">
              <w:rPr>
                <w:rFonts w:eastAsia="Aptos"/>
              </w:rPr>
              <w:t>95th percentile payment time</w:t>
            </w:r>
            <w:r w:rsidR="000E5569" w:rsidRPr="005D0129">
              <w:rPr>
                <w:rFonts w:eastAsia="Aptos"/>
              </w:rPr>
              <w:t xml:space="preserve"> (days)</w:t>
            </w:r>
          </w:p>
        </w:tc>
        <w:tc>
          <w:tcPr>
            <w:tcW w:w="1984" w:type="dxa"/>
            <w:tcMar>
              <w:top w:w="108" w:type="dxa"/>
              <w:bottom w:w="108" w:type="dxa"/>
            </w:tcMar>
            <w:vAlign w:val="bottom"/>
          </w:tcPr>
          <w:p w14:paraId="6666D035" w14:textId="60ECA08E" w:rsidR="00963FD5" w:rsidRPr="005D0129" w:rsidRDefault="00963FD5" w:rsidP="00ED1DFF">
            <w:pPr>
              <w:pStyle w:val="TableColumnHeadingRight"/>
            </w:pPr>
            <w:r w:rsidRPr="005D0129">
              <w:rPr>
                <w:rFonts w:eastAsia="Aptos"/>
              </w:rPr>
              <w:t>Average percentage paid on time</w:t>
            </w:r>
            <w:r w:rsidR="000E5569" w:rsidRPr="005D0129">
              <w:rPr>
                <w:rFonts w:eastAsia="Aptos"/>
              </w:rPr>
              <w:br/>
              <w:t>(%)</w:t>
            </w:r>
          </w:p>
        </w:tc>
      </w:tr>
      <w:tr w:rsidR="00540C57" w:rsidRPr="005D0129" w14:paraId="1834B807"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670BA91F" w14:textId="1A056228" w:rsidR="00963FD5" w:rsidRPr="005D0129" w:rsidRDefault="00963FD5" w:rsidP="00963FD5">
            <w:pPr>
              <w:pStyle w:val="TableTextLeft"/>
            </w:pPr>
            <w:r w:rsidRPr="005D0129">
              <w:t>Accommodation &amp; Food Services</w:t>
            </w:r>
          </w:p>
        </w:tc>
        <w:tc>
          <w:tcPr>
            <w:tcW w:w="1984" w:type="dxa"/>
            <w:vAlign w:val="center"/>
          </w:tcPr>
          <w:p w14:paraId="456401C6" w14:textId="2703A3A3" w:rsidR="00963FD5" w:rsidRPr="005D0129" w:rsidRDefault="00963FD5" w:rsidP="00963FD5">
            <w:pPr>
              <w:pStyle w:val="TableTextRight"/>
            </w:pPr>
            <w:r w:rsidRPr="005D0129">
              <w:t>25</w:t>
            </w:r>
          </w:p>
        </w:tc>
        <w:tc>
          <w:tcPr>
            <w:tcW w:w="1985" w:type="dxa"/>
            <w:vAlign w:val="center"/>
          </w:tcPr>
          <w:p w14:paraId="28A4D7E8" w14:textId="51A97390" w:rsidR="00963FD5" w:rsidRPr="005D0129" w:rsidRDefault="00963FD5" w:rsidP="00963FD5">
            <w:pPr>
              <w:pStyle w:val="TableTextRight"/>
            </w:pPr>
            <w:r w:rsidRPr="005D0129">
              <w:t>25.4</w:t>
            </w:r>
          </w:p>
        </w:tc>
        <w:tc>
          <w:tcPr>
            <w:tcW w:w="1984" w:type="dxa"/>
            <w:vAlign w:val="center"/>
          </w:tcPr>
          <w:p w14:paraId="56FBA3FD" w14:textId="6CC342DC" w:rsidR="00963FD5" w:rsidRPr="005D0129" w:rsidRDefault="00963FD5" w:rsidP="00963FD5">
            <w:pPr>
              <w:pStyle w:val="TableTextRight"/>
            </w:pPr>
            <w:r w:rsidRPr="005D0129">
              <w:t>35</w:t>
            </w:r>
          </w:p>
        </w:tc>
        <w:tc>
          <w:tcPr>
            <w:tcW w:w="1985" w:type="dxa"/>
            <w:vAlign w:val="center"/>
          </w:tcPr>
          <w:p w14:paraId="0ECF1068" w14:textId="19E8F32D" w:rsidR="00963FD5" w:rsidRPr="005D0129" w:rsidRDefault="00963FD5" w:rsidP="00963FD5">
            <w:pPr>
              <w:pStyle w:val="TableTextRight"/>
            </w:pPr>
            <w:r w:rsidRPr="005D0129">
              <w:t>54</w:t>
            </w:r>
          </w:p>
        </w:tc>
        <w:tc>
          <w:tcPr>
            <w:tcW w:w="1984" w:type="dxa"/>
            <w:vAlign w:val="center"/>
          </w:tcPr>
          <w:p w14:paraId="38B5240C" w14:textId="18C5C590" w:rsidR="00963FD5" w:rsidRPr="005D0129" w:rsidRDefault="00963FD5" w:rsidP="00963FD5">
            <w:pPr>
              <w:pStyle w:val="TableTextRight"/>
            </w:pPr>
            <w:r w:rsidRPr="005D0129">
              <w:t>61.0%</w:t>
            </w:r>
          </w:p>
        </w:tc>
      </w:tr>
      <w:tr w:rsidR="000E5569" w:rsidRPr="005D0129" w14:paraId="49FB0DD5" w14:textId="77777777" w:rsidTr="000E5569">
        <w:trPr>
          <w:trHeight w:val="312"/>
        </w:trPr>
        <w:tc>
          <w:tcPr>
            <w:tcW w:w="3686" w:type="dxa"/>
            <w:vAlign w:val="center"/>
          </w:tcPr>
          <w:p w14:paraId="450CDD2D" w14:textId="5B9345DD" w:rsidR="00963FD5" w:rsidRPr="005D0129" w:rsidRDefault="00963FD5" w:rsidP="00963FD5">
            <w:pPr>
              <w:pStyle w:val="TableTextLeft"/>
            </w:pPr>
            <w:r w:rsidRPr="005D0129">
              <w:t>Administrative &amp; Support Services</w:t>
            </w:r>
          </w:p>
        </w:tc>
        <w:tc>
          <w:tcPr>
            <w:tcW w:w="1984" w:type="dxa"/>
            <w:vAlign w:val="center"/>
          </w:tcPr>
          <w:p w14:paraId="198DF27F" w14:textId="7638F256" w:rsidR="00963FD5" w:rsidRPr="005D0129" w:rsidRDefault="00963FD5" w:rsidP="00963FD5">
            <w:pPr>
              <w:pStyle w:val="TableTextRight"/>
            </w:pPr>
            <w:r w:rsidRPr="005D0129">
              <w:t>25</w:t>
            </w:r>
          </w:p>
        </w:tc>
        <w:tc>
          <w:tcPr>
            <w:tcW w:w="1985" w:type="dxa"/>
            <w:vAlign w:val="center"/>
          </w:tcPr>
          <w:p w14:paraId="759CC23B" w14:textId="01B5C2F5" w:rsidR="00963FD5" w:rsidRPr="005D0129" w:rsidRDefault="00963FD5" w:rsidP="00963FD5">
            <w:pPr>
              <w:pStyle w:val="TableTextRight"/>
            </w:pPr>
            <w:r w:rsidRPr="005D0129">
              <w:t>22.6</w:t>
            </w:r>
          </w:p>
        </w:tc>
        <w:tc>
          <w:tcPr>
            <w:tcW w:w="1984" w:type="dxa"/>
            <w:vAlign w:val="center"/>
          </w:tcPr>
          <w:p w14:paraId="19D4584F" w14:textId="3504F244" w:rsidR="00963FD5" w:rsidRPr="005D0129" w:rsidRDefault="00963FD5" w:rsidP="00963FD5">
            <w:pPr>
              <w:pStyle w:val="TableTextRight"/>
            </w:pPr>
            <w:r w:rsidRPr="005D0129">
              <w:t>31</w:t>
            </w:r>
          </w:p>
        </w:tc>
        <w:tc>
          <w:tcPr>
            <w:tcW w:w="1985" w:type="dxa"/>
            <w:vAlign w:val="center"/>
          </w:tcPr>
          <w:p w14:paraId="024C8061" w14:textId="19CEFC91" w:rsidR="00963FD5" w:rsidRPr="005D0129" w:rsidRDefault="00963FD5" w:rsidP="00963FD5">
            <w:pPr>
              <w:pStyle w:val="TableTextRight"/>
            </w:pPr>
            <w:r w:rsidRPr="005D0129">
              <w:t>45</w:t>
            </w:r>
          </w:p>
        </w:tc>
        <w:tc>
          <w:tcPr>
            <w:tcW w:w="1984" w:type="dxa"/>
            <w:vAlign w:val="center"/>
          </w:tcPr>
          <w:p w14:paraId="4BE5CD1F" w14:textId="34BBF356" w:rsidR="00963FD5" w:rsidRPr="005D0129" w:rsidRDefault="00963FD5" w:rsidP="00963FD5">
            <w:pPr>
              <w:pStyle w:val="TableTextRight"/>
            </w:pPr>
            <w:r w:rsidRPr="005D0129">
              <w:t>70.0%</w:t>
            </w:r>
          </w:p>
        </w:tc>
      </w:tr>
      <w:tr w:rsidR="00540C57" w:rsidRPr="005D0129" w14:paraId="0C3786C2"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0E1004C8" w14:textId="3BEC0501" w:rsidR="00963FD5" w:rsidRPr="005D0129" w:rsidRDefault="00963FD5" w:rsidP="00963FD5">
            <w:pPr>
              <w:pStyle w:val="TableTextLeft"/>
            </w:pPr>
            <w:r w:rsidRPr="005D0129">
              <w:t>Agriculture, Forestry &amp; Fishing</w:t>
            </w:r>
          </w:p>
        </w:tc>
        <w:tc>
          <w:tcPr>
            <w:tcW w:w="1984" w:type="dxa"/>
            <w:vAlign w:val="center"/>
          </w:tcPr>
          <w:p w14:paraId="17941D83" w14:textId="2972E79C" w:rsidR="00963FD5" w:rsidRPr="005D0129" w:rsidRDefault="00963FD5" w:rsidP="00963FD5">
            <w:pPr>
              <w:pStyle w:val="TableTextRight"/>
            </w:pPr>
            <w:r w:rsidRPr="005D0129">
              <w:t>24</w:t>
            </w:r>
          </w:p>
        </w:tc>
        <w:tc>
          <w:tcPr>
            <w:tcW w:w="1985" w:type="dxa"/>
            <w:vAlign w:val="center"/>
          </w:tcPr>
          <w:p w14:paraId="283CEE8D" w14:textId="382C1C72" w:rsidR="00963FD5" w:rsidRPr="005D0129" w:rsidRDefault="00963FD5" w:rsidP="00963FD5">
            <w:pPr>
              <w:pStyle w:val="TableTextRight"/>
            </w:pPr>
            <w:r w:rsidRPr="005D0129">
              <w:t>23.4</w:t>
            </w:r>
          </w:p>
        </w:tc>
        <w:tc>
          <w:tcPr>
            <w:tcW w:w="1984" w:type="dxa"/>
            <w:vAlign w:val="center"/>
          </w:tcPr>
          <w:p w14:paraId="44986765" w14:textId="0F4C13EA" w:rsidR="00963FD5" w:rsidRPr="005D0129" w:rsidRDefault="00963FD5" w:rsidP="00963FD5">
            <w:pPr>
              <w:pStyle w:val="TableTextRight"/>
            </w:pPr>
            <w:r w:rsidRPr="005D0129">
              <w:t>35</w:t>
            </w:r>
          </w:p>
        </w:tc>
        <w:tc>
          <w:tcPr>
            <w:tcW w:w="1985" w:type="dxa"/>
            <w:vAlign w:val="center"/>
          </w:tcPr>
          <w:p w14:paraId="25C3752B" w14:textId="74A4AAF5" w:rsidR="00963FD5" w:rsidRPr="005D0129" w:rsidRDefault="00963FD5" w:rsidP="00963FD5">
            <w:pPr>
              <w:pStyle w:val="TableTextRight"/>
            </w:pPr>
            <w:r w:rsidRPr="005D0129">
              <w:t>49</w:t>
            </w:r>
          </w:p>
        </w:tc>
        <w:tc>
          <w:tcPr>
            <w:tcW w:w="1984" w:type="dxa"/>
            <w:vAlign w:val="center"/>
          </w:tcPr>
          <w:p w14:paraId="5672C68A" w14:textId="6C3F669F" w:rsidR="00963FD5" w:rsidRPr="005D0129" w:rsidRDefault="00963FD5" w:rsidP="00963FD5">
            <w:pPr>
              <w:pStyle w:val="TableTextRight"/>
            </w:pPr>
            <w:r w:rsidRPr="005D0129">
              <w:t>73.4%</w:t>
            </w:r>
          </w:p>
        </w:tc>
      </w:tr>
      <w:tr w:rsidR="000E5569" w:rsidRPr="005D0129" w14:paraId="73EA387D" w14:textId="77777777" w:rsidTr="000E5569">
        <w:trPr>
          <w:trHeight w:val="312"/>
        </w:trPr>
        <w:tc>
          <w:tcPr>
            <w:tcW w:w="3686" w:type="dxa"/>
            <w:vAlign w:val="center"/>
          </w:tcPr>
          <w:p w14:paraId="2CC6E1B4" w14:textId="6888C968" w:rsidR="00963FD5" w:rsidRPr="005D0129" w:rsidRDefault="00963FD5" w:rsidP="00963FD5">
            <w:pPr>
              <w:pStyle w:val="TableTextLeft"/>
            </w:pPr>
            <w:r w:rsidRPr="005D0129">
              <w:t>Arts &amp; Recreation Services</w:t>
            </w:r>
          </w:p>
        </w:tc>
        <w:tc>
          <w:tcPr>
            <w:tcW w:w="1984" w:type="dxa"/>
            <w:vAlign w:val="center"/>
          </w:tcPr>
          <w:p w14:paraId="64CD8C55" w14:textId="5750D813" w:rsidR="00963FD5" w:rsidRPr="005D0129" w:rsidRDefault="00963FD5" w:rsidP="00963FD5">
            <w:pPr>
              <w:pStyle w:val="TableTextRight"/>
            </w:pPr>
            <w:r w:rsidRPr="005D0129">
              <w:t>25</w:t>
            </w:r>
          </w:p>
        </w:tc>
        <w:tc>
          <w:tcPr>
            <w:tcW w:w="1985" w:type="dxa"/>
            <w:vAlign w:val="center"/>
          </w:tcPr>
          <w:p w14:paraId="3C8D7FD5" w14:textId="537E238C" w:rsidR="00963FD5" w:rsidRPr="005D0129" w:rsidRDefault="00963FD5" w:rsidP="00963FD5">
            <w:pPr>
              <w:pStyle w:val="TableTextRight"/>
            </w:pPr>
            <w:r w:rsidRPr="005D0129">
              <w:t>21.1</w:t>
            </w:r>
          </w:p>
        </w:tc>
        <w:tc>
          <w:tcPr>
            <w:tcW w:w="1984" w:type="dxa"/>
            <w:vAlign w:val="center"/>
          </w:tcPr>
          <w:p w14:paraId="1B6DD7E3" w14:textId="2926991D" w:rsidR="00963FD5" w:rsidRPr="005D0129" w:rsidRDefault="00963FD5" w:rsidP="00963FD5">
            <w:pPr>
              <w:pStyle w:val="TableTextRight"/>
            </w:pPr>
            <w:r w:rsidRPr="005D0129">
              <w:t>30</w:t>
            </w:r>
          </w:p>
        </w:tc>
        <w:tc>
          <w:tcPr>
            <w:tcW w:w="1985" w:type="dxa"/>
            <w:vAlign w:val="center"/>
          </w:tcPr>
          <w:p w14:paraId="5FFFDA35" w14:textId="48CCAC8D" w:rsidR="00963FD5" w:rsidRPr="005D0129" w:rsidRDefault="00963FD5" w:rsidP="00963FD5">
            <w:pPr>
              <w:pStyle w:val="TableTextRight"/>
            </w:pPr>
            <w:r w:rsidRPr="005D0129">
              <w:t>50</w:t>
            </w:r>
          </w:p>
        </w:tc>
        <w:tc>
          <w:tcPr>
            <w:tcW w:w="1984" w:type="dxa"/>
            <w:vAlign w:val="center"/>
          </w:tcPr>
          <w:p w14:paraId="75630CAD" w14:textId="6F046DD8" w:rsidR="00963FD5" w:rsidRPr="005D0129" w:rsidRDefault="00963FD5" w:rsidP="00963FD5">
            <w:pPr>
              <w:pStyle w:val="TableTextRight"/>
            </w:pPr>
            <w:r w:rsidRPr="005D0129">
              <w:t>69.4%</w:t>
            </w:r>
          </w:p>
        </w:tc>
      </w:tr>
      <w:tr w:rsidR="00540C57" w:rsidRPr="005D0129" w14:paraId="4F075E98"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5C6B583F" w14:textId="62A39703" w:rsidR="00963FD5" w:rsidRPr="005D0129" w:rsidRDefault="00963FD5" w:rsidP="00963FD5">
            <w:pPr>
              <w:pStyle w:val="TableTextLeft"/>
            </w:pPr>
            <w:r w:rsidRPr="005D0129">
              <w:t>Construction</w:t>
            </w:r>
          </w:p>
        </w:tc>
        <w:tc>
          <w:tcPr>
            <w:tcW w:w="1984" w:type="dxa"/>
            <w:vAlign w:val="center"/>
          </w:tcPr>
          <w:p w14:paraId="1D25499F" w14:textId="17F6E265" w:rsidR="00963FD5" w:rsidRPr="005D0129" w:rsidRDefault="00963FD5" w:rsidP="00963FD5">
            <w:pPr>
              <w:pStyle w:val="TableTextRight"/>
            </w:pPr>
            <w:r w:rsidRPr="005D0129">
              <w:t>34</w:t>
            </w:r>
          </w:p>
        </w:tc>
        <w:tc>
          <w:tcPr>
            <w:tcW w:w="1985" w:type="dxa"/>
            <w:vAlign w:val="center"/>
          </w:tcPr>
          <w:p w14:paraId="3A861F58" w14:textId="7557F7F5" w:rsidR="00963FD5" w:rsidRPr="005D0129" w:rsidRDefault="00963FD5" w:rsidP="00963FD5">
            <w:pPr>
              <w:pStyle w:val="TableTextRight"/>
            </w:pPr>
            <w:r w:rsidRPr="005D0129">
              <w:t>33.5</w:t>
            </w:r>
          </w:p>
        </w:tc>
        <w:tc>
          <w:tcPr>
            <w:tcW w:w="1984" w:type="dxa"/>
            <w:vAlign w:val="center"/>
          </w:tcPr>
          <w:p w14:paraId="466D50DB" w14:textId="4AD065D8" w:rsidR="00963FD5" w:rsidRPr="005D0129" w:rsidRDefault="00963FD5" w:rsidP="00963FD5">
            <w:pPr>
              <w:pStyle w:val="TableTextRight"/>
            </w:pPr>
            <w:r w:rsidRPr="005D0129">
              <w:t>47</w:t>
            </w:r>
          </w:p>
        </w:tc>
        <w:tc>
          <w:tcPr>
            <w:tcW w:w="1985" w:type="dxa"/>
            <w:vAlign w:val="center"/>
          </w:tcPr>
          <w:p w14:paraId="6AC3ABE3" w14:textId="37DFE26A" w:rsidR="00963FD5" w:rsidRPr="005D0129" w:rsidRDefault="00963FD5" w:rsidP="00963FD5">
            <w:pPr>
              <w:pStyle w:val="TableTextRight"/>
            </w:pPr>
            <w:r w:rsidRPr="005D0129">
              <w:t>68</w:t>
            </w:r>
          </w:p>
        </w:tc>
        <w:tc>
          <w:tcPr>
            <w:tcW w:w="1984" w:type="dxa"/>
            <w:vAlign w:val="center"/>
          </w:tcPr>
          <w:p w14:paraId="6FA6047F" w14:textId="22FDD945" w:rsidR="00963FD5" w:rsidRPr="005D0129" w:rsidRDefault="00963FD5" w:rsidP="00963FD5">
            <w:pPr>
              <w:pStyle w:val="TableTextRight"/>
            </w:pPr>
            <w:r w:rsidRPr="005D0129">
              <w:t>64.8%</w:t>
            </w:r>
          </w:p>
        </w:tc>
      </w:tr>
      <w:tr w:rsidR="000E5569" w:rsidRPr="005D0129" w14:paraId="19E405C0" w14:textId="77777777" w:rsidTr="000E5569">
        <w:trPr>
          <w:trHeight w:val="312"/>
        </w:trPr>
        <w:tc>
          <w:tcPr>
            <w:tcW w:w="3686" w:type="dxa"/>
            <w:vAlign w:val="center"/>
          </w:tcPr>
          <w:p w14:paraId="5CF8C724" w14:textId="38E52E13" w:rsidR="00963FD5" w:rsidRPr="005D0129" w:rsidRDefault="00963FD5" w:rsidP="00963FD5">
            <w:pPr>
              <w:pStyle w:val="TableTextLeft"/>
            </w:pPr>
            <w:r w:rsidRPr="005D0129">
              <w:t>Education &amp; Training</w:t>
            </w:r>
          </w:p>
        </w:tc>
        <w:tc>
          <w:tcPr>
            <w:tcW w:w="1984" w:type="dxa"/>
            <w:vAlign w:val="center"/>
          </w:tcPr>
          <w:p w14:paraId="4EFC942F" w14:textId="7F8500F5" w:rsidR="00963FD5" w:rsidRPr="005D0129" w:rsidRDefault="00963FD5" w:rsidP="00963FD5">
            <w:pPr>
              <w:pStyle w:val="TableTextRight"/>
            </w:pPr>
            <w:r w:rsidRPr="005D0129">
              <w:t>20</w:t>
            </w:r>
          </w:p>
        </w:tc>
        <w:tc>
          <w:tcPr>
            <w:tcW w:w="1985" w:type="dxa"/>
            <w:vAlign w:val="center"/>
          </w:tcPr>
          <w:p w14:paraId="4ACD9C53" w14:textId="2C82AF7D" w:rsidR="00963FD5" w:rsidRPr="005D0129" w:rsidRDefault="00963FD5" w:rsidP="00963FD5">
            <w:pPr>
              <w:pStyle w:val="TableTextRight"/>
            </w:pPr>
            <w:r w:rsidRPr="005D0129">
              <w:t>24.4</w:t>
            </w:r>
          </w:p>
        </w:tc>
        <w:tc>
          <w:tcPr>
            <w:tcW w:w="1984" w:type="dxa"/>
            <w:vAlign w:val="center"/>
          </w:tcPr>
          <w:p w14:paraId="4CF30068" w14:textId="2C932B3F" w:rsidR="00963FD5" w:rsidRPr="005D0129" w:rsidRDefault="00963FD5" w:rsidP="00963FD5">
            <w:pPr>
              <w:pStyle w:val="TableTextRight"/>
            </w:pPr>
            <w:r w:rsidRPr="005D0129">
              <w:t>33</w:t>
            </w:r>
          </w:p>
        </w:tc>
        <w:tc>
          <w:tcPr>
            <w:tcW w:w="1985" w:type="dxa"/>
            <w:vAlign w:val="center"/>
          </w:tcPr>
          <w:p w14:paraId="216370F9" w14:textId="24EEEBC0" w:rsidR="00963FD5" w:rsidRPr="005D0129" w:rsidRDefault="00963FD5" w:rsidP="00963FD5">
            <w:pPr>
              <w:pStyle w:val="TableTextRight"/>
            </w:pPr>
            <w:r w:rsidRPr="005D0129">
              <w:t>62</w:t>
            </w:r>
          </w:p>
        </w:tc>
        <w:tc>
          <w:tcPr>
            <w:tcW w:w="1984" w:type="dxa"/>
            <w:vAlign w:val="center"/>
          </w:tcPr>
          <w:p w14:paraId="7EF1B61A" w14:textId="7CD6F2BF" w:rsidR="00963FD5" w:rsidRPr="005D0129" w:rsidRDefault="00963FD5" w:rsidP="00963FD5">
            <w:pPr>
              <w:pStyle w:val="TableTextRight"/>
            </w:pPr>
            <w:r w:rsidRPr="005D0129">
              <w:t>71.6%</w:t>
            </w:r>
          </w:p>
        </w:tc>
      </w:tr>
      <w:tr w:rsidR="00540C57" w:rsidRPr="005D0129" w14:paraId="2EAF4135"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2865D7B9" w14:textId="4B255C87" w:rsidR="00963FD5" w:rsidRPr="005D0129" w:rsidRDefault="00963FD5" w:rsidP="00963FD5">
            <w:pPr>
              <w:pStyle w:val="TableTextLeft"/>
            </w:pPr>
            <w:r w:rsidRPr="005D0129">
              <w:t>Electricity, Gas, Water &amp; Waste Services</w:t>
            </w:r>
          </w:p>
        </w:tc>
        <w:tc>
          <w:tcPr>
            <w:tcW w:w="1984" w:type="dxa"/>
            <w:vAlign w:val="center"/>
          </w:tcPr>
          <w:p w14:paraId="66119458" w14:textId="5D2B8CF6" w:rsidR="00963FD5" w:rsidRPr="005D0129" w:rsidRDefault="00963FD5" w:rsidP="00963FD5">
            <w:pPr>
              <w:pStyle w:val="TableTextRight"/>
            </w:pPr>
            <w:r w:rsidRPr="005D0129">
              <w:t>26</w:t>
            </w:r>
          </w:p>
        </w:tc>
        <w:tc>
          <w:tcPr>
            <w:tcW w:w="1985" w:type="dxa"/>
            <w:vAlign w:val="center"/>
          </w:tcPr>
          <w:p w14:paraId="4B74E064" w14:textId="6ACB91B5" w:rsidR="00963FD5" w:rsidRPr="005D0129" w:rsidRDefault="00963FD5" w:rsidP="00963FD5">
            <w:pPr>
              <w:pStyle w:val="TableTextRight"/>
            </w:pPr>
            <w:r w:rsidRPr="005D0129">
              <w:t>23.5</w:t>
            </w:r>
          </w:p>
        </w:tc>
        <w:tc>
          <w:tcPr>
            <w:tcW w:w="1984" w:type="dxa"/>
            <w:vAlign w:val="center"/>
          </w:tcPr>
          <w:p w14:paraId="5DD12FCC" w14:textId="1EA1AC84" w:rsidR="00963FD5" w:rsidRPr="005D0129" w:rsidRDefault="00963FD5" w:rsidP="00963FD5">
            <w:pPr>
              <w:pStyle w:val="TableTextRight"/>
            </w:pPr>
            <w:r w:rsidRPr="005D0129">
              <w:t>31</w:t>
            </w:r>
          </w:p>
        </w:tc>
        <w:tc>
          <w:tcPr>
            <w:tcW w:w="1985" w:type="dxa"/>
            <w:vAlign w:val="center"/>
          </w:tcPr>
          <w:p w14:paraId="3D238C49" w14:textId="3B63FCD3" w:rsidR="00963FD5" w:rsidRPr="005D0129" w:rsidRDefault="00963FD5" w:rsidP="00963FD5">
            <w:pPr>
              <w:pStyle w:val="TableTextRight"/>
            </w:pPr>
            <w:r w:rsidRPr="005D0129">
              <w:t>48</w:t>
            </w:r>
          </w:p>
        </w:tc>
        <w:tc>
          <w:tcPr>
            <w:tcW w:w="1984" w:type="dxa"/>
            <w:vAlign w:val="center"/>
          </w:tcPr>
          <w:p w14:paraId="17C9AAEF" w14:textId="05E6FF53" w:rsidR="00963FD5" w:rsidRPr="005D0129" w:rsidRDefault="00963FD5" w:rsidP="00963FD5">
            <w:pPr>
              <w:pStyle w:val="TableTextRight"/>
            </w:pPr>
            <w:r w:rsidRPr="005D0129">
              <w:t>68.6%</w:t>
            </w:r>
          </w:p>
        </w:tc>
      </w:tr>
      <w:tr w:rsidR="000E5569" w:rsidRPr="005D0129" w14:paraId="5058C5F3" w14:textId="77777777" w:rsidTr="000E5569">
        <w:trPr>
          <w:trHeight w:val="312"/>
        </w:trPr>
        <w:tc>
          <w:tcPr>
            <w:tcW w:w="3686" w:type="dxa"/>
            <w:vAlign w:val="center"/>
          </w:tcPr>
          <w:p w14:paraId="14655271" w14:textId="735B87C6" w:rsidR="00963FD5" w:rsidRPr="005D0129" w:rsidRDefault="00963FD5" w:rsidP="00963FD5">
            <w:pPr>
              <w:pStyle w:val="TableTextLeft"/>
            </w:pPr>
            <w:r w:rsidRPr="005D0129">
              <w:t>Financial &amp; Insurance Services</w:t>
            </w:r>
          </w:p>
        </w:tc>
        <w:tc>
          <w:tcPr>
            <w:tcW w:w="1984" w:type="dxa"/>
            <w:vAlign w:val="center"/>
          </w:tcPr>
          <w:p w14:paraId="0E1877C5" w14:textId="09DDD05F" w:rsidR="00963FD5" w:rsidRPr="005D0129" w:rsidRDefault="00963FD5" w:rsidP="00963FD5">
            <w:pPr>
              <w:pStyle w:val="TableTextRight"/>
            </w:pPr>
            <w:r w:rsidRPr="005D0129">
              <w:t>21</w:t>
            </w:r>
          </w:p>
        </w:tc>
        <w:tc>
          <w:tcPr>
            <w:tcW w:w="1985" w:type="dxa"/>
            <w:vAlign w:val="center"/>
          </w:tcPr>
          <w:p w14:paraId="5BB77551" w14:textId="1D8F8F5A" w:rsidR="00963FD5" w:rsidRPr="005D0129" w:rsidRDefault="00963FD5" w:rsidP="00963FD5">
            <w:pPr>
              <w:pStyle w:val="TableTextRight"/>
            </w:pPr>
            <w:r w:rsidRPr="005D0129">
              <w:t>17.4</w:t>
            </w:r>
          </w:p>
        </w:tc>
        <w:tc>
          <w:tcPr>
            <w:tcW w:w="1984" w:type="dxa"/>
            <w:vAlign w:val="center"/>
          </w:tcPr>
          <w:p w14:paraId="281C7979" w14:textId="277B2412" w:rsidR="00963FD5" w:rsidRPr="005D0129" w:rsidRDefault="00963FD5" w:rsidP="00963FD5">
            <w:pPr>
              <w:pStyle w:val="TableTextRight"/>
            </w:pPr>
            <w:r w:rsidRPr="005D0129">
              <w:t>27</w:t>
            </w:r>
          </w:p>
        </w:tc>
        <w:tc>
          <w:tcPr>
            <w:tcW w:w="1985" w:type="dxa"/>
            <w:vAlign w:val="center"/>
          </w:tcPr>
          <w:p w14:paraId="676CD0A6" w14:textId="3A239F1B" w:rsidR="00963FD5" w:rsidRPr="005D0129" w:rsidRDefault="00963FD5" w:rsidP="00963FD5">
            <w:pPr>
              <w:pStyle w:val="TableTextRight"/>
            </w:pPr>
            <w:r w:rsidRPr="005D0129">
              <w:t>49</w:t>
            </w:r>
          </w:p>
        </w:tc>
        <w:tc>
          <w:tcPr>
            <w:tcW w:w="1984" w:type="dxa"/>
            <w:vAlign w:val="center"/>
          </w:tcPr>
          <w:p w14:paraId="548D6B43" w14:textId="039B9D1D" w:rsidR="00963FD5" w:rsidRPr="005D0129" w:rsidRDefault="00963FD5" w:rsidP="00963FD5">
            <w:pPr>
              <w:pStyle w:val="TableTextRight"/>
            </w:pPr>
            <w:r w:rsidRPr="005D0129">
              <w:t>72.1%</w:t>
            </w:r>
          </w:p>
        </w:tc>
      </w:tr>
      <w:tr w:rsidR="00540C57" w:rsidRPr="005D0129" w14:paraId="30F90F13"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78AEE898" w14:textId="1974A3E1" w:rsidR="00963FD5" w:rsidRPr="005D0129" w:rsidRDefault="00963FD5" w:rsidP="00963FD5">
            <w:pPr>
              <w:pStyle w:val="TableTextLeft"/>
            </w:pPr>
            <w:r w:rsidRPr="005D0129">
              <w:t>Health Care &amp; Social Assistance</w:t>
            </w:r>
          </w:p>
        </w:tc>
        <w:tc>
          <w:tcPr>
            <w:tcW w:w="1984" w:type="dxa"/>
            <w:vAlign w:val="center"/>
          </w:tcPr>
          <w:p w14:paraId="691E0FF2" w14:textId="03E70DE6" w:rsidR="00963FD5" w:rsidRPr="005D0129" w:rsidRDefault="00963FD5" w:rsidP="00963FD5">
            <w:pPr>
              <w:pStyle w:val="TableTextRight"/>
            </w:pPr>
            <w:r w:rsidRPr="005D0129">
              <w:t>26</w:t>
            </w:r>
          </w:p>
        </w:tc>
        <w:tc>
          <w:tcPr>
            <w:tcW w:w="1985" w:type="dxa"/>
            <w:vAlign w:val="center"/>
          </w:tcPr>
          <w:p w14:paraId="41569327" w14:textId="520CD20C" w:rsidR="00963FD5" w:rsidRPr="005D0129" w:rsidRDefault="00963FD5" w:rsidP="00963FD5">
            <w:pPr>
              <w:pStyle w:val="TableTextRight"/>
            </w:pPr>
            <w:r w:rsidRPr="005D0129">
              <w:t>27.5</w:t>
            </w:r>
          </w:p>
        </w:tc>
        <w:tc>
          <w:tcPr>
            <w:tcW w:w="1984" w:type="dxa"/>
            <w:vAlign w:val="center"/>
          </w:tcPr>
          <w:p w14:paraId="315809A6" w14:textId="50E2F79E" w:rsidR="00963FD5" w:rsidRPr="005D0129" w:rsidRDefault="00963FD5" w:rsidP="00963FD5">
            <w:pPr>
              <w:pStyle w:val="TableTextRight"/>
            </w:pPr>
            <w:r w:rsidRPr="005D0129">
              <w:t>39</w:t>
            </w:r>
          </w:p>
        </w:tc>
        <w:tc>
          <w:tcPr>
            <w:tcW w:w="1985" w:type="dxa"/>
            <w:vAlign w:val="center"/>
          </w:tcPr>
          <w:p w14:paraId="1976EDEA" w14:textId="2E423966" w:rsidR="00963FD5" w:rsidRPr="005D0129" w:rsidRDefault="00963FD5" w:rsidP="00963FD5">
            <w:pPr>
              <w:pStyle w:val="TableTextRight"/>
            </w:pPr>
            <w:r w:rsidRPr="005D0129">
              <w:t>62</w:t>
            </w:r>
          </w:p>
        </w:tc>
        <w:tc>
          <w:tcPr>
            <w:tcW w:w="1984" w:type="dxa"/>
            <w:vAlign w:val="center"/>
          </w:tcPr>
          <w:p w14:paraId="0291DDDD" w14:textId="3DA0BF18" w:rsidR="00963FD5" w:rsidRPr="005D0129" w:rsidRDefault="00963FD5" w:rsidP="00963FD5">
            <w:pPr>
              <w:pStyle w:val="TableTextRight"/>
            </w:pPr>
            <w:r w:rsidRPr="005D0129">
              <w:t>60.3%</w:t>
            </w:r>
          </w:p>
        </w:tc>
      </w:tr>
      <w:tr w:rsidR="000E5569" w:rsidRPr="005D0129" w14:paraId="6F3668AC" w14:textId="77777777" w:rsidTr="000E5569">
        <w:trPr>
          <w:trHeight w:val="312"/>
        </w:trPr>
        <w:tc>
          <w:tcPr>
            <w:tcW w:w="3686" w:type="dxa"/>
            <w:vAlign w:val="center"/>
          </w:tcPr>
          <w:p w14:paraId="5DC410B0" w14:textId="2ABFA669" w:rsidR="00963FD5" w:rsidRPr="005D0129" w:rsidRDefault="00963FD5" w:rsidP="00963FD5">
            <w:pPr>
              <w:pStyle w:val="TableTextLeft"/>
            </w:pPr>
            <w:r w:rsidRPr="005D0129">
              <w:t>Information Media &amp; Telecommunications</w:t>
            </w:r>
          </w:p>
        </w:tc>
        <w:tc>
          <w:tcPr>
            <w:tcW w:w="1984" w:type="dxa"/>
            <w:vAlign w:val="center"/>
          </w:tcPr>
          <w:p w14:paraId="45C1170A" w14:textId="5ACFC8AB" w:rsidR="00963FD5" w:rsidRPr="005D0129" w:rsidRDefault="00963FD5" w:rsidP="00963FD5">
            <w:pPr>
              <w:pStyle w:val="TableTextRight"/>
            </w:pPr>
            <w:r w:rsidRPr="005D0129">
              <w:t>29</w:t>
            </w:r>
          </w:p>
        </w:tc>
        <w:tc>
          <w:tcPr>
            <w:tcW w:w="1985" w:type="dxa"/>
            <w:vAlign w:val="center"/>
          </w:tcPr>
          <w:p w14:paraId="1B9DB214" w14:textId="705236DD" w:rsidR="00963FD5" w:rsidRPr="005D0129" w:rsidRDefault="00963FD5" w:rsidP="00963FD5">
            <w:pPr>
              <w:pStyle w:val="TableTextRight"/>
            </w:pPr>
            <w:r w:rsidRPr="005D0129">
              <w:t>24.7</w:t>
            </w:r>
          </w:p>
        </w:tc>
        <w:tc>
          <w:tcPr>
            <w:tcW w:w="1984" w:type="dxa"/>
            <w:vAlign w:val="center"/>
          </w:tcPr>
          <w:p w14:paraId="0BC55BC5" w14:textId="1D0FA7F6" w:rsidR="00963FD5" w:rsidRPr="005D0129" w:rsidRDefault="00963FD5" w:rsidP="00963FD5">
            <w:pPr>
              <w:pStyle w:val="TableTextRight"/>
            </w:pPr>
            <w:r w:rsidRPr="005D0129">
              <w:t>35</w:t>
            </w:r>
          </w:p>
        </w:tc>
        <w:tc>
          <w:tcPr>
            <w:tcW w:w="1985" w:type="dxa"/>
            <w:vAlign w:val="center"/>
          </w:tcPr>
          <w:p w14:paraId="2D5E5861" w14:textId="7CAB3C97" w:rsidR="00963FD5" w:rsidRPr="005D0129" w:rsidRDefault="00963FD5" w:rsidP="00963FD5">
            <w:pPr>
              <w:pStyle w:val="TableTextRight"/>
            </w:pPr>
            <w:r w:rsidRPr="005D0129">
              <w:t>67</w:t>
            </w:r>
          </w:p>
        </w:tc>
        <w:tc>
          <w:tcPr>
            <w:tcW w:w="1984" w:type="dxa"/>
            <w:vAlign w:val="center"/>
          </w:tcPr>
          <w:p w14:paraId="1771437A" w14:textId="50405DD9" w:rsidR="00963FD5" w:rsidRPr="005D0129" w:rsidRDefault="00963FD5" w:rsidP="00963FD5">
            <w:pPr>
              <w:pStyle w:val="TableTextRight"/>
            </w:pPr>
            <w:r w:rsidRPr="005D0129">
              <w:t>69.1%</w:t>
            </w:r>
          </w:p>
        </w:tc>
      </w:tr>
      <w:tr w:rsidR="00540C57" w:rsidRPr="005D0129" w14:paraId="7D9FAF7F"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155A8805" w14:textId="155FE26A" w:rsidR="00963FD5" w:rsidRPr="005D0129" w:rsidRDefault="00963FD5" w:rsidP="00963FD5">
            <w:pPr>
              <w:pStyle w:val="TableTextLeft"/>
            </w:pPr>
            <w:r w:rsidRPr="005D0129">
              <w:t>Manufacturing</w:t>
            </w:r>
          </w:p>
        </w:tc>
        <w:tc>
          <w:tcPr>
            <w:tcW w:w="1984" w:type="dxa"/>
            <w:vAlign w:val="center"/>
          </w:tcPr>
          <w:p w14:paraId="4D20F345" w14:textId="505D2460" w:rsidR="00963FD5" w:rsidRPr="005D0129" w:rsidRDefault="00963FD5" w:rsidP="00963FD5">
            <w:pPr>
              <w:pStyle w:val="TableTextRight"/>
            </w:pPr>
            <w:r w:rsidRPr="005D0129">
              <w:t>35</w:t>
            </w:r>
          </w:p>
        </w:tc>
        <w:tc>
          <w:tcPr>
            <w:tcW w:w="1985" w:type="dxa"/>
            <w:vAlign w:val="center"/>
          </w:tcPr>
          <w:p w14:paraId="0421748A" w14:textId="204948D9" w:rsidR="00963FD5" w:rsidRPr="005D0129" w:rsidRDefault="00963FD5" w:rsidP="00963FD5">
            <w:pPr>
              <w:pStyle w:val="TableTextRight"/>
            </w:pPr>
            <w:r w:rsidRPr="005D0129">
              <w:t>33.7</w:t>
            </w:r>
          </w:p>
        </w:tc>
        <w:tc>
          <w:tcPr>
            <w:tcW w:w="1984" w:type="dxa"/>
            <w:vAlign w:val="center"/>
          </w:tcPr>
          <w:p w14:paraId="128076C7" w14:textId="367C7BBC" w:rsidR="00963FD5" w:rsidRPr="005D0129" w:rsidRDefault="00963FD5" w:rsidP="00963FD5">
            <w:pPr>
              <w:pStyle w:val="TableTextRight"/>
            </w:pPr>
            <w:r w:rsidRPr="005D0129">
              <w:t>47</w:t>
            </w:r>
          </w:p>
        </w:tc>
        <w:tc>
          <w:tcPr>
            <w:tcW w:w="1985" w:type="dxa"/>
            <w:vAlign w:val="center"/>
          </w:tcPr>
          <w:p w14:paraId="65595CF3" w14:textId="60A39909" w:rsidR="00963FD5" w:rsidRPr="005D0129" w:rsidRDefault="00963FD5" w:rsidP="00963FD5">
            <w:pPr>
              <w:pStyle w:val="TableTextRight"/>
            </w:pPr>
            <w:r w:rsidRPr="005D0129">
              <w:t>67</w:t>
            </w:r>
          </w:p>
        </w:tc>
        <w:tc>
          <w:tcPr>
            <w:tcW w:w="1984" w:type="dxa"/>
            <w:vAlign w:val="center"/>
          </w:tcPr>
          <w:p w14:paraId="304FBA02" w14:textId="7F32E1E1" w:rsidR="00963FD5" w:rsidRPr="005D0129" w:rsidRDefault="00963FD5" w:rsidP="00963FD5">
            <w:pPr>
              <w:pStyle w:val="TableTextRight"/>
            </w:pPr>
            <w:r w:rsidRPr="005D0129">
              <w:t>62.1%</w:t>
            </w:r>
          </w:p>
        </w:tc>
      </w:tr>
      <w:tr w:rsidR="000E5569" w:rsidRPr="005D0129" w14:paraId="481D6F08" w14:textId="77777777" w:rsidTr="000E5569">
        <w:trPr>
          <w:trHeight w:val="312"/>
        </w:trPr>
        <w:tc>
          <w:tcPr>
            <w:tcW w:w="3686" w:type="dxa"/>
            <w:vAlign w:val="center"/>
          </w:tcPr>
          <w:p w14:paraId="721C93FE" w14:textId="1A7DAEF0" w:rsidR="00963FD5" w:rsidRPr="005D0129" w:rsidRDefault="00963FD5" w:rsidP="00963FD5">
            <w:pPr>
              <w:pStyle w:val="TableTextLeft"/>
            </w:pPr>
            <w:r w:rsidRPr="005D0129">
              <w:t>Mining</w:t>
            </w:r>
          </w:p>
        </w:tc>
        <w:tc>
          <w:tcPr>
            <w:tcW w:w="1984" w:type="dxa"/>
            <w:vAlign w:val="center"/>
          </w:tcPr>
          <w:p w14:paraId="4D667707" w14:textId="5E107F5B" w:rsidR="00963FD5" w:rsidRPr="005D0129" w:rsidRDefault="00963FD5" w:rsidP="00963FD5">
            <w:pPr>
              <w:pStyle w:val="TableTextRight"/>
            </w:pPr>
            <w:r w:rsidRPr="005D0129">
              <w:t>32</w:t>
            </w:r>
          </w:p>
        </w:tc>
        <w:tc>
          <w:tcPr>
            <w:tcW w:w="1985" w:type="dxa"/>
            <w:vAlign w:val="center"/>
          </w:tcPr>
          <w:p w14:paraId="6EF115D7" w14:textId="39F2A166" w:rsidR="00963FD5" w:rsidRPr="005D0129" w:rsidRDefault="00963FD5" w:rsidP="00963FD5">
            <w:pPr>
              <w:pStyle w:val="TableTextRight"/>
            </w:pPr>
            <w:r w:rsidRPr="005D0129">
              <w:t>30.0</w:t>
            </w:r>
          </w:p>
        </w:tc>
        <w:tc>
          <w:tcPr>
            <w:tcW w:w="1984" w:type="dxa"/>
            <w:vAlign w:val="center"/>
          </w:tcPr>
          <w:p w14:paraId="31DFD231" w14:textId="2C2689A4" w:rsidR="00963FD5" w:rsidRPr="005D0129" w:rsidRDefault="00963FD5" w:rsidP="00963FD5">
            <w:pPr>
              <w:pStyle w:val="TableTextRight"/>
            </w:pPr>
            <w:r w:rsidRPr="005D0129">
              <w:t>39</w:t>
            </w:r>
          </w:p>
        </w:tc>
        <w:tc>
          <w:tcPr>
            <w:tcW w:w="1985" w:type="dxa"/>
            <w:vAlign w:val="center"/>
          </w:tcPr>
          <w:p w14:paraId="728F69A7" w14:textId="5D7B2C46" w:rsidR="00963FD5" w:rsidRPr="005D0129" w:rsidRDefault="00963FD5" w:rsidP="00963FD5">
            <w:pPr>
              <w:pStyle w:val="TableTextRight"/>
            </w:pPr>
            <w:r w:rsidRPr="005D0129">
              <w:t>70</w:t>
            </w:r>
          </w:p>
        </w:tc>
        <w:tc>
          <w:tcPr>
            <w:tcW w:w="1984" w:type="dxa"/>
            <w:vAlign w:val="center"/>
          </w:tcPr>
          <w:p w14:paraId="02D5334B" w14:textId="595E4F25" w:rsidR="00963FD5" w:rsidRPr="005D0129" w:rsidRDefault="00963FD5" w:rsidP="00963FD5">
            <w:pPr>
              <w:pStyle w:val="TableTextRight"/>
            </w:pPr>
            <w:r w:rsidRPr="005D0129">
              <w:t>68.7%</w:t>
            </w:r>
          </w:p>
        </w:tc>
      </w:tr>
      <w:tr w:rsidR="00540C57" w:rsidRPr="005D0129" w14:paraId="2954F7C8"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2C3954E2" w14:textId="62ACEA07" w:rsidR="00963FD5" w:rsidRPr="005D0129" w:rsidRDefault="00963FD5" w:rsidP="00963FD5">
            <w:pPr>
              <w:pStyle w:val="TableTextLeft"/>
            </w:pPr>
            <w:r w:rsidRPr="005D0129">
              <w:t>Other Services</w:t>
            </w:r>
          </w:p>
        </w:tc>
        <w:tc>
          <w:tcPr>
            <w:tcW w:w="1984" w:type="dxa"/>
            <w:vAlign w:val="center"/>
          </w:tcPr>
          <w:p w14:paraId="2E7A3DD1" w14:textId="120F36DB" w:rsidR="00963FD5" w:rsidRPr="005D0129" w:rsidRDefault="00963FD5" w:rsidP="00963FD5">
            <w:pPr>
              <w:pStyle w:val="TableTextRight"/>
            </w:pPr>
            <w:r w:rsidRPr="005D0129">
              <w:t>26</w:t>
            </w:r>
          </w:p>
        </w:tc>
        <w:tc>
          <w:tcPr>
            <w:tcW w:w="1985" w:type="dxa"/>
            <w:vAlign w:val="center"/>
          </w:tcPr>
          <w:p w14:paraId="22A23AFE" w14:textId="6CB81F10" w:rsidR="00963FD5" w:rsidRPr="005D0129" w:rsidRDefault="00963FD5" w:rsidP="00963FD5">
            <w:pPr>
              <w:pStyle w:val="TableTextRight"/>
            </w:pPr>
            <w:r w:rsidRPr="005D0129">
              <w:t>28.4</w:t>
            </w:r>
          </w:p>
        </w:tc>
        <w:tc>
          <w:tcPr>
            <w:tcW w:w="1984" w:type="dxa"/>
            <w:vAlign w:val="center"/>
          </w:tcPr>
          <w:p w14:paraId="44BDE15D" w14:textId="6E8C88CB" w:rsidR="00963FD5" w:rsidRPr="005D0129" w:rsidRDefault="00963FD5" w:rsidP="00963FD5">
            <w:pPr>
              <w:pStyle w:val="TableTextRight"/>
            </w:pPr>
            <w:r w:rsidRPr="005D0129">
              <w:t>38</w:t>
            </w:r>
          </w:p>
        </w:tc>
        <w:tc>
          <w:tcPr>
            <w:tcW w:w="1985" w:type="dxa"/>
            <w:vAlign w:val="center"/>
          </w:tcPr>
          <w:p w14:paraId="437B8460" w14:textId="2068C7D0" w:rsidR="00963FD5" w:rsidRPr="005D0129" w:rsidRDefault="00963FD5" w:rsidP="00963FD5">
            <w:pPr>
              <w:pStyle w:val="TableTextRight"/>
            </w:pPr>
            <w:r w:rsidRPr="005D0129">
              <w:t>57</w:t>
            </w:r>
          </w:p>
        </w:tc>
        <w:tc>
          <w:tcPr>
            <w:tcW w:w="1984" w:type="dxa"/>
            <w:vAlign w:val="center"/>
          </w:tcPr>
          <w:p w14:paraId="74923DAC" w14:textId="6EC637F9" w:rsidR="00963FD5" w:rsidRPr="005D0129" w:rsidRDefault="00963FD5" w:rsidP="00963FD5">
            <w:pPr>
              <w:pStyle w:val="TableTextRight"/>
            </w:pPr>
            <w:r w:rsidRPr="005D0129">
              <w:t>72.3%</w:t>
            </w:r>
          </w:p>
        </w:tc>
      </w:tr>
      <w:tr w:rsidR="000E5569" w:rsidRPr="005D0129" w14:paraId="45FA4914" w14:textId="77777777" w:rsidTr="000E5569">
        <w:trPr>
          <w:trHeight w:val="312"/>
        </w:trPr>
        <w:tc>
          <w:tcPr>
            <w:tcW w:w="3686" w:type="dxa"/>
            <w:vAlign w:val="center"/>
          </w:tcPr>
          <w:p w14:paraId="379847D0" w14:textId="1E9AFB44" w:rsidR="00963FD5" w:rsidRPr="005D0129" w:rsidRDefault="00963FD5" w:rsidP="00963FD5">
            <w:pPr>
              <w:pStyle w:val="TableTextLeft"/>
            </w:pPr>
            <w:r w:rsidRPr="005D0129">
              <w:t>Professional, Scientific &amp; Technical Services</w:t>
            </w:r>
          </w:p>
        </w:tc>
        <w:tc>
          <w:tcPr>
            <w:tcW w:w="1984" w:type="dxa"/>
            <w:vAlign w:val="center"/>
          </w:tcPr>
          <w:p w14:paraId="6807BE44" w14:textId="455E3B40" w:rsidR="00963FD5" w:rsidRPr="005D0129" w:rsidRDefault="00963FD5" w:rsidP="00963FD5">
            <w:pPr>
              <w:pStyle w:val="TableTextRight"/>
            </w:pPr>
            <w:r w:rsidRPr="005D0129">
              <w:t>28</w:t>
            </w:r>
          </w:p>
        </w:tc>
        <w:tc>
          <w:tcPr>
            <w:tcW w:w="1985" w:type="dxa"/>
            <w:vAlign w:val="center"/>
          </w:tcPr>
          <w:p w14:paraId="0C1B3064" w14:textId="4B13E063" w:rsidR="00963FD5" w:rsidRPr="005D0129" w:rsidRDefault="00963FD5" w:rsidP="00963FD5">
            <w:pPr>
              <w:pStyle w:val="TableTextRight"/>
            </w:pPr>
            <w:r w:rsidRPr="005D0129">
              <w:t>27.9</w:t>
            </w:r>
          </w:p>
        </w:tc>
        <w:tc>
          <w:tcPr>
            <w:tcW w:w="1984" w:type="dxa"/>
            <w:vAlign w:val="center"/>
          </w:tcPr>
          <w:p w14:paraId="0A1C1F35" w14:textId="54942382" w:rsidR="00963FD5" w:rsidRPr="005D0129" w:rsidRDefault="00963FD5" w:rsidP="00963FD5">
            <w:pPr>
              <w:pStyle w:val="TableTextRight"/>
            </w:pPr>
            <w:r w:rsidRPr="005D0129">
              <w:t>38</w:t>
            </w:r>
          </w:p>
        </w:tc>
        <w:tc>
          <w:tcPr>
            <w:tcW w:w="1985" w:type="dxa"/>
            <w:vAlign w:val="center"/>
          </w:tcPr>
          <w:p w14:paraId="73E5F48A" w14:textId="5223217F" w:rsidR="00963FD5" w:rsidRPr="005D0129" w:rsidRDefault="00963FD5" w:rsidP="00963FD5">
            <w:pPr>
              <w:pStyle w:val="TableTextRight"/>
            </w:pPr>
            <w:r w:rsidRPr="005D0129">
              <w:t>94</w:t>
            </w:r>
          </w:p>
        </w:tc>
        <w:tc>
          <w:tcPr>
            <w:tcW w:w="1984" w:type="dxa"/>
            <w:vAlign w:val="center"/>
          </w:tcPr>
          <w:p w14:paraId="57E34C7D" w14:textId="28C8D4DD" w:rsidR="00963FD5" w:rsidRPr="005D0129" w:rsidRDefault="00963FD5" w:rsidP="00963FD5">
            <w:pPr>
              <w:pStyle w:val="TableTextRight"/>
            </w:pPr>
            <w:r w:rsidRPr="005D0129">
              <w:t>64.8%</w:t>
            </w:r>
          </w:p>
        </w:tc>
      </w:tr>
      <w:tr w:rsidR="000E5569" w:rsidRPr="005D0129" w14:paraId="70C02559"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2DD24CCC" w14:textId="3AA628AF" w:rsidR="00963FD5" w:rsidRPr="005D0129" w:rsidRDefault="00963FD5" w:rsidP="00963FD5">
            <w:pPr>
              <w:pStyle w:val="TableTextLeft"/>
            </w:pPr>
            <w:r w:rsidRPr="005D0129">
              <w:t>Public Administration &amp; Safety</w:t>
            </w:r>
          </w:p>
        </w:tc>
        <w:tc>
          <w:tcPr>
            <w:tcW w:w="1984" w:type="dxa"/>
            <w:vAlign w:val="center"/>
          </w:tcPr>
          <w:p w14:paraId="77D9015A" w14:textId="3B9ADFF4" w:rsidR="00963FD5" w:rsidRPr="005D0129" w:rsidRDefault="00963FD5" w:rsidP="00963FD5">
            <w:pPr>
              <w:pStyle w:val="TableTextRight"/>
            </w:pPr>
            <w:r w:rsidRPr="005D0129">
              <w:t>23</w:t>
            </w:r>
          </w:p>
        </w:tc>
        <w:tc>
          <w:tcPr>
            <w:tcW w:w="1985" w:type="dxa"/>
            <w:vAlign w:val="center"/>
          </w:tcPr>
          <w:p w14:paraId="5B15D254" w14:textId="3F8E59EC" w:rsidR="00963FD5" w:rsidRPr="005D0129" w:rsidRDefault="00963FD5" w:rsidP="00963FD5">
            <w:pPr>
              <w:pStyle w:val="TableTextRight"/>
            </w:pPr>
            <w:r w:rsidRPr="005D0129">
              <w:t>23.3</w:t>
            </w:r>
          </w:p>
        </w:tc>
        <w:tc>
          <w:tcPr>
            <w:tcW w:w="1984" w:type="dxa"/>
            <w:vAlign w:val="center"/>
          </w:tcPr>
          <w:p w14:paraId="6F32CB70" w14:textId="531C9B1C" w:rsidR="00963FD5" w:rsidRPr="005D0129" w:rsidRDefault="00963FD5" w:rsidP="00963FD5">
            <w:pPr>
              <w:pStyle w:val="TableTextRight"/>
            </w:pPr>
            <w:r w:rsidRPr="005D0129">
              <w:t>31</w:t>
            </w:r>
          </w:p>
        </w:tc>
        <w:tc>
          <w:tcPr>
            <w:tcW w:w="1985" w:type="dxa"/>
            <w:vAlign w:val="center"/>
          </w:tcPr>
          <w:p w14:paraId="0AB3693F" w14:textId="0B775BFD" w:rsidR="00963FD5" w:rsidRPr="005D0129" w:rsidRDefault="00963FD5" w:rsidP="00963FD5">
            <w:pPr>
              <w:pStyle w:val="TableTextRight"/>
            </w:pPr>
            <w:r w:rsidRPr="005D0129">
              <w:t>51</w:t>
            </w:r>
          </w:p>
        </w:tc>
        <w:tc>
          <w:tcPr>
            <w:tcW w:w="1984" w:type="dxa"/>
            <w:vAlign w:val="center"/>
          </w:tcPr>
          <w:p w14:paraId="1FD95C8C" w14:textId="7D10B214" w:rsidR="00963FD5" w:rsidRPr="005D0129" w:rsidRDefault="00963FD5" w:rsidP="00963FD5">
            <w:pPr>
              <w:pStyle w:val="TableTextRight"/>
            </w:pPr>
            <w:r w:rsidRPr="005D0129">
              <w:t>68.0%</w:t>
            </w:r>
          </w:p>
        </w:tc>
      </w:tr>
      <w:tr w:rsidR="000E5569" w:rsidRPr="005D0129" w14:paraId="35396F10" w14:textId="77777777" w:rsidTr="000E5569">
        <w:trPr>
          <w:trHeight w:val="312"/>
        </w:trPr>
        <w:tc>
          <w:tcPr>
            <w:tcW w:w="3686" w:type="dxa"/>
            <w:vAlign w:val="center"/>
          </w:tcPr>
          <w:p w14:paraId="1665B3E8" w14:textId="13739845" w:rsidR="00963FD5" w:rsidRPr="005D0129" w:rsidRDefault="00963FD5" w:rsidP="00963FD5">
            <w:pPr>
              <w:pStyle w:val="TableTextLeft"/>
            </w:pPr>
            <w:r w:rsidRPr="005D0129">
              <w:t>Rental, Hiring &amp; Real Estate Services</w:t>
            </w:r>
          </w:p>
        </w:tc>
        <w:tc>
          <w:tcPr>
            <w:tcW w:w="1984" w:type="dxa"/>
            <w:vAlign w:val="center"/>
          </w:tcPr>
          <w:p w14:paraId="56B38666" w14:textId="048C99D0" w:rsidR="00963FD5" w:rsidRPr="005D0129" w:rsidRDefault="00963FD5" w:rsidP="00963FD5">
            <w:pPr>
              <w:pStyle w:val="TableTextRight"/>
            </w:pPr>
            <w:r w:rsidRPr="005D0129">
              <w:t>27</w:t>
            </w:r>
          </w:p>
        </w:tc>
        <w:tc>
          <w:tcPr>
            <w:tcW w:w="1985" w:type="dxa"/>
            <w:vAlign w:val="center"/>
          </w:tcPr>
          <w:p w14:paraId="4037DCF5" w14:textId="20F56D72" w:rsidR="00963FD5" w:rsidRPr="005D0129" w:rsidRDefault="00963FD5" w:rsidP="00963FD5">
            <w:pPr>
              <w:pStyle w:val="TableTextRight"/>
            </w:pPr>
            <w:r w:rsidRPr="005D0129">
              <w:t>25.8</w:t>
            </w:r>
          </w:p>
        </w:tc>
        <w:tc>
          <w:tcPr>
            <w:tcW w:w="1984" w:type="dxa"/>
            <w:vAlign w:val="center"/>
          </w:tcPr>
          <w:p w14:paraId="3A247E0B" w14:textId="027480B0" w:rsidR="00963FD5" w:rsidRPr="005D0129" w:rsidRDefault="00963FD5" w:rsidP="00963FD5">
            <w:pPr>
              <w:pStyle w:val="TableTextRight"/>
            </w:pPr>
            <w:r w:rsidRPr="005D0129">
              <w:t>34</w:t>
            </w:r>
          </w:p>
        </w:tc>
        <w:tc>
          <w:tcPr>
            <w:tcW w:w="1985" w:type="dxa"/>
            <w:vAlign w:val="center"/>
          </w:tcPr>
          <w:p w14:paraId="25043A13" w14:textId="4A79A459" w:rsidR="00963FD5" w:rsidRPr="005D0129" w:rsidRDefault="00963FD5" w:rsidP="00963FD5">
            <w:pPr>
              <w:pStyle w:val="TableTextRight"/>
            </w:pPr>
            <w:r w:rsidRPr="005D0129">
              <w:t>56</w:t>
            </w:r>
          </w:p>
        </w:tc>
        <w:tc>
          <w:tcPr>
            <w:tcW w:w="1984" w:type="dxa"/>
            <w:vAlign w:val="center"/>
          </w:tcPr>
          <w:p w14:paraId="2E34A8B8" w14:textId="37A2BDF5" w:rsidR="00963FD5" w:rsidRPr="005D0129" w:rsidRDefault="00963FD5" w:rsidP="00963FD5">
            <w:pPr>
              <w:pStyle w:val="TableTextRight"/>
            </w:pPr>
            <w:r w:rsidRPr="005D0129">
              <w:t>66.9%</w:t>
            </w:r>
          </w:p>
        </w:tc>
      </w:tr>
      <w:tr w:rsidR="000E5569" w:rsidRPr="005D0129" w14:paraId="60D2C644"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776698F1" w14:textId="54A5489C" w:rsidR="00963FD5" w:rsidRPr="005D0129" w:rsidRDefault="00963FD5" w:rsidP="00963FD5">
            <w:pPr>
              <w:pStyle w:val="TableTextLeft"/>
            </w:pPr>
            <w:r w:rsidRPr="005D0129">
              <w:t>Retail Trade</w:t>
            </w:r>
          </w:p>
        </w:tc>
        <w:tc>
          <w:tcPr>
            <w:tcW w:w="1984" w:type="dxa"/>
            <w:vAlign w:val="center"/>
          </w:tcPr>
          <w:p w14:paraId="3606577A" w14:textId="795E1F64" w:rsidR="00963FD5" w:rsidRPr="005D0129" w:rsidRDefault="00963FD5" w:rsidP="00963FD5">
            <w:pPr>
              <w:pStyle w:val="TableTextRight"/>
            </w:pPr>
            <w:r w:rsidRPr="005D0129">
              <w:t>31</w:t>
            </w:r>
          </w:p>
        </w:tc>
        <w:tc>
          <w:tcPr>
            <w:tcW w:w="1985" w:type="dxa"/>
            <w:vAlign w:val="center"/>
          </w:tcPr>
          <w:p w14:paraId="2C56BBF6" w14:textId="2AE732CB" w:rsidR="00963FD5" w:rsidRPr="005D0129" w:rsidRDefault="00963FD5" w:rsidP="00963FD5">
            <w:pPr>
              <w:pStyle w:val="TableTextRight"/>
            </w:pPr>
            <w:r w:rsidRPr="005D0129">
              <w:t>28.7</w:t>
            </w:r>
          </w:p>
        </w:tc>
        <w:tc>
          <w:tcPr>
            <w:tcW w:w="1984" w:type="dxa"/>
            <w:vAlign w:val="center"/>
          </w:tcPr>
          <w:p w14:paraId="1675A1A3" w14:textId="02946C24" w:rsidR="00963FD5" w:rsidRPr="005D0129" w:rsidRDefault="00963FD5" w:rsidP="00963FD5">
            <w:pPr>
              <w:pStyle w:val="TableTextRight"/>
            </w:pPr>
            <w:r w:rsidRPr="005D0129">
              <w:t>40</w:t>
            </w:r>
          </w:p>
        </w:tc>
        <w:tc>
          <w:tcPr>
            <w:tcW w:w="1985" w:type="dxa"/>
            <w:vAlign w:val="center"/>
          </w:tcPr>
          <w:p w14:paraId="39C6B8D1" w14:textId="1305651E" w:rsidR="00963FD5" w:rsidRPr="005D0129" w:rsidRDefault="00963FD5" w:rsidP="00963FD5">
            <w:pPr>
              <w:pStyle w:val="TableTextRight"/>
            </w:pPr>
            <w:r w:rsidRPr="005D0129">
              <w:t>77</w:t>
            </w:r>
          </w:p>
        </w:tc>
        <w:tc>
          <w:tcPr>
            <w:tcW w:w="1984" w:type="dxa"/>
            <w:vAlign w:val="center"/>
          </w:tcPr>
          <w:p w14:paraId="17ACF229" w14:textId="5104E0AE" w:rsidR="00963FD5" w:rsidRPr="005D0129" w:rsidRDefault="00963FD5" w:rsidP="00963FD5">
            <w:pPr>
              <w:pStyle w:val="TableTextRight"/>
            </w:pPr>
            <w:r w:rsidRPr="005D0129">
              <w:t>67.5%</w:t>
            </w:r>
          </w:p>
        </w:tc>
      </w:tr>
      <w:tr w:rsidR="000E5569" w:rsidRPr="005D0129" w14:paraId="7AE49032" w14:textId="77777777" w:rsidTr="000E5569">
        <w:trPr>
          <w:trHeight w:val="312"/>
        </w:trPr>
        <w:tc>
          <w:tcPr>
            <w:tcW w:w="3686" w:type="dxa"/>
            <w:vAlign w:val="center"/>
          </w:tcPr>
          <w:p w14:paraId="110D0176" w14:textId="63DF75B1" w:rsidR="00963FD5" w:rsidRPr="005D0129" w:rsidRDefault="00963FD5" w:rsidP="00963FD5">
            <w:pPr>
              <w:pStyle w:val="TableTextLeft"/>
            </w:pPr>
            <w:r w:rsidRPr="005D0129">
              <w:t>Transport, Postal &amp; Warehousing</w:t>
            </w:r>
          </w:p>
        </w:tc>
        <w:tc>
          <w:tcPr>
            <w:tcW w:w="1984" w:type="dxa"/>
            <w:vAlign w:val="center"/>
          </w:tcPr>
          <w:p w14:paraId="3AFDCEC7" w14:textId="432C4735" w:rsidR="00963FD5" w:rsidRPr="005D0129" w:rsidRDefault="00963FD5" w:rsidP="00963FD5">
            <w:pPr>
              <w:pStyle w:val="TableTextRight"/>
            </w:pPr>
            <w:r w:rsidRPr="005D0129">
              <w:t>30</w:t>
            </w:r>
          </w:p>
        </w:tc>
        <w:tc>
          <w:tcPr>
            <w:tcW w:w="1985" w:type="dxa"/>
            <w:vAlign w:val="center"/>
          </w:tcPr>
          <w:p w14:paraId="35F28A00" w14:textId="14B4877C" w:rsidR="00963FD5" w:rsidRPr="005D0129" w:rsidRDefault="00963FD5" w:rsidP="00963FD5">
            <w:pPr>
              <w:pStyle w:val="TableTextRight"/>
            </w:pPr>
            <w:r w:rsidRPr="005D0129">
              <w:t>27.7</w:t>
            </w:r>
          </w:p>
        </w:tc>
        <w:tc>
          <w:tcPr>
            <w:tcW w:w="1984" w:type="dxa"/>
            <w:vAlign w:val="center"/>
          </w:tcPr>
          <w:p w14:paraId="34A4F672" w14:textId="6CBE619B" w:rsidR="00963FD5" w:rsidRPr="005D0129" w:rsidRDefault="00963FD5" w:rsidP="00963FD5">
            <w:pPr>
              <w:pStyle w:val="TableTextRight"/>
            </w:pPr>
            <w:r w:rsidRPr="005D0129">
              <w:t>41</w:t>
            </w:r>
          </w:p>
        </w:tc>
        <w:tc>
          <w:tcPr>
            <w:tcW w:w="1985" w:type="dxa"/>
            <w:vAlign w:val="center"/>
          </w:tcPr>
          <w:p w14:paraId="378F4217" w14:textId="5EB37509" w:rsidR="00963FD5" w:rsidRPr="005D0129" w:rsidRDefault="00963FD5" w:rsidP="00963FD5">
            <w:pPr>
              <w:pStyle w:val="TableTextRight"/>
            </w:pPr>
            <w:r w:rsidRPr="005D0129">
              <w:t>62</w:t>
            </w:r>
          </w:p>
        </w:tc>
        <w:tc>
          <w:tcPr>
            <w:tcW w:w="1984" w:type="dxa"/>
            <w:vAlign w:val="center"/>
          </w:tcPr>
          <w:p w14:paraId="0DE73B8F" w14:textId="259DD2AE" w:rsidR="00963FD5" w:rsidRPr="005D0129" w:rsidRDefault="00963FD5" w:rsidP="00963FD5">
            <w:pPr>
              <w:pStyle w:val="TableTextRight"/>
            </w:pPr>
            <w:r w:rsidRPr="005D0129">
              <w:t>61.9%</w:t>
            </w:r>
          </w:p>
        </w:tc>
      </w:tr>
      <w:tr w:rsidR="000E5569" w:rsidRPr="005D0129" w14:paraId="09F8E590" w14:textId="77777777" w:rsidTr="000E5569">
        <w:trPr>
          <w:cnfStyle w:val="000000100000" w:firstRow="0" w:lastRow="0" w:firstColumn="0" w:lastColumn="0" w:oddVBand="0" w:evenVBand="0" w:oddHBand="1" w:evenHBand="0" w:firstRowFirstColumn="0" w:firstRowLastColumn="0" w:lastRowFirstColumn="0" w:lastRowLastColumn="0"/>
          <w:trHeight w:val="312"/>
        </w:trPr>
        <w:tc>
          <w:tcPr>
            <w:tcW w:w="3686" w:type="dxa"/>
            <w:vAlign w:val="center"/>
          </w:tcPr>
          <w:p w14:paraId="2D7CD7A9" w14:textId="0EB2EC28" w:rsidR="00963FD5" w:rsidRPr="005D0129" w:rsidRDefault="00963FD5" w:rsidP="00963FD5">
            <w:pPr>
              <w:pStyle w:val="TableTextLeft"/>
            </w:pPr>
            <w:r w:rsidRPr="005D0129">
              <w:t>Wholesale Trade</w:t>
            </w:r>
          </w:p>
        </w:tc>
        <w:tc>
          <w:tcPr>
            <w:tcW w:w="1984" w:type="dxa"/>
            <w:vAlign w:val="center"/>
          </w:tcPr>
          <w:p w14:paraId="296A2DDC" w14:textId="32A83314" w:rsidR="00963FD5" w:rsidRPr="005D0129" w:rsidRDefault="00963FD5" w:rsidP="00963FD5">
            <w:pPr>
              <w:pStyle w:val="TableTextRight"/>
            </w:pPr>
            <w:r w:rsidRPr="005D0129">
              <w:t>33</w:t>
            </w:r>
          </w:p>
        </w:tc>
        <w:tc>
          <w:tcPr>
            <w:tcW w:w="1985" w:type="dxa"/>
            <w:vAlign w:val="center"/>
          </w:tcPr>
          <w:p w14:paraId="696E24FD" w14:textId="79BC663F" w:rsidR="00963FD5" w:rsidRPr="005D0129" w:rsidRDefault="00963FD5" w:rsidP="00963FD5">
            <w:pPr>
              <w:pStyle w:val="TableTextRight"/>
            </w:pPr>
            <w:r w:rsidRPr="005D0129">
              <w:t>29.3</w:t>
            </w:r>
          </w:p>
        </w:tc>
        <w:tc>
          <w:tcPr>
            <w:tcW w:w="1984" w:type="dxa"/>
            <w:vAlign w:val="center"/>
          </w:tcPr>
          <w:p w14:paraId="418DF678" w14:textId="4BAB72E0" w:rsidR="00963FD5" w:rsidRPr="005D0129" w:rsidRDefault="00963FD5" w:rsidP="00963FD5">
            <w:pPr>
              <w:pStyle w:val="TableTextRight"/>
            </w:pPr>
            <w:r w:rsidRPr="005D0129">
              <w:t>41</w:t>
            </w:r>
          </w:p>
        </w:tc>
        <w:tc>
          <w:tcPr>
            <w:tcW w:w="1985" w:type="dxa"/>
            <w:vAlign w:val="center"/>
          </w:tcPr>
          <w:p w14:paraId="7E353D65" w14:textId="0B62DC1C" w:rsidR="00963FD5" w:rsidRPr="005D0129" w:rsidRDefault="00963FD5" w:rsidP="00963FD5">
            <w:pPr>
              <w:pStyle w:val="TableTextRight"/>
            </w:pPr>
            <w:r w:rsidRPr="005D0129">
              <w:t>65</w:t>
            </w:r>
          </w:p>
        </w:tc>
        <w:tc>
          <w:tcPr>
            <w:tcW w:w="1984" w:type="dxa"/>
            <w:vAlign w:val="center"/>
          </w:tcPr>
          <w:p w14:paraId="5B8149CB" w14:textId="6AA2E4C1" w:rsidR="00963FD5" w:rsidRPr="005D0129" w:rsidRDefault="00963FD5" w:rsidP="00963FD5">
            <w:pPr>
              <w:pStyle w:val="TableTextRight"/>
            </w:pPr>
            <w:r w:rsidRPr="005D0129">
              <w:t>65.4%</w:t>
            </w:r>
          </w:p>
        </w:tc>
      </w:tr>
      <w:tr w:rsidR="00B56834" w:rsidRPr="005D0129" w14:paraId="50E84207" w14:textId="77777777" w:rsidTr="000E5569">
        <w:trPr>
          <w:trHeight w:val="312"/>
        </w:trPr>
        <w:tc>
          <w:tcPr>
            <w:tcW w:w="3686" w:type="dxa"/>
            <w:vAlign w:val="center"/>
          </w:tcPr>
          <w:p w14:paraId="2C8B7F9C" w14:textId="6A56A2A1" w:rsidR="00963FD5" w:rsidRPr="005D0129" w:rsidRDefault="00963FD5" w:rsidP="00963FD5">
            <w:pPr>
              <w:pStyle w:val="TableTextLeft"/>
              <w:rPr>
                <w:rStyle w:val="Strong"/>
              </w:rPr>
            </w:pPr>
            <w:r w:rsidRPr="005D0129">
              <w:rPr>
                <w:rStyle w:val="Strong"/>
              </w:rPr>
              <w:t>All Industries</w:t>
            </w:r>
          </w:p>
        </w:tc>
        <w:tc>
          <w:tcPr>
            <w:tcW w:w="1984" w:type="dxa"/>
            <w:vAlign w:val="center"/>
          </w:tcPr>
          <w:p w14:paraId="7EAB4348" w14:textId="062E9E01" w:rsidR="00963FD5" w:rsidRPr="005D0129" w:rsidRDefault="00963FD5" w:rsidP="00963FD5">
            <w:pPr>
              <w:pStyle w:val="TableTextRight"/>
              <w:rPr>
                <w:rStyle w:val="Strong"/>
              </w:rPr>
            </w:pPr>
            <w:r w:rsidRPr="005D0129">
              <w:rPr>
                <w:rStyle w:val="Strong"/>
              </w:rPr>
              <w:t>29</w:t>
            </w:r>
          </w:p>
        </w:tc>
        <w:tc>
          <w:tcPr>
            <w:tcW w:w="1985" w:type="dxa"/>
            <w:vAlign w:val="center"/>
          </w:tcPr>
          <w:p w14:paraId="0B412987" w14:textId="45703054" w:rsidR="00963FD5" w:rsidRPr="005D0129" w:rsidRDefault="00963FD5" w:rsidP="00963FD5">
            <w:pPr>
              <w:pStyle w:val="TableTextRight"/>
              <w:rPr>
                <w:rStyle w:val="Strong"/>
              </w:rPr>
            </w:pPr>
            <w:r w:rsidRPr="005D0129">
              <w:rPr>
                <w:rStyle w:val="Strong"/>
              </w:rPr>
              <w:t>27.4</w:t>
            </w:r>
          </w:p>
        </w:tc>
        <w:tc>
          <w:tcPr>
            <w:tcW w:w="1984" w:type="dxa"/>
            <w:vAlign w:val="center"/>
          </w:tcPr>
          <w:p w14:paraId="5DE2E9FF" w14:textId="7BFAE78B" w:rsidR="00963FD5" w:rsidRPr="005D0129" w:rsidRDefault="00963FD5" w:rsidP="00963FD5">
            <w:pPr>
              <w:pStyle w:val="TableTextRight"/>
              <w:rPr>
                <w:rStyle w:val="Strong"/>
              </w:rPr>
            </w:pPr>
            <w:r w:rsidRPr="005D0129">
              <w:rPr>
                <w:rStyle w:val="Strong"/>
              </w:rPr>
              <w:t>39</w:t>
            </w:r>
          </w:p>
        </w:tc>
        <w:tc>
          <w:tcPr>
            <w:tcW w:w="1985" w:type="dxa"/>
            <w:vAlign w:val="center"/>
          </w:tcPr>
          <w:p w14:paraId="6537C030" w14:textId="6391C850" w:rsidR="00963FD5" w:rsidRPr="005D0129" w:rsidRDefault="00963FD5" w:rsidP="00963FD5">
            <w:pPr>
              <w:pStyle w:val="TableTextRight"/>
              <w:rPr>
                <w:rStyle w:val="Strong"/>
              </w:rPr>
            </w:pPr>
            <w:r w:rsidRPr="005D0129">
              <w:rPr>
                <w:rStyle w:val="Strong"/>
              </w:rPr>
              <w:t>64</w:t>
            </w:r>
          </w:p>
        </w:tc>
        <w:tc>
          <w:tcPr>
            <w:tcW w:w="1984" w:type="dxa"/>
            <w:vAlign w:val="center"/>
          </w:tcPr>
          <w:p w14:paraId="26D4E880" w14:textId="6ABE98F9" w:rsidR="00963FD5" w:rsidRPr="005D0129" w:rsidRDefault="00963FD5" w:rsidP="00963FD5">
            <w:pPr>
              <w:pStyle w:val="TableTextRight"/>
              <w:rPr>
                <w:rStyle w:val="Strong"/>
              </w:rPr>
            </w:pPr>
            <w:r w:rsidRPr="005D0129">
              <w:rPr>
                <w:rStyle w:val="Strong"/>
              </w:rPr>
              <w:t>66.5%</w:t>
            </w:r>
          </w:p>
        </w:tc>
      </w:tr>
    </w:tbl>
    <w:p w14:paraId="0AF36FCD" w14:textId="185C8F60" w:rsidR="00660FA5" w:rsidRDefault="00660FA5" w:rsidP="00660FA5">
      <w:pPr>
        <w:pStyle w:val="SingleParagraph"/>
      </w:pPr>
    </w:p>
    <w:p w14:paraId="2678EE87" w14:textId="77777777" w:rsidR="006D2E16" w:rsidRDefault="006D2E16" w:rsidP="00660FA5">
      <w:pPr>
        <w:pStyle w:val="SingleParagraph"/>
      </w:pPr>
    </w:p>
    <w:p w14:paraId="21203EE8" w14:textId="77777777" w:rsidR="006D2E16" w:rsidRDefault="006D2E16" w:rsidP="00660FA5">
      <w:pPr>
        <w:pStyle w:val="SingleParagraph"/>
        <w:sectPr w:rsidR="006D2E16" w:rsidSect="00D579BF">
          <w:headerReference w:type="even" r:id="rId162"/>
          <w:headerReference w:type="default" r:id="rId163"/>
          <w:footerReference w:type="even" r:id="rId164"/>
          <w:footerReference w:type="default" r:id="rId165"/>
          <w:pgSz w:w="16838" w:h="11906" w:orient="landscape" w:code="9"/>
          <w:pgMar w:top="1701" w:right="1418" w:bottom="1701" w:left="1418" w:header="709" w:footer="709" w:gutter="0"/>
          <w:cols w:space="708"/>
          <w:docGrid w:linePitch="360"/>
        </w:sectPr>
      </w:pPr>
    </w:p>
    <w:p w14:paraId="6922D228" w14:textId="6C85F1CA" w:rsidR="006D2E16" w:rsidRDefault="00B05DA7" w:rsidP="00660FA5">
      <w:pPr>
        <w:pStyle w:val="SingleParagraph"/>
      </w:pPr>
      <w:r>
        <w:rPr>
          <w:noProof/>
        </w:rPr>
        <w:drawing>
          <wp:anchor distT="0" distB="0" distL="114300" distR="114300" simplePos="0" relativeHeight="251658252" behindDoc="1" locked="0" layoutInCell="1" allowOverlap="1" wp14:anchorId="6999C0E6" wp14:editId="21B08C64">
            <wp:simplePos x="0" y="0"/>
            <wp:positionH relativeFrom="column">
              <wp:posOffset>-1073785</wp:posOffset>
            </wp:positionH>
            <wp:positionV relativeFrom="paragraph">
              <wp:posOffset>-900430</wp:posOffset>
            </wp:positionV>
            <wp:extent cx="7560000" cy="10690145"/>
            <wp:effectExtent l="0" t="0" r="3175" b="0"/>
            <wp:wrapNone/>
            <wp:docPr id="15914733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73383" name="Picture 1">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7560000" cy="10690145"/>
                    </a:xfrm>
                    <a:prstGeom prst="rect">
                      <a:avLst/>
                    </a:prstGeom>
                  </pic:spPr>
                </pic:pic>
              </a:graphicData>
            </a:graphic>
            <wp14:sizeRelH relativeFrom="page">
              <wp14:pctWidth>0</wp14:pctWidth>
            </wp14:sizeRelH>
            <wp14:sizeRelV relativeFrom="page">
              <wp14:pctHeight>0</wp14:pctHeight>
            </wp14:sizeRelV>
          </wp:anchor>
        </w:drawing>
      </w:r>
    </w:p>
    <w:sectPr w:rsidR="006D2E16" w:rsidSect="006D2E16">
      <w:headerReference w:type="even" r:id="rId167"/>
      <w:footerReference w:type="even" r:id="rId168"/>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F2F4A" w14:textId="77777777" w:rsidR="009A1333" w:rsidRPr="002F5F97" w:rsidRDefault="009A1333">
      <w:pPr>
        <w:spacing w:before="0" w:after="0"/>
      </w:pPr>
      <w:r w:rsidRPr="002F5F97">
        <w:separator/>
      </w:r>
    </w:p>
  </w:endnote>
  <w:endnote w:type="continuationSeparator" w:id="0">
    <w:p w14:paraId="1D949A95" w14:textId="77777777" w:rsidR="009A1333" w:rsidRPr="002F5F97" w:rsidRDefault="009A1333">
      <w:pPr>
        <w:spacing w:before="0" w:after="0"/>
      </w:pPr>
      <w:r w:rsidRPr="002F5F97">
        <w:continuationSeparator/>
      </w:r>
    </w:p>
  </w:endnote>
  <w:endnote w:type="continuationNotice" w:id="1">
    <w:p w14:paraId="022EFF7D" w14:textId="77777777" w:rsidR="009A1333" w:rsidRPr="002F5F97" w:rsidRDefault="009A133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Bod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D4D7" w14:textId="7AFEC3FC" w:rsidR="00FC0530" w:rsidRPr="002F5F97" w:rsidRDefault="00FC0530" w:rsidP="00583559">
    <w:pPr>
      <w:pStyle w:val="FooterEven"/>
      <w:tabs>
        <w:tab w:val="right" w:pos="9072"/>
      </w:tabs>
      <w:jc w:val="right"/>
      <w:rPr>
        <w:noProof w:val="0"/>
      </w:rPr>
    </w:pPr>
    <w:r w:rsidRPr="002F5F97">
      <w:rPr>
        <w:noProof w:val="0"/>
      </w:rPr>
      <w:fldChar w:fldCharType="begin"/>
    </w:r>
    <w:r w:rsidRPr="002F5F97">
      <w:rPr>
        <w:noProof w:val="0"/>
      </w:rPr>
      <w:instrText xml:space="preserve"> PAGE   \* MERGEFORMAT </w:instrText>
    </w:r>
    <w:r w:rsidRPr="002F5F97">
      <w:rPr>
        <w:noProof w:val="0"/>
      </w:rPr>
      <w:fldChar w:fldCharType="separate"/>
    </w:r>
    <w:r w:rsidRPr="002F5F97">
      <w:rPr>
        <w:noProof w:val="0"/>
      </w:rPr>
      <w:t>4</w:t>
    </w:r>
    <w:r w:rsidRPr="002F5F97">
      <w:rPr>
        <w:noProof w:val="0"/>
      </w:rPr>
      <w:fldChar w:fldCharType="end"/>
    </w:r>
    <w:r w:rsidRPr="002F5F97">
      <w:rPr>
        <w:noProof w:val="0"/>
      </w:rPr>
      <w:t xml:space="preserve"> | </w:t>
    </w:r>
    <w:r w:rsidR="00B65324" w:rsidRPr="002F5F97">
      <w:rPr>
        <w:noProof w:val="0"/>
      </w:rPr>
      <w:fldChar w:fldCharType="begin"/>
    </w:r>
    <w:r w:rsidR="00B65324" w:rsidRPr="002F5F97">
      <w:rPr>
        <w:noProof w:val="0"/>
      </w:rPr>
      <w:instrText>STYLEREF  "Heading 1"  \* MERGEFORMAT</w:instrText>
    </w:r>
    <w:r w:rsidR="00B65324" w:rsidRPr="002F5F97">
      <w:rPr>
        <w:noProof w:val="0"/>
      </w:rPr>
      <w:fldChar w:fldCharType="separate"/>
    </w:r>
    <w:r w:rsidR="0075744F">
      <w:t>The Regulator’s priority areas</w:t>
    </w:r>
    <w:r w:rsidR="00B65324" w:rsidRPr="002F5F97">
      <w:rPr>
        <w:noProof w:val="0"/>
      </w:rPr>
      <w:fldChar w:fldCharType="end"/>
    </w:r>
    <w:r w:rsidRPr="002F5F97">
      <w:rPr>
        <w:noProof w:val="0"/>
      </w:rPr>
      <w:tab/>
    </w:r>
    <w:r w:rsidRPr="002F5F97">
      <w:rPr>
        <w:position w:val="-8"/>
      </w:rPr>
      <w:drawing>
        <wp:inline distT="0" distB="0" distL="0" distR="0" wp14:anchorId="399FE465" wp14:editId="4609BAE0">
          <wp:extent cx="1744980" cy="214630"/>
          <wp:effectExtent l="0" t="0" r="7620" b="0"/>
          <wp:docPr id="6183270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799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490B5" w14:textId="40519FC9" w:rsidR="006D630B" w:rsidRPr="006D630B" w:rsidRDefault="006D630B" w:rsidP="006D630B">
    <w:pPr>
      <w:pStyle w:val="Footer"/>
      <w:jc w:val="left"/>
    </w:pPr>
    <w:r>
      <w:rPr>
        <w:noProof/>
      </w:rPr>
      <mc:AlternateContent>
        <mc:Choice Requires="wpg">
          <w:drawing>
            <wp:anchor distT="0" distB="0" distL="114300" distR="114300" simplePos="0" relativeHeight="251658254" behindDoc="0" locked="1" layoutInCell="1" allowOverlap="1" wp14:anchorId="4FA831A5" wp14:editId="090D1DDB">
              <wp:simplePos x="0" y="0"/>
              <wp:positionH relativeFrom="column">
                <wp:posOffset>-502948</wp:posOffset>
              </wp:positionH>
              <wp:positionV relativeFrom="page">
                <wp:posOffset>1083945</wp:posOffset>
              </wp:positionV>
              <wp:extent cx="288000" cy="5403600"/>
              <wp:effectExtent l="0" t="0" r="17145" b="6985"/>
              <wp:wrapNone/>
              <wp:docPr id="13061919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5403600"/>
                        <a:chOff x="0" y="0"/>
                        <a:chExt cx="288000" cy="5402870"/>
                      </a:xfrm>
                    </wpg:grpSpPr>
                    <wps:wsp>
                      <wps:cNvPr id="1545630037" name="Text Box 2"/>
                      <wps:cNvSpPr txBox="1">
                        <a:spLocks noChangeArrowheads="1"/>
                      </wps:cNvSpPr>
                      <wps:spPr bwMode="auto">
                        <a:xfrm rot="5400000">
                          <a:off x="-1385860" y="1385860"/>
                          <a:ext cx="3059720" cy="288000"/>
                        </a:xfrm>
                        <a:prstGeom prst="rect">
                          <a:avLst/>
                        </a:prstGeom>
                        <a:noFill/>
                        <a:ln w="9525">
                          <a:solidFill>
                            <a:schemeClr val="bg1"/>
                          </a:solidFill>
                          <a:miter lim="800000"/>
                          <a:headEnd/>
                          <a:tailEnd/>
                        </a:ln>
                      </wps:spPr>
                      <wps:txbx>
                        <w:txbxContent>
                          <w:p w14:paraId="2975186C" w14:textId="48B3DCD3" w:rsidR="006D630B" w:rsidRDefault="006D630B" w:rsidP="007E0E25">
                            <w:pPr>
                              <w:pStyle w:val="FooterEven"/>
                            </w:pPr>
                            <w:r w:rsidRPr="007E0E25">
                              <w:fldChar w:fldCharType="begin"/>
                            </w:r>
                            <w:r w:rsidRPr="007E0E25">
                              <w:instrText xml:space="preserve"> PAGE   \* MERGEFORMAT </w:instrText>
                            </w:r>
                            <w:r w:rsidRPr="007E0E25">
                              <w:fldChar w:fldCharType="separate"/>
                            </w:r>
                            <w:r w:rsidRPr="007E0E25">
                              <w:t>18</w:t>
                            </w:r>
                            <w:r w:rsidRPr="007E0E25">
                              <w:fldChar w:fldCharType="end"/>
                            </w:r>
                            <w:r w:rsidRPr="007E0E25">
                              <w:t xml:space="preserve"> | </w:t>
                            </w:r>
                            <w:fldSimple w:instr=" STYLEREF  &quot;Chapter Title&quot;  \* MERGEFORMAT ">
                              <w:r w:rsidR="0075744F">
                                <w:t>Research and intelligence</w:t>
                              </w:r>
                            </w:fldSimple>
                          </w:p>
                        </w:txbxContent>
                      </wps:txbx>
                      <wps:bodyPr rot="0" vert="horz" wrap="square" lIns="0" tIns="45720" rIns="0" bIns="45720" anchor="t" anchorCtr="0">
                        <a:noAutofit/>
                      </wps:bodyPr>
                    </wps:wsp>
                    <pic:pic xmlns:pic="http://schemas.openxmlformats.org/drawingml/2006/picture">
                      <pic:nvPicPr>
                        <pic:cNvPr id="759216347" name="Picture 4">
                          <a:extLst>
                            <a:ext uri="{C183D7F6-B498-43B3-948B-1728B52AA6E4}">
                              <adec:decorative xmlns:adec="http://schemas.microsoft.com/office/drawing/2017/decorative" val="1"/>
                            </a:ext>
                          </a:extLst>
                        </pic:cNvPr>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709585" y="4424335"/>
                          <a:ext cx="1744980" cy="2120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A831A5" id="Group 5" o:spid="_x0000_s1026" alt="&quot;&quot;" style="position:absolute;margin-left:-39.6pt;margin-top:85.35pt;width:22.7pt;height:425.5pt;z-index:251658254;mso-position-vertical-relative:page;mso-width-relative:margin;mso-height-relative:margin" coordsize="2880,5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">
              <v:shapetype id="_x0000_t202" coordsize="21600,21600" o:spt="202" path="m,l,21600r21600,l21600,xe">
                <v:stroke joinstyle="miter"/>
                <v:path gradientshapeok="t" o:connecttype="rect"/>
              </v:shapetype>
              <v:shape id="Text Box 2" o:spid="_x0000_s1027" type="#_x0000_t202" style="position:absolute;left:-13859;top:13859;width:30597;height:2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" filled="f" strokecolor="white [3212]">
                <v:textbox inset="0,,0">
                  <w:txbxContent>
                    <w:p w14:paraId="2975186C" w14:textId="48B3DCD3" w:rsidR="006D630B" w:rsidRDefault="006D630B" w:rsidP="007E0E25">
                      <w:pPr>
                        <w:pStyle w:val="FooterEven"/>
                      </w:pPr>
                      <w:r w:rsidRPr="007E0E25">
                        <w:fldChar w:fldCharType="begin"/>
                      </w:r>
                      <w:r w:rsidRPr="007E0E25">
                        <w:instrText xml:space="preserve"> PAGE   \* MERGEFORMAT </w:instrText>
                      </w:r>
                      <w:r w:rsidRPr="007E0E25">
                        <w:fldChar w:fldCharType="separate"/>
                      </w:r>
                      <w:r w:rsidRPr="007E0E25">
                        <w:t>18</w:t>
                      </w:r>
                      <w:r w:rsidRPr="007E0E25">
                        <w:fldChar w:fldCharType="end"/>
                      </w:r>
                      <w:r w:rsidRPr="007E0E25">
                        <w:t xml:space="preserve"> | </w:t>
                      </w:r>
                      <w:fldSimple w:instr=" STYLEREF  &quot;Chapter Title&quot;  \* MERGEFORMAT ">
                        <w:r w:rsidR="0075744F">
                          <w:t>Research and intelligence</w:t>
                        </w:r>
                      </w:fldSimple>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quot;&quot;" style="position:absolute;left:-7096;top:44242;width:17450;height:21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">
                <v:imagedata r:id="rId2" o:title="" recolortarget="#1f0e2d [1444]"/>
              </v:shape>
              <w10:wrap anchory="page"/>
              <w10:anchorlock/>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77EEA" w14:textId="4454A5FA" w:rsidR="006D630B" w:rsidRPr="006D630B" w:rsidRDefault="006D630B" w:rsidP="006D630B">
    <w:pPr>
      <w:pStyle w:val="Footer"/>
      <w:jc w:val="left"/>
    </w:pPr>
    <w:r>
      <w:rPr>
        <w:noProof/>
      </w:rPr>
      <mc:AlternateContent>
        <mc:Choice Requires="wpg">
          <w:drawing>
            <wp:anchor distT="0" distB="0" distL="114300" distR="114300" simplePos="0" relativeHeight="251658255" behindDoc="0" locked="1" layoutInCell="1" allowOverlap="1" wp14:anchorId="2F1E6A5E" wp14:editId="7997622A">
              <wp:simplePos x="0" y="0"/>
              <wp:positionH relativeFrom="column">
                <wp:posOffset>-504867</wp:posOffset>
              </wp:positionH>
              <wp:positionV relativeFrom="page">
                <wp:posOffset>1080135</wp:posOffset>
              </wp:positionV>
              <wp:extent cx="288000" cy="5392800"/>
              <wp:effectExtent l="0" t="0" r="17145" b="17780"/>
              <wp:wrapNone/>
              <wp:docPr id="184097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5392800"/>
                        <a:chOff x="0" y="0"/>
                        <a:chExt cx="288000" cy="5394028"/>
                      </a:xfrm>
                    </wpg:grpSpPr>
                    <pic:pic xmlns:pic="http://schemas.openxmlformats.org/drawingml/2006/picture">
                      <pic:nvPicPr>
                        <pic:cNvPr id="1479751734" name="Picture 4">
                          <a:extLst>
                            <a:ext uri="{C183D7F6-B498-43B3-948B-1728B52AA6E4}">
                              <adec:decorative xmlns:adec="http://schemas.microsoft.com/office/drawing/2017/decorative" val="1"/>
                            </a:ext>
                          </a:extLst>
                        </pic:cNvPr>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706378" y="766763"/>
                          <a:ext cx="1745615" cy="212090"/>
                        </a:xfrm>
                        <a:prstGeom prst="rect">
                          <a:avLst/>
                        </a:prstGeom>
                        <a:noFill/>
                        <a:ln>
                          <a:noFill/>
                        </a:ln>
                      </pic:spPr>
                    </pic:pic>
                    <wps:wsp>
                      <wps:cNvPr id="1817656760" name="Text Box 2"/>
                      <wps:cNvSpPr txBox="1">
                        <a:spLocks noChangeArrowheads="1"/>
                      </wps:cNvSpPr>
                      <wps:spPr bwMode="auto">
                        <a:xfrm rot="5400000">
                          <a:off x="-1386000" y="3720028"/>
                          <a:ext cx="3060000" cy="288000"/>
                        </a:xfrm>
                        <a:prstGeom prst="rect">
                          <a:avLst/>
                        </a:prstGeom>
                        <a:noFill/>
                        <a:ln w="9525">
                          <a:solidFill>
                            <a:schemeClr val="bg1"/>
                          </a:solidFill>
                          <a:miter lim="800000"/>
                          <a:headEnd/>
                          <a:tailEnd/>
                        </a:ln>
                      </wps:spPr>
                      <wps:txbx>
                        <w:txbxContent>
                          <w:p w14:paraId="411969C2" w14:textId="150EBAB8" w:rsidR="006D630B" w:rsidRPr="009267A9" w:rsidRDefault="00517001" w:rsidP="00FA0B08">
                            <w:pPr>
                              <w:pStyle w:val="FooterOdd"/>
                              <w:tabs>
                                <w:tab w:val="right" w:pos="9072"/>
                              </w:tabs>
                            </w:pPr>
                            <w:fldSimple w:instr=" STYLEREF  &quot;Chapter Title&quot;  \* MERGEFORMAT ">
                              <w:r w:rsidR="0075744F">
                                <w:rPr>
                                  <w:noProof/>
                                </w:rPr>
                                <w:t>Research and intelligence</w:t>
                              </w:r>
                            </w:fldSimple>
                            <w:r w:rsidR="006D630B">
                              <w:t xml:space="preserve"> | </w:t>
                            </w:r>
                            <w:r w:rsidR="006D630B">
                              <w:fldChar w:fldCharType="begin"/>
                            </w:r>
                            <w:r w:rsidR="006D630B">
                              <w:instrText xml:space="preserve"> PAGE   \* MERGEFORMAT </w:instrText>
                            </w:r>
                            <w:r w:rsidR="006D630B">
                              <w:fldChar w:fldCharType="separate"/>
                            </w:r>
                            <w:r w:rsidR="006D630B">
                              <w:t>5</w:t>
                            </w:r>
                            <w:r w:rsidR="006D630B">
                              <w:fldChar w:fldCharType="end"/>
                            </w:r>
                          </w:p>
                          <w:p w14:paraId="06FB0B7A" w14:textId="77777777" w:rsidR="006D630B" w:rsidRDefault="006D630B" w:rsidP="00FA0B08">
                            <w:pPr>
                              <w:jc w:val="right"/>
                            </w:pPr>
                          </w:p>
                        </w:txbxContent>
                      </wps:txbx>
                      <wps:bodyPr rot="0" vert="horz" wrap="square" lIns="0" tIns="45720" rIns="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1E6A5E" id="Group 4" o:spid="_x0000_s1029" alt="&quot;&quot;" style="position:absolute;margin-left:-39.75pt;margin-top:85.05pt;width:22.7pt;height:424.65pt;z-index:251658255;mso-position-vertical-relative:page;mso-width-relative:margin;mso-height-relative:margin" coordsize="2880,5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quot;&quot;" style="position:absolute;left:-7064;top:7667;width:17456;height:21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">
                <v:imagedata r:id="rId2" o:title="" recolortarget="#1f0e2d [1444]"/>
              </v:shape>
              <v:shapetype id="_x0000_t202" coordsize="21600,21600" o:spt="202" path="m,l,21600r21600,l21600,xe">
                <v:stroke joinstyle="miter"/>
                <v:path gradientshapeok="t" o:connecttype="rect"/>
              </v:shapetype>
              <v:shape id="Text Box 2" o:spid="_x0000_s1031" type="#_x0000_t202" style="position:absolute;left:-13860;top:37200;width:30600;height:2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" filled="f" strokecolor="white [3212]">
                <v:textbox inset="0,,0">
                  <w:txbxContent>
                    <w:p w14:paraId="411969C2" w14:textId="150EBAB8" w:rsidR="006D630B" w:rsidRPr="009267A9" w:rsidRDefault="00517001" w:rsidP="00FA0B08">
                      <w:pPr>
                        <w:pStyle w:val="FooterOdd"/>
                        <w:tabs>
                          <w:tab w:val="right" w:pos="9072"/>
                        </w:tabs>
                      </w:pPr>
                      <w:fldSimple w:instr=" STYLEREF  &quot;Chapter Title&quot;  \* MERGEFORMAT ">
                        <w:r w:rsidR="0075744F">
                          <w:rPr>
                            <w:noProof/>
                          </w:rPr>
                          <w:t>Research and intelligence</w:t>
                        </w:r>
                      </w:fldSimple>
                      <w:r w:rsidR="006D630B">
                        <w:t xml:space="preserve"> | </w:t>
                      </w:r>
                      <w:r w:rsidR="006D630B">
                        <w:fldChar w:fldCharType="begin"/>
                      </w:r>
                      <w:r w:rsidR="006D630B">
                        <w:instrText xml:space="preserve"> PAGE   \* MERGEFORMAT </w:instrText>
                      </w:r>
                      <w:r w:rsidR="006D630B">
                        <w:fldChar w:fldCharType="separate"/>
                      </w:r>
                      <w:r w:rsidR="006D630B">
                        <w:t>5</w:t>
                      </w:r>
                      <w:r w:rsidR="006D630B">
                        <w:fldChar w:fldCharType="end"/>
                      </w:r>
                    </w:p>
                    <w:p w14:paraId="06FB0B7A" w14:textId="77777777" w:rsidR="006D630B" w:rsidRDefault="006D630B" w:rsidP="00FA0B08">
                      <w:pPr>
                        <w:jc w:val="right"/>
                      </w:pPr>
                    </w:p>
                  </w:txbxContent>
                </v:textbox>
              </v:shape>
              <w10:wrap anchory="page"/>
              <w10:anchorlock/>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58643" w14:textId="540D5AE8" w:rsidR="006D630B" w:rsidRPr="002F5F97" w:rsidRDefault="006D630B" w:rsidP="00D80C4D">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85DB6" w14:textId="5E0A677E" w:rsidR="006D630B" w:rsidRPr="006D630B" w:rsidRDefault="006D630B" w:rsidP="006D630B">
    <w:pPr>
      <w:pStyle w:val="FooterEven"/>
      <w:tabs>
        <w:tab w:val="right" w:pos="9072"/>
      </w:tabs>
      <w:jc w:val="right"/>
      <w:rPr>
        <w:noProof w:val="0"/>
      </w:rPr>
    </w:pPr>
    <w:r w:rsidRPr="002F5F97">
      <w:rPr>
        <w:noProof w:val="0"/>
      </w:rPr>
      <w:fldChar w:fldCharType="begin"/>
    </w:r>
    <w:r w:rsidRPr="002F5F97">
      <w:rPr>
        <w:noProof w:val="0"/>
      </w:rPr>
      <w:instrText xml:space="preserve"> PAGE   \* MERGEFORMAT </w:instrText>
    </w:r>
    <w:r w:rsidRPr="002F5F97">
      <w:rPr>
        <w:noProof w:val="0"/>
      </w:rPr>
      <w:fldChar w:fldCharType="separate"/>
    </w:r>
    <w:r>
      <w:t>38</w:t>
    </w:r>
    <w:r w:rsidRPr="002F5F97">
      <w:rPr>
        <w:noProof w:val="0"/>
      </w:rPr>
      <w:fldChar w:fldCharType="end"/>
    </w:r>
    <w:r w:rsidRPr="002F5F97">
      <w:rPr>
        <w:noProof w:val="0"/>
      </w:rPr>
      <w:t xml:space="preserve"> | </w:t>
    </w:r>
    <w:r w:rsidRPr="002F5F97">
      <w:rPr>
        <w:noProof w:val="0"/>
      </w:rPr>
      <w:fldChar w:fldCharType="begin"/>
    </w:r>
    <w:r w:rsidRPr="002F5F97">
      <w:rPr>
        <w:noProof w:val="0"/>
      </w:rPr>
      <w:instrText xml:space="preserve"> STYLEREF  "Chapter Title"  \* MERGEFORMAT </w:instrText>
    </w:r>
    <w:r w:rsidRPr="002F5F97">
      <w:rPr>
        <w:noProof w:val="0"/>
      </w:rPr>
      <w:fldChar w:fldCharType="separate"/>
    </w:r>
    <w:r w:rsidR="0075744F">
      <w:t>Research and intelligence</w:t>
    </w:r>
    <w:r w:rsidRPr="002F5F97">
      <w:rPr>
        <w:noProof w:val="0"/>
      </w:rPr>
      <w:fldChar w:fldCharType="end"/>
    </w:r>
    <w:r w:rsidRPr="002F5F97">
      <w:rPr>
        <w:noProof w:val="0"/>
      </w:rPr>
      <w:tab/>
    </w:r>
    <w:r w:rsidRPr="002F5F97">
      <w:rPr>
        <w:position w:val="-8"/>
      </w:rPr>
      <w:drawing>
        <wp:inline distT="0" distB="0" distL="0" distR="0" wp14:anchorId="73D64515" wp14:editId="7E253BA0">
          <wp:extent cx="1744980" cy="214630"/>
          <wp:effectExtent l="0" t="0" r="7620" b="0"/>
          <wp:docPr id="31409082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799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CAF7B" w14:textId="72417DE7" w:rsidR="006D630B" w:rsidRPr="002F5F97" w:rsidRDefault="006D630B" w:rsidP="006D630B">
    <w:pPr>
      <w:pStyle w:val="FooterOdd"/>
      <w:tabs>
        <w:tab w:val="right" w:pos="9072"/>
      </w:tabs>
    </w:pPr>
    <w:r w:rsidRPr="002F5F97">
      <w:rPr>
        <w:noProof/>
        <w:position w:val="-8"/>
      </w:rPr>
      <w:drawing>
        <wp:inline distT="0" distB="0" distL="0" distR="0" wp14:anchorId="1D64E291" wp14:editId="4254A945">
          <wp:extent cx="1744980" cy="214630"/>
          <wp:effectExtent l="0" t="0" r="7620" b="0"/>
          <wp:docPr id="194288850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804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rsidRPr="002F5F97">
      <w:tab/>
    </w:r>
    <w:fldSimple w:instr="STYLEREF  &quot;Chapter Title&quot;  \* MERGEFORMAT">
      <w:r w:rsidR="0075744F">
        <w:rPr>
          <w:noProof/>
        </w:rPr>
        <w:t>Research and intelligence</w:t>
      </w:r>
    </w:fldSimple>
    <w:r w:rsidRPr="002F5F97">
      <w:t xml:space="preserve"> | </w:t>
    </w:r>
    <w:r w:rsidRPr="002F5F97">
      <w:fldChar w:fldCharType="begin"/>
    </w:r>
    <w:r w:rsidRPr="002F5F97">
      <w:instrText xml:space="preserve"> PAGE   \* MERGEFORMAT </w:instrText>
    </w:r>
    <w:r w:rsidRPr="002F5F97">
      <w:fldChar w:fldCharType="separate"/>
    </w:r>
    <w:r>
      <w:t>39</w:t>
    </w:r>
    <w:r w:rsidRPr="002F5F97">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9434B" w14:textId="77777777" w:rsidR="006D630B" w:rsidRPr="002F5F97" w:rsidRDefault="006D630B" w:rsidP="00D80C4D">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3C6C" w14:textId="7698BE4F" w:rsidR="002B0538" w:rsidRPr="002F5F97" w:rsidRDefault="00D81322" w:rsidP="00D81322">
    <w:pPr>
      <w:pStyle w:val="FooterEven"/>
      <w:tabs>
        <w:tab w:val="right" w:pos="9072"/>
      </w:tabs>
      <w:jc w:val="right"/>
      <w:rPr>
        <w:noProof w:val="0"/>
      </w:rPr>
    </w:pPr>
    <w:r w:rsidRPr="002F5F97">
      <w:rPr>
        <w:noProof w:val="0"/>
      </w:rPr>
      <w:fldChar w:fldCharType="begin"/>
    </w:r>
    <w:r w:rsidRPr="002F5F97">
      <w:rPr>
        <w:noProof w:val="0"/>
      </w:rPr>
      <w:instrText xml:space="preserve"> PAGE   \* MERGEFORMAT </w:instrText>
    </w:r>
    <w:r w:rsidRPr="002F5F97">
      <w:rPr>
        <w:noProof w:val="0"/>
      </w:rPr>
      <w:fldChar w:fldCharType="separate"/>
    </w:r>
    <w:r w:rsidRPr="002F5F97">
      <w:rPr>
        <w:noProof w:val="0"/>
      </w:rPr>
      <w:t>4</w:t>
    </w:r>
    <w:r w:rsidRPr="002F5F97">
      <w:rPr>
        <w:noProof w:val="0"/>
      </w:rPr>
      <w:fldChar w:fldCharType="end"/>
    </w:r>
    <w:r w:rsidRPr="002F5F97">
      <w:rPr>
        <w:noProof w:val="0"/>
      </w:rPr>
      <w:t xml:space="preserve"> </w:t>
    </w:r>
    <w:r w:rsidR="00E22A2C" w:rsidRPr="002F5F97">
      <w:rPr>
        <w:noProof w:val="0"/>
      </w:rPr>
      <w:t xml:space="preserve">| </w:t>
    </w:r>
    <w:r w:rsidR="00B65324" w:rsidRPr="002F5F97">
      <w:rPr>
        <w:noProof w:val="0"/>
      </w:rPr>
      <w:fldChar w:fldCharType="begin"/>
    </w:r>
    <w:r w:rsidR="00B65324" w:rsidRPr="002F5F97">
      <w:rPr>
        <w:noProof w:val="0"/>
      </w:rPr>
      <w:instrText xml:space="preserve"> STYLEREF  "Chapter Title"  \* MERGEFORMAT </w:instrText>
    </w:r>
    <w:r w:rsidR="00B65324" w:rsidRPr="002F5F97">
      <w:rPr>
        <w:noProof w:val="0"/>
      </w:rPr>
      <w:fldChar w:fldCharType="separate"/>
    </w:r>
    <w:r w:rsidR="0075744F">
      <w:t>Compliance and enforcement</w:t>
    </w:r>
    <w:r w:rsidR="00B65324" w:rsidRPr="002F5F97">
      <w:rPr>
        <w:noProof w:val="0"/>
      </w:rPr>
      <w:fldChar w:fldCharType="end"/>
    </w:r>
    <w:r w:rsidRPr="002F5F97">
      <w:rPr>
        <w:noProof w:val="0"/>
      </w:rPr>
      <w:tab/>
    </w:r>
    <w:r w:rsidRPr="002F5F97">
      <w:rPr>
        <w:position w:val="-8"/>
      </w:rPr>
      <w:drawing>
        <wp:inline distT="0" distB="0" distL="0" distR="0" wp14:anchorId="13E9A428" wp14:editId="054B41F7">
          <wp:extent cx="1744980" cy="214630"/>
          <wp:effectExtent l="0" t="0" r="7620" b="0"/>
          <wp:docPr id="94200597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799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D8C3" w14:textId="483A8F82" w:rsidR="006E1924" w:rsidRPr="002F5F97" w:rsidRDefault="006E1924" w:rsidP="009267A9">
    <w:pPr>
      <w:pStyle w:val="FooterOdd"/>
      <w:tabs>
        <w:tab w:val="right" w:pos="9072"/>
      </w:tabs>
    </w:pPr>
    <w:r w:rsidRPr="002F5F97">
      <w:rPr>
        <w:noProof/>
        <w:position w:val="-8"/>
      </w:rPr>
      <w:drawing>
        <wp:inline distT="0" distB="0" distL="0" distR="0" wp14:anchorId="332E5362" wp14:editId="7B6E68D0">
          <wp:extent cx="1744980" cy="214630"/>
          <wp:effectExtent l="0" t="0" r="7620" b="0"/>
          <wp:docPr id="92935150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804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rsidRPr="002F5F97">
      <w:tab/>
    </w:r>
    <w:fldSimple w:instr="STYLEREF  &quot;Chapter Title&quot;  \* MERGEFORMAT">
      <w:r w:rsidR="0075744F">
        <w:rPr>
          <w:noProof/>
        </w:rPr>
        <w:t>Compliance and enforcement</w:t>
      </w:r>
    </w:fldSimple>
    <w:r w:rsidRPr="002F5F97">
      <w:t xml:space="preserve"> | </w:t>
    </w:r>
    <w:r w:rsidRPr="002F5F97">
      <w:fldChar w:fldCharType="begin"/>
    </w:r>
    <w:r w:rsidRPr="002F5F97">
      <w:instrText xml:space="preserve"> PAGE   \* MERGEFORMAT </w:instrText>
    </w:r>
    <w:r w:rsidRPr="002F5F97">
      <w:fldChar w:fldCharType="separate"/>
    </w:r>
    <w:r w:rsidRPr="002F5F97">
      <w:t>1</w:t>
    </w:r>
    <w:r w:rsidRPr="002F5F97">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DED06" w14:textId="77777777" w:rsidR="000C3AA1" w:rsidRPr="002F5F97" w:rsidRDefault="000C3AA1" w:rsidP="00D80C4D">
    <w:pPr>
      <w:pStyle w:val="Footer"/>
      <w:jc w:val="left"/>
    </w:pPr>
    <w:r w:rsidRPr="002F5F97">
      <w:rPr>
        <w:noProof/>
        <w:position w:val="-8"/>
      </w:rPr>
      <w:drawing>
        <wp:inline distT="0" distB="0" distL="0" distR="0" wp14:anchorId="5D3F1FE8" wp14:editId="59B7F619">
          <wp:extent cx="1746000" cy="212400"/>
          <wp:effectExtent l="0" t="0" r="6985" b="0"/>
          <wp:docPr id="177548111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35545" name="Picture 4">
                    <a:extLst>
                      <a:ext uri="{C183D7F6-B498-43B3-948B-1728B52AA6E4}">
                        <adec:decorative xmlns:adec="http://schemas.microsoft.com/office/drawing/2017/decorative" val="1"/>
                      </a:ext>
                    </a:extLst>
                  </pic:cNvPr>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46000" cy="212400"/>
                  </a:xfrm>
                  <a:prstGeom prst="rect">
                    <a:avLst/>
                  </a:prstGeom>
                  <a:noFill/>
                  <a:ln>
                    <a:noFill/>
                  </a:ln>
                </pic:spPr>
              </pic:pic>
            </a:graphicData>
          </a:graphic>
        </wp:inline>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2E744" w14:textId="00106C3F" w:rsidR="001E6F49" w:rsidRPr="002F5F97" w:rsidRDefault="001E6F49" w:rsidP="001E6F49">
    <w:pPr>
      <w:pStyle w:val="FooterEven"/>
      <w:tabs>
        <w:tab w:val="right" w:pos="9072"/>
      </w:tabs>
      <w:jc w:val="right"/>
      <w:rPr>
        <w:noProof w:val="0"/>
      </w:rPr>
    </w:pPr>
    <w:r w:rsidRPr="002F5F97">
      <w:rPr>
        <w:noProof w:val="0"/>
      </w:rPr>
      <w:fldChar w:fldCharType="begin"/>
    </w:r>
    <w:r w:rsidRPr="002F5F97">
      <w:rPr>
        <w:noProof w:val="0"/>
      </w:rPr>
      <w:instrText xml:space="preserve"> PAGE   \* MERGEFORMAT </w:instrText>
    </w:r>
    <w:r w:rsidRPr="002F5F97">
      <w:rPr>
        <w:noProof w:val="0"/>
      </w:rPr>
      <w:fldChar w:fldCharType="separate"/>
    </w:r>
    <w:r>
      <w:t>52</w:t>
    </w:r>
    <w:r w:rsidRPr="002F5F97">
      <w:rPr>
        <w:noProof w:val="0"/>
      </w:rPr>
      <w:fldChar w:fldCharType="end"/>
    </w:r>
    <w:r w:rsidRPr="002F5F97">
      <w:rPr>
        <w:noProof w:val="0"/>
      </w:rPr>
      <w:t xml:space="preserve"> | </w:t>
    </w:r>
    <w:r w:rsidR="00D0116C">
      <w:rPr>
        <w:noProof w:val="0"/>
      </w:rPr>
      <w:fldChar w:fldCharType="begin"/>
    </w:r>
    <w:r w:rsidR="00D0116C">
      <w:rPr>
        <w:noProof w:val="0"/>
      </w:rPr>
      <w:instrText xml:space="preserve"> STYLEREF  "Heading 1"  \* MERGEFORMAT </w:instrText>
    </w:r>
    <w:r w:rsidR="00D0116C">
      <w:rPr>
        <w:noProof w:val="0"/>
      </w:rPr>
      <w:fldChar w:fldCharType="separate"/>
    </w:r>
    <w:r w:rsidR="00517001">
      <w:t>Appendix B – Data tables</w:t>
    </w:r>
    <w:r w:rsidR="00D0116C">
      <w:rPr>
        <w:noProof w:val="0"/>
      </w:rPr>
      <w:fldChar w:fldCharType="end"/>
    </w:r>
    <w:r w:rsidRPr="002F5F97">
      <w:rPr>
        <w:noProof w:val="0"/>
      </w:rPr>
      <w:tab/>
    </w:r>
    <w:r w:rsidRPr="002F5F97">
      <w:rPr>
        <w:position w:val="-8"/>
      </w:rPr>
      <w:drawing>
        <wp:inline distT="0" distB="0" distL="0" distR="0" wp14:anchorId="36EED10E" wp14:editId="02D6C627">
          <wp:extent cx="1744980" cy="214630"/>
          <wp:effectExtent l="0" t="0" r="7620" b="0"/>
          <wp:docPr id="30500923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799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E86C" w14:textId="28F53BCF" w:rsidR="00FC0530" w:rsidRPr="002F5F97" w:rsidRDefault="00FC0530" w:rsidP="009267A9">
    <w:pPr>
      <w:pStyle w:val="FooterOdd"/>
      <w:tabs>
        <w:tab w:val="right" w:pos="9072"/>
      </w:tabs>
    </w:pPr>
    <w:r w:rsidRPr="002F5F97">
      <w:rPr>
        <w:noProof/>
        <w:position w:val="-8"/>
      </w:rPr>
      <w:drawing>
        <wp:inline distT="0" distB="0" distL="0" distR="0" wp14:anchorId="7E530873" wp14:editId="52782541">
          <wp:extent cx="1744980" cy="214630"/>
          <wp:effectExtent l="0" t="0" r="7620" b="0"/>
          <wp:docPr id="19708262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804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rsidRPr="002F5F97">
      <w:tab/>
    </w:r>
    <w:fldSimple w:instr="STYLEREF  &quot;Heading 1&quot;  \* MERGEFORMAT">
      <w:r w:rsidR="0075744F">
        <w:rPr>
          <w:noProof/>
        </w:rPr>
        <w:t>The Regulator’s priority areas</w:t>
      </w:r>
    </w:fldSimple>
    <w:r w:rsidRPr="002F5F97">
      <w:t xml:space="preserve"> | </w:t>
    </w:r>
    <w:r w:rsidRPr="002F5F97">
      <w:fldChar w:fldCharType="begin"/>
    </w:r>
    <w:r w:rsidRPr="002F5F97">
      <w:instrText xml:space="preserve"> PAGE   \* MERGEFORMAT </w:instrText>
    </w:r>
    <w:r w:rsidRPr="002F5F97">
      <w:fldChar w:fldCharType="separate"/>
    </w:r>
    <w:r w:rsidRPr="002F5F97">
      <w:t>1</w:t>
    </w:r>
    <w:r w:rsidRPr="002F5F97">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72D9" w14:textId="27FBA554" w:rsidR="00B61520" w:rsidRPr="002F5F97" w:rsidRDefault="00B61520" w:rsidP="00B61520">
    <w:pPr>
      <w:pStyle w:val="FooterOdd"/>
      <w:tabs>
        <w:tab w:val="right" w:pos="9072"/>
      </w:tabs>
    </w:pPr>
    <w:r w:rsidRPr="002F5F97">
      <w:rPr>
        <w:noProof/>
        <w:position w:val="-8"/>
      </w:rPr>
      <w:drawing>
        <wp:inline distT="0" distB="0" distL="0" distR="0" wp14:anchorId="0FF7C29B" wp14:editId="2EF16AA2">
          <wp:extent cx="1744980" cy="214630"/>
          <wp:effectExtent l="0" t="0" r="7620" b="0"/>
          <wp:docPr id="33501027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804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rsidRPr="002F5F97">
      <w:tab/>
    </w:r>
    <w:fldSimple w:instr=" STYLEREF  &quot;Heading 1&quot;  \* MERGEFORMAT ">
      <w:r w:rsidR="00517001">
        <w:rPr>
          <w:noProof/>
        </w:rPr>
        <w:t>Appendix A – Insights: methodology and assumptions</w:t>
      </w:r>
    </w:fldSimple>
    <w:r w:rsidRPr="002F5F97">
      <w:t xml:space="preserve"> | </w:t>
    </w:r>
    <w:r w:rsidRPr="002F5F97">
      <w:fldChar w:fldCharType="begin"/>
    </w:r>
    <w:r w:rsidRPr="002F5F97">
      <w:instrText xml:space="preserve"> PAGE   \* MERGEFORMAT </w:instrText>
    </w:r>
    <w:r w:rsidRPr="002F5F97">
      <w:fldChar w:fldCharType="separate"/>
    </w:r>
    <w:r>
      <w:t>53</w:t>
    </w:r>
    <w:r w:rsidRPr="002F5F97">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CDA7" w14:textId="3E273B66" w:rsidR="005D0D81" w:rsidRPr="00D579BF" w:rsidRDefault="00D579BF" w:rsidP="00D579BF">
    <w:r>
      <w:rPr>
        <w:noProof/>
      </w:rPr>
      <mc:AlternateContent>
        <mc:Choice Requires="wpg">
          <w:drawing>
            <wp:anchor distT="0" distB="0" distL="114300" distR="114300" simplePos="0" relativeHeight="251658249" behindDoc="0" locked="1" layoutInCell="1" allowOverlap="1" wp14:anchorId="15E58909" wp14:editId="329F7904">
              <wp:simplePos x="0" y="0"/>
              <wp:positionH relativeFrom="column">
                <wp:posOffset>-502948</wp:posOffset>
              </wp:positionH>
              <wp:positionV relativeFrom="page">
                <wp:posOffset>1083945</wp:posOffset>
              </wp:positionV>
              <wp:extent cx="288000" cy="5403600"/>
              <wp:effectExtent l="0" t="0" r="17145" b="6985"/>
              <wp:wrapNone/>
              <wp:docPr id="18186101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5403600"/>
                        <a:chOff x="0" y="0"/>
                        <a:chExt cx="288000" cy="5402870"/>
                      </a:xfrm>
                    </wpg:grpSpPr>
                    <wps:wsp>
                      <wps:cNvPr id="1052770895" name="Text Box 2"/>
                      <wps:cNvSpPr txBox="1">
                        <a:spLocks noChangeArrowheads="1"/>
                      </wps:cNvSpPr>
                      <wps:spPr bwMode="auto">
                        <a:xfrm rot="5400000">
                          <a:off x="-1385860" y="1385860"/>
                          <a:ext cx="3059720" cy="288000"/>
                        </a:xfrm>
                        <a:prstGeom prst="rect">
                          <a:avLst/>
                        </a:prstGeom>
                        <a:noFill/>
                        <a:ln w="9525">
                          <a:solidFill>
                            <a:schemeClr val="bg1"/>
                          </a:solidFill>
                          <a:miter lim="800000"/>
                          <a:headEnd/>
                          <a:tailEnd/>
                        </a:ln>
                      </wps:spPr>
                      <wps:txbx>
                        <w:txbxContent>
                          <w:p w14:paraId="5C366C04" w14:textId="3D5D8732" w:rsidR="00D579BF" w:rsidRDefault="00D579BF" w:rsidP="00D579BF">
                            <w:pPr>
                              <w:pStyle w:val="FooterEven"/>
                            </w:pPr>
                            <w:r w:rsidRPr="007E0E25">
                              <w:fldChar w:fldCharType="begin"/>
                            </w:r>
                            <w:r w:rsidRPr="007E0E25">
                              <w:instrText xml:space="preserve"> PAGE   \* MERGEFORMAT </w:instrText>
                            </w:r>
                            <w:r w:rsidRPr="007E0E25">
                              <w:fldChar w:fldCharType="separate"/>
                            </w:r>
                            <w:r w:rsidRPr="007E0E25">
                              <w:t>18</w:t>
                            </w:r>
                            <w:r w:rsidRPr="007E0E25">
                              <w:fldChar w:fldCharType="end"/>
                            </w:r>
                            <w:r w:rsidRPr="007E0E25">
                              <w:t xml:space="preserve"> | </w:t>
                            </w:r>
                            <w:fldSimple w:instr=" STYLEREF  &quot;Heading 1&quot;  \* MERGEFORMAT ">
                              <w:r w:rsidR="00517001">
                                <w:t>Appendix B – Data tables</w:t>
                              </w:r>
                            </w:fldSimple>
                          </w:p>
                        </w:txbxContent>
                      </wps:txbx>
                      <wps:bodyPr rot="0" vert="horz" wrap="square" lIns="0" tIns="45720" rIns="0" bIns="45720" anchor="t" anchorCtr="0">
                        <a:noAutofit/>
                      </wps:bodyPr>
                    </wps:wsp>
                    <pic:pic xmlns:pic="http://schemas.openxmlformats.org/drawingml/2006/picture">
                      <pic:nvPicPr>
                        <pic:cNvPr id="1152855538" name="Picture 4">
                          <a:extLst>
                            <a:ext uri="{C183D7F6-B498-43B3-948B-1728B52AA6E4}">
                              <adec:decorative xmlns:adec="http://schemas.microsoft.com/office/drawing/2017/decorative" val="1"/>
                            </a:ext>
                          </a:extLst>
                        </pic:cNvPr>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709585" y="4424335"/>
                          <a:ext cx="1744980" cy="2120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E58909" id="_x0000_s1032" alt="&quot;&quot;" style="position:absolute;margin-left:-39.6pt;margin-top:85.35pt;width:22.7pt;height:425.5pt;z-index:251658249;mso-position-vertical-relative:page;mso-width-relative:margin;mso-height-relative:margin" coordsize="2880,5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">
              <v:shapetype id="_x0000_t202" coordsize="21600,21600" o:spt="202" path="m,l,21600r21600,l21600,xe">
                <v:stroke joinstyle="miter"/>
                <v:path gradientshapeok="t" o:connecttype="rect"/>
              </v:shapetype>
              <v:shape id="Text Box 2" o:spid="_x0000_s1033" type="#_x0000_t202" style="position:absolute;left:-13859;top:13859;width:30597;height:2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" filled="f" strokecolor="white [3212]">
                <v:textbox inset="0,,0">
                  <w:txbxContent>
                    <w:p w14:paraId="5C366C04" w14:textId="3D5D8732" w:rsidR="00D579BF" w:rsidRDefault="00D579BF" w:rsidP="00D579BF">
                      <w:pPr>
                        <w:pStyle w:val="FooterEven"/>
                      </w:pPr>
                      <w:r w:rsidRPr="007E0E25">
                        <w:fldChar w:fldCharType="begin"/>
                      </w:r>
                      <w:r w:rsidRPr="007E0E25">
                        <w:instrText xml:space="preserve"> PAGE   \* MERGEFORMAT </w:instrText>
                      </w:r>
                      <w:r w:rsidRPr="007E0E25">
                        <w:fldChar w:fldCharType="separate"/>
                      </w:r>
                      <w:r w:rsidRPr="007E0E25">
                        <w:t>18</w:t>
                      </w:r>
                      <w:r w:rsidRPr="007E0E25">
                        <w:fldChar w:fldCharType="end"/>
                      </w:r>
                      <w:r w:rsidRPr="007E0E25">
                        <w:t xml:space="preserve"> | </w:t>
                      </w:r>
                      <w:fldSimple w:instr=" STYLEREF  &quot;Heading 1&quot;  \* MERGEFORMAT ">
                        <w:r w:rsidR="00517001">
                          <w:t>Appendix B – Data tables</w:t>
                        </w:r>
                      </w:fldSimple>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alt="&quot;&quot;" style="position:absolute;left:-7096;top:44242;width:17450;height:21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">
                <v:imagedata r:id="rId2" o:title="" recolortarget="#1f0e2d [1444]"/>
              </v:shape>
              <w10:wrap anchory="page"/>
              <w10:anchorlock/>
            </v:group>
          </w:pict>
        </mc:Fallback>
      </mc:AlternateContent>
    </w:r>
    <w:r w:rsidRPr="005D0D81">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1B88" w14:textId="7AB3A314" w:rsidR="00885C4F" w:rsidRPr="00885C4F" w:rsidRDefault="001E6F49" w:rsidP="001E6F49">
    <w:pPr>
      <w:pStyle w:val="Footer"/>
      <w:jc w:val="left"/>
    </w:pPr>
    <w:r>
      <w:rPr>
        <w:noProof/>
      </w:rPr>
      <mc:AlternateContent>
        <mc:Choice Requires="wpg">
          <w:drawing>
            <wp:anchor distT="0" distB="0" distL="114300" distR="114300" simplePos="0" relativeHeight="251658248" behindDoc="0" locked="1" layoutInCell="1" allowOverlap="1" wp14:anchorId="58842276" wp14:editId="2201F74D">
              <wp:simplePos x="0" y="0"/>
              <wp:positionH relativeFrom="column">
                <wp:posOffset>-504867</wp:posOffset>
              </wp:positionH>
              <wp:positionV relativeFrom="page">
                <wp:posOffset>1080135</wp:posOffset>
              </wp:positionV>
              <wp:extent cx="288000" cy="5392800"/>
              <wp:effectExtent l="0" t="0" r="17145" b="17780"/>
              <wp:wrapNone/>
              <wp:docPr id="109974311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5392800"/>
                        <a:chOff x="0" y="0"/>
                        <a:chExt cx="288000" cy="5394028"/>
                      </a:xfrm>
                    </wpg:grpSpPr>
                    <pic:pic xmlns:pic="http://schemas.openxmlformats.org/drawingml/2006/picture">
                      <pic:nvPicPr>
                        <pic:cNvPr id="1465406441" name="Picture 4">
                          <a:extLst>
                            <a:ext uri="{C183D7F6-B498-43B3-948B-1728B52AA6E4}">
                              <adec:decorative xmlns:adec="http://schemas.microsoft.com/office/drawing/2017/decorative" val="1"/>
                            </a:ext>
                          </a:extLst>
                        </pic:cNvPr>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706378" y="766763"/>
                          <a:ext cx="1745615" cy="212090"/>
                        </a:xfrm>
                        <a:prstGeom prst="rect">
                          <a:avLst/>
                        </a:prstGeom>
                        <a:noFill/>
                        <a:ln>
                          <a:noFill/>
                        </a:ln>
                      </pic:spPr>
                    </pic:pic>
                    <wps:wsp>
                      <wps:cNvPr id="1545071811" name="Text Box 2"/>
                      <wps:cNvSpPr txBox="1">
                        <a:spLocks noChangeArrowheads="1"/>
                      </wps:cNvSpPr>
                      <wps:spPr bwMode="auto">
                        <a:xfrm rot="5400000">
                          <a:off x="-1386000" y="3720028"/>
                          <a:ext cx="3060000" cy="288000"/>
                        </a:xfrm>
                        <a:prstGeom prst="rect">
                          <a:avLst/>
                        </a:prstGeom>
                        <a:noFill/>
                        <a:ln w="9525">
                          <a:solidFill>
                            <a:schemeClr val="bg1"/>
                          </a:solidFill>
                          <a:miter lim="800000"/>
                          <a:headEnd/>
                          <a:tailEnd/>
                        </a:ln>
                      </wps:spPr>
                      <wps:txbx>
                        <w:txbxContent>
                          <w:p w14:paraId="4499E3A1" w14:textId="7C2FE0AE" w:rsidR="001E6F49" w:rsidRPr="009267A9" w:rsidRDefault="00517001" w:rsidP="00FA0B08">
                            <w:pPr>
                              <w:pStyle w:val="FooterOdd"/>
                              <w:tabs>
                                <w:tab w:val="right" w:pos="9072"/>
                              </w:tabs>
                            </w:pPr>
                            <w:fldSimple w:instr=" STYLEREF  &quot;Heading 1&quot;  \* MERGEFORMAT ">
                              <w:r>
                                <w:rPr>
                                  <w:noProof/>
                                </w:rPr>
                                <w:t>Appendix B – Data tables</w:t>
                              </w:r>
                            </w:fldSimple>
                            <w:r w:rsidR="001E6F49">
                              <w:t xml:space="preserve"> | </w:t>
                            </w:r>
                            <w:r w:rsidR="001E6F49">
                              <w:fldChar w:fldCharType="begin"/>
                            </w:r>
                            <w:r w:rsidR="001E6F49">
                              <w:instrText xml:space="preserve"> PAGE   \* MERGEFORMAT </w:instrText>
                            </w:r>
                            <w:r w:rsidR="001E6F49">
                              <w:fldChar w:fldCharType="separate"/>
                            </w:r>
                            <w:r w:rsidR="001E6F49">
                              <w:t>5</w:t>
                            </w:r>
                            <w:r w:rsidR="001E6F49">
                              <w:fldChar w:fldCharType="end"/>
                            </w:r>
                          </w:p>
                          <w:p w14:paraId="5EBE7752" w14:textId="77777777" w:rsidR="001E6F49" w:rsidRDefault="001E6F49" w:rsidP="00FA0B08">
                            <w:pPr>
                              <w:jc w:val="right"/>
                            </w:pPr>
                          </w:p>
                        </w:txbxContent>
                      </wps:txbx>
                      <wps:bodyPr rot="0" vert="horz" wrap="square" lIns="0" tIns="45720" rIns="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842276" id="_x0000_s1035" alt="&quot;&quot;" style="position:absolute;margin-left:-39.75pt;margin-top:85.05pt;width:22.7pt;height:424.65pt;z-index:251658248;mso-position-vertical-relative:page;mso-width-relative:margin;mso-height-relative:margin" coordsize="2880,5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alt="&quot;&quot;" style="position:absolute;left:-7064;top:7667;width:17456;height:21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">
                <v:imagedata r:id="rId2" o:title="" recolortarget="#1f0e2d [1444]"/>
              </v:shape>
              <v:shapetype id="_x0000_t202" coordsize="21600,21600" o:spt="202" path="m,l,21600r21600,l21600,xe">
                <v:stroke joinstyle="miter"/>
                <v:path gradientshapeok="t" o:connecttype="rect"/>
              </v:shapetype>
              <v:shape id="Text Box 2" o:spid="_x0000_s1037" type="#_x0000_t202" style="position:absolute;left:-13860;top:37200;width:30600;height:2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" filled="f" strokecolor="white [3212]">
                <v:textbox inset="0,,0">
                  <w:txbxContent>
                    <w:p w14:paraId="4499E3A1" w14:textId="7C2FE0AE" w:rsidR="001E6F49" w:rsidRPr="009267A9" w:rsidRDefault="00517001" w:rsidP="00FA0B08">
                      <w:pPr>
                        <w:pStyle w:val="FooterOdd"/>
                        <w:tabs>
                          <w:tab w:val="right" w:pos="9072"/>
                        </w:tabs>
                      </w:pPr>
                      <w:fldSimple w:instr=" STYLEREF  &quot;Heading 1&quot;  \* MERGEFORMAT ">
                        <w:r>
                          <w:rPr>
                            <w:noProof/>
                          </w:rPr>
                          <w:t>Appendix B – Data tables</w:t>
                        </w:r>
                      </w:fldSimple>
                      <w:r w:rsidR="001E6F49">
                        <w:t xml:space="preserve"> | </w:t>
                      </w:r>
                      <w:r w:rsidR="001E6F49">
                        <w:fldChar w:fldCharType="begin"/>
                      </w:r>
                      <w:r w:rsidR="001E6F49">
                        <w:instrText xml:space="preserve"> PAGE   \* MERGEFORMAT </w:instrText>
                      </w:r>
                      <w:r w:rsidR="001E6F49">
                        <w:fldChar w:fldCharType="separate"/>
                      </w:r>
                      <w:r w:rsidR="001E6F49">
                        <w:t>5</w:t>
                      </w:r>
                      <w:r w:rsidR="001E6F49">
                        <w:fldChar w:fldCharType="end"/>
                      </w:r>
                    </w:p>
                    <w:p w14:paraId="5EBE7752" w14:textId="77777777" w:rsidR="001E6F49" w:rsidRDefault="001E6F49" w:rsidP="00FA0B08">
                      <w:pPr>
                        <w:jc w:val="right"/>
                      </w:pPr>
                    </w:p>
                  </w:txbxContent>
                </v:textbox>
              </v:shape>
              <w10:wrap anchory="page"/>
              <w10:anchorlock/>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B6E86" w14:textId="45B2702B" w:rsidR="005D0D81" w:rsidRPr="00583559" w:rsidRDefault="005D0D81"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517001">
        <w:t>Appendix B – Data tables</w:t>
      </w:r>
    </w:fldSimple>
    <w:r>
      <w:tab/>
    </w:r>
    <w:r>
      <w:rPr>
        <w:position w:val="-8"/>
      </w:rPr>
      <w:drawing>
        <wp:inline distT="0" distB="0" distL="0" distR="0" wp14:anchorId="5BDBC845" wp14:editId="199EE4BF">
          <wp:extent cx="1744980" cy="214630"/>
          <wp:effectExtent l="0" t="0" r="7620" b="0"/>
          <wp:docPr id="25057799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799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8CA2" w14:textId="69955ACD" w:rsidR="00885C4F" w:rsidRPr="002F5F97" w:rsidRDefault="00885C4F" w:rsidP="00B61520">
    <w:pPr>
      <w:pStyle w:val="FooterOdd"/>
      <w:tabs>
        <w:tab w:val="right" w:pos="9072"/>
      </w:tabs>
    </w:pPr>
    <w:r w:rsidRPr="002F5F97">
      <w:rPr>
        <w:noProof/>
        <w:position w:val="-8"/>
      </w:rPr>
      <w:drawing>
        <wp:inline distT="0" distB="0" distL="0" distR="0" wp14:anchorId="0732077C" wp14:editId="2555D15A">
          <wp:extent cx="1744980" cy="214630"/>
          <wp:effectExtent l="0" t="0" r="7620" b="0"/>
          <wp:docPr id="14772129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804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rsidRPr="002F5F97">
      <w:tab/>
    </w:r>
    <w:fldSimple w:instr=" STYLEREF  &quot;Heading 1&quot;  \* MERGEFORMAT ">
      <w:r w:rsidR="00517001">
        <w:rPr>
          <w:noProof/>
        </w:rPr>
        <w:t>Appendix B – Data tables</w:t>
      </w:r>
    </w:fldSimple>
    <w:r w:rsidRPr="002F5F97">
      <w:t xml:space="preserve"> | </w:t>
    </w:r>
    <w:r w:rsidRPr="002F5F97">
      <w:fldChar w:fldCharType="begin"/>
    </w:r>
    <w:r w:rsidRPr="002F5F97">
      <w:instrText xml:space="preserve"> PAGE   \* MERGEFORMAT </w:instrText>
    </w:r>
    <w:r w:rsidRPr="002F5F97">
      <w:fldChar w:fldCharType="separate"/>
    </w:r>
    <w:r>
      <w:t>53</w:t>
    </w:r>
    <w:r w:rsidRPr="002F5F97">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4520" w14:textId="77F4B3BD" w:rsidR="000C06D0" w:rsidRPr="000C06D0" w:rsidRDefault="000C06D0" w:rsidP="000C06D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22DE8" w14:textId="0547A151" w:rsidR="00B61520" w:rsidRPr="008F46F6" w:rsidRDefault="00086BF8" w:rsidP="008F46F6">
    <w:pPr>
      <w:pStyle w:val="Footer"/>
    </w:pPr>
    <w:r>
      <w:rPr>
        <w:noProof/>
      </w:rPr>
      <mc:AlternateContent>
        <mc:Choice Requires="wpg">
          <w:drawing>
            <wp:anchor distT="0" distB="0" distL="114300" distR="114300" simplePos="0" relativeHeight="251660304" behindDoc="0" locked="1" layoutInCell="1" allowOverlap="1" wp14:anchorId="28046297" wp14:editId="14E99496">
              <wp:simplePos x="0" y="0"/>
              <wp:positionH relativeFrom="column">
                <wp:posOffset>-504867</wp:posOffset>
              </wp:positionH>
              <wp:positionV relativeFrom="page">
                <wp:posOffset>1080135</wp:posOffset>
              </wp:positionV>
              <wp:extent cx="288000" cy="5392800"/>
              <wp:effectExtent l="0" t="0" r="17145" b="17780"/>
              <wp:wrapNone/>
              <wp:docPr id="808391573"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5392800"/>
                        <a:chOff x="0" y="0"/>
                        <a:chExt cx="288000" cy="5394028"/>
                      </a:xfrm>
                    </wpg:grpSpPr>
                    <pic:pic xmlns:pic="http://schemas.openxmlformats.org/drawingml/2006/picture">
                      <pic:nvPicPr>
                        <pic:cNvPr id="1439639798" name="Picture 4">
                          <a:extLst>
                            <a:ext uri="{C183D7F6-B498-43B3-948B-1728B52AA6E4}">
                              <adec:decorative xmlns:adec="http://schemas.microsoft.com/office/drawing/2017/decorative" val="1"/>
                            </a:ext>
                          </a:extLst>
                        </pic:cNvPr>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706378" y="766763"/>
                          <a:ext cx="1745615" cy="212090"/>
                        </a:xfrm>
                        <a:prstGeom prst="rect">
                          <a:avLst/>
                        </a:prstGeom>
                        <a:noFill/>
                        <a:ln>
                          <a:noFill/>
                        </a:ln>
                      </pic:spPr>
                    </pic:pic>
                    <wps:wsp>
                      <wps:cNvPr id="1512941024" name="Text Box 2"/>
                      <wps:cNvSpPr txBox="1">
                        <a:spLocks noChangeArrowheads="1"/>
                      </wps:cNvSpPr>
                      <wps:spPr bwMode="auto">
                        <a:xfrm rot="5400000">
                          <a:off x="-1386000" y="3720028"/>
                          <a:ext cx="3060000" cy="288000"/>
                        </a:xfrm>
                        <a:prstGeom prst="rect">
                          <a:avLst/>
                        </a:prstGeom>
                        <a:noFill/>
                        <a:ln w="9525">
                          <a:solidFill>
                            <a:schemeClr val="bg1"/>
                          </a:solidFill>
                          <a:miter lim="800000"/>
                          <a:headEnd/>
                          <a:tailEnd/>
                        </a:ln>
                      </wps:spPr>
                      <wps:txbx>
                        <w:txbxContent>
                          <w:p w14:paraId="6B402D68" w14:textId="53F89072" w:rsidR="00086BF8" w:rsidRPr="009267A9" w:rsidRDefault="00517001" w:rsidP="00FA0B08">
                            <w:pPr>
                              <w:pStyle w:val="FooterOdd"/>
                              <w:tabs>
                                <w:tab w:val="right" w:pos="9072"/>
                              </w:tabs>
                            </w:pPr>
                            <w:fldSimple w:instr=" STYLEREF  &quot;Heading 1&quot;  \* MERGEFORMAT ">
                              <w:r>
                                <w:rPr>
                                  <w:noProof/>
                                </w:rPr>
                                <w:t>Appendix B – Data tables</w:t>
                              </w:r>
                            </w:fldSimple>
                            <w:r w:rsidR="00086BF8">
                              <w:t xml:space="preserve"> | </w:t>
                            </w:r>
                            <w:r w:rsidR="00086BF8">
                              <w:fldChar w:fldCharType="begin"/>
                            </w:r>
                            <w:r w:rsidR="00086BF8">
                              <w:instrText xml:space="preserve"> PAGE   \* MERGEFORMAT </w:instrText>
                            </w:r>
                            <w:r w:rsidR="00086BF8">
                              <w:fldChar w:fldCharType="separate"/>
                            </w:r>
                            <w:r w:rsidR="00086BF8">
                              <w:t>5</w:t>
                            </w:r>
                            <w:r w:rsidR="00086BF8">
                              <w:fldChar w:fldCharType="end"/>
                            </w:r>
                          </w:p>
                          <w:p w14:paraId="181ADE0D" w14:textId="77777777" w:rsidR="00086BF8" w:rsidRDefault="00086BF8" w:rsidP="00FA0B08">
                            <w:pPr>
                              <w:jc w:val="right"/>
                            </w:pPr>
                          </w:p>
                        </w:txbxContent>
                      </wps:txbx>
                      <wps:bodyPr rot="0" vert="horz" wrap="square" lIns="0" tIns="45720" rIns="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046297" id="_x0000_s1038" alt="&quot;&quot;" style="position:absolute;left:0;text-align:left;margin-left:-39.75pt;margin-top:85.05pt;width:22.7pt;height:424.65pt;z-index:251660304;mso-position-vertical-relative:page;mso-width-relative:margin;mso-height-relative:margin" coordsize="2880,5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9" type="#_x0000_t75" alt="&quot;&quot;" style="position:absolute;left:-7064;top:7667;width:17456;height:21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">
                <v:imagedata r:id="rId2" o:title="" recolortarget="#1f0e2d [1444]"/>
              </v:shape>
              <v:shapetype id="_x0000_t202" coordsize="21600,21600" o:spt="202" path="m,l,21600r21600,l21600,xe">
                <v:stroke joinstyle="miter"/>
                <v:path gradientshapeok="t" o:connecttype="rect"/>
              </v:shapetype>
              <v:shape id="Text Box 2" o:spid="_x0000_s1040" type="#_x0000_t202" style="position:absolute;left:-13860;top:37200;width:30600;height:2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" filled="f" strokecolor="white [3212]">
                <v:textbox inset="0,,0">
                  <w:txbxContent>
                    <w:p w14:paraId="6B402D68" w14:textId="53F89072" w:rsidR="00086BF8" w:rsidRPr="009267A9" w:rsidRDefault="00517001" w:rsidP="00FA0B08">
                      <w:pPr>
                        <w:pStyle w:val="FooterOdd"/>
                        <w:tabs>
                          <w:tab w:val="right" w:pos="9072"/>
                        </w:tabs>
                      </w:pPr>
                      <w:fldSimple w:instr=" STYLEREF  &quot;Heading 1&quot;  \* MERGEFORMAT ">
                        <w:r>
                          <w:rPr>
                            <w:noProof/>
                          </w:rPr>
                          <w:t>Appendix B – Data tables</w:t>
                        </w:r>
                      </w:fldSimple>
                      <w:r w:rsidR="00086BF8">
                        <w:t xml:space="preserve"> | </w:t>
                      </w:r>
                      <w:r w:rsidR="00086BF8">
                        <w:fldChar w:fldCharType="begin"/>
                      </w:r>
                      <w:r w:rsidR="00086BF8">
                        <w:instrText xml:space="preserve"> PAGE   \* MERGEFORMAT </w:instrText>
                      </w:r>
                      <w:r w:rsidR="00086BF8">
                        <w:fldChar w:fldCharType="separate"/>
                      </w:r>
                      <w:r w:rsidR="00086BF8">
                        <w:t>5</w:t>
                      </w:r>
                      <w:r w:rsidR="00086BF8">
                        <w:fldChar w:fldCharType="end"/>
                      </w:r>
                    </w:p>
                    <w:p w14:paraId="181ADE0D" w14:textId="77777777" w:rsidR="00086BF8" w:rsidRDefault="00086BF8" w:rsidP="00FA0B08">
                      <w:pPr>
                        <w:jc w:val="right"/>
                      </w:pPr>
                    </w:p>
                  </w:txbxContent>
                </v:textbox>
              </v:shape>
              <w10:wrap anchory="page"/>
              <w10:anchorlock/>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005E" w14:textId="77777777" w:rsidR="00D0116C" w:rsidRPr="000C06D0" w:rsidRDefault="00D0116C" w:rsidP="000C06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19BD9" w14:textId="77777777" w:rsidR="00EF145E" w:rsidRPr="002F5F97" w:rsidRDefault="00D80C4D" w:rsidP="00D80C4D">
    <w:pPr>
      <w:pStyle w:val="Footer"/>
      <w:jc w:val="left"/>
    </w:pPr>
    <w:r w:rsidRPr="002F5F97">
      <w:rPr>
        <w:noProof/>
        <w:position w:val="-8"/>
      </w:rPr>
      <w:drawing>
        <wp:inline distT="0" distB="0" distL="0" distR="0" wp14:anchorId="72945AF2" wp14:editId="4071F8E4">
          <wp:extent cx="1744980" cy="214630"/>
          <wp:effectExtent l="0" t="0" r="7620" b="0"/>
          <wp:docPr id="1472683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44175" name="Picture 4">
                    <a:extLst>
                      <a:ext uri="{C183D7F6-B498-43B3-948B-1728B52AA6E4}">
                        <adec:decorative xmlns:adec="http://schemas.microsoft.com/office/drawing/2017/decorative" val="1"/>
                      </a:ext>
                    </a:extLst>
                  </pic:cNvPr>
                  <pic:cNvPicPr>
                    <a:picLocks noChangeAspect="1" noChangeArrowheads="1"/>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0AD3B" w14:textId="14EF6132" w:rsidR="0081407D" w:rsidRPr="002F5F97" w:rsidRDefault="0081407D" w:rsidP="00583559">
    <w:pPr>
      <w:pStyle w:val="FooterEven"/>
      <w:tabs>
        <w:tab w:val="right" w:pos="9072"/>
      </w:tabs>
      <w:jc w:val="right"/>
      <w:rPr>
        <w:noProof w:val="0"/>
      </w:rPr>
    </w:pPr>
    <w:r w:rsidRPr="002F5F97">
      <w:rPr>
        <w:noProof w:val="0"/>
      </w:rPr>
      <w:fldChar w:fldCharType="begin"/>
    </w:r>
    <w:r w:rsidRPr="002F5F97">
      <w:rPr>
        <w:noProof w:val="0"/>
      </w:rPr>
      <w:instrText xml:space="preserve"> PAGE   \* MERGEFORMAT </w:instrText>
    </w:r>
    <w:r w:rsidRPr="002F5F97">
      <w:rPr>
        <w:noProof w:val="0"/>
      </w:rPr>
      <w:fldChar w:fldCharType="separate"/>
    </w:r>
    <w:r w:rsidRPr="002F5F97">
      <w:rPr>
        <w:noProof w:val="0"/>
      </w:rPr>
      <w:t>4</w:t>
    </w:r>
    <w:r w:rsidRPr="002F5F97">
      <w:rPr>
        <w:noProof w:val="0"/>
      </w:rPr>
      <w:fldChar w:fldCharType="end"/>
    </w:r>
    <w:r w:rsidRPr="002F5F97">
      <w:rPr>
        <w:noProof w:val="0"/>
      </w:rPr>
      <w:t xml:space="preserve"> | </w:t>
    </w:r>
    <w:r w:rsidR="00B65324" w:rsidRPr="002F5F97">
      <w:rPr>
        <w:noProof w:val="0"/>
      </w:rPr>
      <w:fldChar w:fldCharType="begin"/>
    </w:r>
    <w:r w:rsidR="00B65324" w:rsidRPr="002F5F97">
      <w:rPr>
        <w:noProof w:val="0"/>
      </w:rPr>
      <w:instrText>STYLEREF  "Chapter Title"  \* MERGEFORMAT</w:instrText>
    </w:r>
    <w:r w:rsidR="00B65324" w:rsidRPr="002F5F97">
      <w:rPr>
        <w:noProof w:val="0"/>
      </w:rPr>
      <w:fldChar w:fldCharType="separate"/>
    </w:r>
    <w:r w:rsidR="0075744F">
      <w:t>Engagement and education</w:t>
    </w:r>
    <w:r w:rsidR="00B65324" w:rsidRPr="002F5F97">
      <w:rPr>
        <w:noProof w:val="0"/>
      </w:rPr>
      <w:fldChar w:fldCharType="end"/>
    </w:r>
    <w:r w:rsidRPr="002F5F97">
      <w:rPr>
        <w:noProof w:val="0"/>
      </w:rPr>
      <w:tab/>
    </w:r>
    <w:r w:rsidRPr="002F5F97">
      <w:rPr>
        <w:position w:val="-8"/>
      </w:rPr>
      <w:drawing>
        <wp:inline distT="0" distB="0" distL="0" distR="0" wp14:anchorId="57718C05" wp14:editId="3A158611">
          <wp:extent cx="1744980" cy="214630"/>
          <wp:effectExtent l="0" t="0" r="7620" b="0"/>
          <wp:docPr id="3290305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799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36AD6" w14:textId="7A3A5C48" w:rsidR="0081407D" w:rsidRPr="002F5F97" w:rsidRDefault="0081407D" w:rsidP="009267A9">
    <w:pPr>
      <w:pStyle w:val="FooterOdd"/>
      <w:tabs>
        <w:tab w:val="right" w:pos="9072"/>
      </w:tabs>
    </w:pPr>
    <w:r w:rsidRPr="002F5F97">
      <w:rPr>
        <w:noProof/>
        <w:position w:val="-8"/>
      </w:rPr>
      <w:drawing>
        <wp:inline distT="0" distB="0" distL="0" distR="0" wp14:anchorId="66C50361" wp14:editId="2F1F8BD6">
          <wp:extent cx="1744980" cy="214630"/>
          <wp:effectExtent l="0" t="0" r="7620" b="0"/>
          <wp:docPr id="44797679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804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rsidRPr="002F5F97">
      <w:tab/>
    </w:r>
    <w:fldSimple w:instr="STYLEREF  &quot;Chapter Title&quot;  \* MERGEFORMAT">
      <w:r w:rsidR="0075744F">
        <w:rPr>
          <w:noProof/>
        </w:rPr>
        <w:t>Engagement and education</w:t>
      </w:r>
    </w:fldSimple>
    <w:r w:rsidRPr="002F5F97">
      <w:t xml:space="preserve"> | </w:t>
    </w:r>
    <w:r w:rsidRPr="002F5F97">
      <w:fldChar w:fldCharType="begin"/>
    </w:r>
    <w:r w:rsidRPr="002F5F97">
      <w:instrText xml:space="preserve"> PAGE   \* MERGEFORMAT </w:instrText>
    </w:r>
    <w:r w:rsidRPr="002F5F97">
      <w:fldChar w:fldCharType="separate"/>
    </w:r>
    <w:r w:rsidRPr="002F5F97">
      <w:t>1</w:t>
    </w:r>
    <w:r w:rsidRPr="002F5F9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469E" w14:textId="42D16DC5" w:rsidR="00D80C4D" w:rsidRPr="002F5F97" w:rsidRDefault="00A952C7" w:rsidP="00D80C4D">
    <w:pPr>
      <w:pStyle w:val="Footer"/>
      <w:jc w:val="left"/>
    </w:pPr>
    <w:r w:rsidRPr="002F5F97">
      <w:rPr>
        <w:noProof/>
      </w:rPr>
      <w:drawing>
        <wp:anchor distT="0" distB="0" distL="114300" distR="114300" simplePos="0" relativeHeight="251658256" behindDoc="1" locked="0" layoutInCell="1" allowOverlap="1" wp14:anchorId="776D049E" wp14:editId="69BAD856">
          <wp:simplePos x="0" y="0"/>
          <wp:positionH relativeFrom="margin">
            <wp:posOffset>-1076960</wp:posOffset>
          </wp:positionH>
          <wp:positionV relativeFrom="paragraph">
            <wp:posOffset>-10023475</wp:posOffset>
          </wp:positionV>
          <wp:extent cx="7560000" cy="10689432"/>
          <wp:effectExtent l="0" t="0" r="3175" b="0"/>
          <wp:wrapNone/>
          <wp:docPr id="11771735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15030"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2"/>
                  </a:xfrm>
                  <a:prstGeom prst="rect">
                    <a:avLst/>
                  </a:prstGeom>
                </pic:spPr>
              </pic:pic>
            </a:graphicData>
          </a:graphic>
          <wp14:sizeRelH relativeFrom="page">
            <wp14:pctWidth>0</wp14:pctWidth>
          </wp14:sizeRelH>
          <wp14:sizeRelV relativeFrom="page">
            <wp14:pctHeight>0</wp14:pctHeight>
          </wp14:sizeRelV>
        </wp:anchor>
      </w:drawing>
    </w:r>
    <w:r w:rsidR="00D80C4D" w:rsidRPr="002F5F97">
      <w:rPr>
        <w:noProof/>
        <w:position w:val="-8"/>
      </w:rPr>
      <w:drawing>
        <wp:inline distT="0" distB="0" distL="0" distR="0" wp14:anchorId="68446449" wp14:editId="22C832AB">
          <wp:extent cx="1744980" cy="214630"/>
          <wp:effectExtent l="0" t="0" r="7620" b="0"/>
          <wp:docPr id="9467161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44107" name="Picture 4">
                    <a:extLst>
                      <a:ext uri="{C183D7F6-B498-43B3-948B-1728B52AA6E4}">
                        <adec:decorative xmlns:adec="http://schemas.microsoft.com/office/drawing/2017/decorative" val="1"/>
                      </a:ext>
                    </a:extLst>
                  </pic:cNvPr>
                  <pic:cNvPicPr>
                    <a:picLocks noChangeAspect="1" noChangeArrowheads="1"/>
                  </pic:cNvPicPr>
                </pic:nvPicPr>
                <pic:blipFill>
                  <a:blip r:embed="rId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0969C" w14:textId="06D84E11" w:rsidR="006D630B" w:rsidRPr="006D630B" w:rsidRDefault="006D630B" w:rsidP="006D630B">
    <w:pPr>
      <w:pStyle w:val="FooterEven"/>
      <w:tabs>
        <w:tab w:val="right" w:pos="9072"/>
      </w:tabs>
      <w:jc w:val="right"/>
      <w:rPr>
        <w:noProof w:val="0"/>
      </w:rPr>
    </w:pPr>
    <w:r w:rsidRPr="002F5F97">
      <w:rPr>
        <w:noProof w:val="0"/>
      </w:rPr>
      <w:fldChar w:fldCharType="begin"/>
    </w:r>
    <w:r w:rsidRPr="002F5F97">
      <w:rPr>
        <w:noProof w:val="0"/>
      </w:rPr>
      <w:instrText xml:space="preserve"> PAGE   \* MERGEFORMAT </w:instrText>
    </w:r>
    <w:r w:rsidRPr="002F5F97">
      <w:rPr>
        <w:noProof w:val="0"/>
      </w:rPr>
      <w:fldChar w:fldCharType="separate"/>
    </w:r>
    <w:r>
      <w:rPr>
        <w:noProof w:val="0"/>
      </w:rPr>
      <w:t>26</w:t>
    </w:r>
    <w:r w:rsidRPr="002F5F97">
      <w:rPr>
        <w:noProof w:val="0"/>
      </w:rPr>
      <w:fldChar w:fldCharType="end"/>
    </w:r>
    <w:r w:rsidRPr="002F5F97">
      <w:rPr>
        <w:noProof w:val="0"/>
      </w:rPr>
      <w:t xml:space="preserve"> | </w:t>
    </w:r>
    <w:r w:rsidRPr="002F5F97">
      <w:rPr>
        <w:noProof w:val="0"/>
      </w:rPr>
      <w:fldChar w:fldCharType="begin"/>
    </w:r>
    <w:r w:rsidRPr="002F5F97">
      <w:rPr>
        <w:noProof w:val="0"/>
      </w:rPr>
      <w:instrText xml:space="preserve"> STYLEREF  "Chapter Title"  \* MERGEFORMAT </w:instrText>
    </w:r>
    <w:r w:rsidRPr="002F5F97">
      <w:rPr>
        <w:noProof w:val="0"/>
      </w:rPr>
      <w:fldChar w:fldCharType="separate"/>
    </w:r>
    <w:r w:rsidR="0075744F">
      <w:t>Research and intelligence</w:t>
    </w:r>
    <w:r w:rsidRPr="002F5F97">
      <w:rPr>
        <w:noProof w:val="0"/>
      </w:rPr>
      <w:fldChar w:fldCharType="end"/>
    </w:r>
    <w:r w:rsidRPr="002F5F97">
      <w:rPr>
        <w:noProof w:val="0"/>
      </w:rPr>
      <w:tab/>
    </w:r>
    <w:r w:rsidRPr="002F5F97">
      <w:rPr>
        <w:position w:val="-8"/>
      </w:rPr>
      <w:drawing>
        <wp:inline distT="0" distB="0" distL="0" distR="0" wp14:anchorId="297E9020" wp14:editId="776BF0F7">
          <wp:extent cx="1744980" cy="214630"/>
          <wp:effectExtent l="0" t="0" r="7620" b="0"/>
          <wp:docPr id="123543358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799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58E2D" w14:textId="78F03CC1" w:rsidR="000C3AA1" w:rsidRPr="002F5F97" w:rsidRDefault="000C3AA1" w:rsidP="009267A9">
    <w:pPr>
      <w:pStyle w:val="FooterOdd"/>
      <w:tabs>
        <w:tab w:val="right" w:pos="9072"/>
      </w:tabs>
    </w:pPr>
    <w:r w:rsidRPr="002F5F97">
      <w:rPr>
        <w:noProof/>
        <w:position w:val="-8"/>
      </w:rPr>
      <w:drawing>
        <wp:inline distT="0" distB="0" distL="0" distR="0" wp14:anchorId="25A0ABF8" wp14:editId="1FF20257">
          <wp:extent cx="1744980" cy="214630"/>
          <wp:effectExtent l="0" t="0" r="7620" b="0"/>
          <wp:docPr id="13897265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02525"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rsidRPr="002F5F97">
      <w:tab/>
    </w:r>
    <w:fldSimple w:instr="STYLEREF  &quot;Chapter Title&quot;  \* MERGEFORMAT">
      <w:r w:rsidR="0075744F">
        <w:rPr>
          <w:noProof/>
        </w:rPr>
        <w:t>Research and intelligence</w:t>
      </w:r>
    </w:fldSimple>
    <w:r w:rsidRPr="002F5F97">
      <w:t xml:space="preserve"> | </w:t>
    </w:r>
    <w:r w:rsidRPr="002F5F97">
      <w:fldChar w:fldCharType="begin"/>
    </w:r>
    <w:r w:rsidRPr="002F5F97">
      <w:instrText xml:space="preserve"> PAGE   \* MERGEFORMAT </w:instrText>
    </w:r>
    <w:r w:rsidRPr="002F5F97">
      <w:fldChar w:fldCharType="separate"/>
    </w:r>
    <w:r w:rsidRPr="002F5F97">
      <w:t>1</w:t>
    </w:r>
    <w:r w:rsidRPr="002F5F9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EBEE9" w14:textId="77777777" w:rsidR="00131F9B" w:rsidRPr="002F5F97" w:rsidRDefault="00131F9B" w:rsidP="00D80C4D">
    <w:pPr>
      <w:pStyle w:val="Footer"/>
      <w:jc w:val="left"/>
    </w:pPr>
    <w:r w:rsidRPr="002F5F97">
      <w:rPr>
        <w:noProof/>
        <w:position w:val="-8"/>
      </w:rPr>
      <w:drawing>
        <wp:inline distT="0" distB="0" distL="0" distR="0" wp14:anchorId="05835A12" wp14:editId="1B23074F">
          <wp:extent cx="1744980" cy="214630"/>
          <wp:effectExtent l="0" t="0" r="7620" b="0"/>
          <wp:docPr id="291216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81226" name="Picture 4">
                    <a:extLst>
                      <a:ext uri="{C183D7F6-B498-43B3-948B-1728B52AA6E4}">
                        <adec:decorative xmlns:adec="http://schemas.microsoft.com/office/drawing/2017/decorative" val="1"/>
                      </a:ext>
                    </a:extLst>
                  </pic:cNvPr>
                  <pic:cNvPicPr>
                    <a:picLocks noChangeAspect="1" noChangeArrowheads="1"/>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CB3E9" w14:textId="77777777" w:rsidR="009A1333" w:rsidRPr="002F5F97" w:rsidRDefault="009A1333">
      <w:pPr>
        <w:spacing w:before="0" w:after="0"/>
      </w:pPr>
      <w:r w:rsidRPr="002F5F97">
        <w:separator/>
      </w:r>
    </w:p>
  </w:footnote>
  <w:footnote w:type="continuationSeparator" w:id="0">
    <w:p w14:paraId="6736B9F3" w14:textId="77777777" w:rsidR="009A1333" w:rsidRPr="002F5F97" w:rsidRDefault="009A1333">
      <w:pPr>
        <w:spacing w:before="0" w:after="0"/>
      </w:pPr>
      <w:r w:rsidRPr="002F5F97">
        <w:continuationSeparator/>
      </w:r>
    </w:p>
  </w:footnote>
  <w:footnote w:type="continuationNotice" w:id="1">
    <w:p w14:paraId="44D49779" w14:textId="77777777" w:rsidR="009A1333" w:rsidRPr="002F5F97" w:rsidRDefault="009A1333">
      <w:pPr>
        <w:spacing w:before="0" w:after="0"/>
      </w:pPr>
    </w:p>
  </w:footnote>
  <w:footnote w:id="2">
    <w:p w14:paraId="0DB989BF" w14:textId="21A8987C" w:rsidR="00795966" w:rsidRPr="002F5F97" w:rsidRDefault="005D0129" w:rsidP="001211AE">
      <w:pPr>
        <w:pStyle w:val="FootnoteText"/>
      </w:pPr>
      <w:r w:rsidRPr="005D0129">
        <w:rPr>
          <w:rStyle w:val="FootnoteReference"/>
          <w:vertAlign w:val="baseline"/>
        </w:rPr>
        <w:footnoteRef/>
      </w:r>
      <w:r w:rsidR="007F1A8B" w:rsidRPr="002F5F97">
        <w:t xml:space="preserve"> </w:t>
      </w:r>
      <w:r w:rsidR="00454678">
        <w:tab/>
      </w:r>
      <w:r w:rsidR="00D762E5" w:rsidRPr="00454678">
        <w:t>Department</w:t>
      </w:r>
      <w:r w:rsidR="00D762E5" w:rsidRPr="002F5F97">
        <w:t xml:space="preserve"> of Finance,</w:t>
      </w:r>
      <w:hyperlink r:id="rId1" w:history="1">
        <w:r w:rsidR="00117575" w:rsidRPr="002F5F97">
          <w:rPr>
            <w:rStyle w:val="Hyperlink"/>
          </w:rPr>
          <w:t xml:space="preserve"> Flipchart of PGPA Act Cth entities and companies, 5 January 2026.</w:t>
        </w:r>
      </w:hyperlink>
    </w:p>
  </w:footnote>
  <w:footnote w:id="3">
    <w:p w14:paraId="259D583B" w14:textId="544430A6" w:rsidR="005F1163" w:rsidRPr="002F5F97" w:rsidRDefault="005D0129" w:rsidP="005F1163">
      <w:pPr>
        <w:pStyle w:val="FootnoteText"/>
      </w:pPr>
      <w:r w:rsidRPr="005D0129">
        <w:rPr>
          <w:rStyle w:val="FootnoteReference"/>
          <w:vertAlign w:val="baseline"/>
        </w:rPr>
        <w:footnoteRef/>
      </w:r>
      <w:r w:rsidR="005F1163" w:rsidRPr="002F5F97">
        <w:t xml:space="preserve"> </w:t>
      </w:r>
      <w:r w:rsidR="005F1163">
        <w:tab/>
      </w:r>
      <w:r w:rsidR="005F1163" w:rsidRPr="002F5F97">
        <w:t xml:space="preserve">Department of Finance, </w:t>
      </w:r>
      <w:hyperlink r:id="rId2" w:history="1">
        <w:r w:rsidR="005F1163" w:rsidRPr="002F5F97">
          <w:rPr>
            <w:rStyle w:val="Hyperlink"/>
          </w:rPr>
          <w:t>Flipchart of PGPA Act Cth entities and companies, 5 January 2026</w:t>
        </w:r>
      </w:hyperlink>
      <w:r w:rsidR="005F1163" w:rsidRPr="002F5F97">
        <w:t>.</w:t>
      </w:r>
    </w:p>
  </w:footnote>
  <w:footnote w:id="4">
    <w:p w14:paraId="5828337C" w14:textId="77777777" w:rsidR="00BE4192" w:rsidRPr="002F5F97" w:rsidRDefault="00BE4192" w:rsidP="00BE4192">
      <w:pPr>
        <w:pStyle w:val="FootnoteText"/>
        <w:ind w:left="737" w:hanging="737"/>
      </w:pPr>
      <w:r w:rsidRPr="005D0129">
        <w:rPr>
          <w:rStyle w:val="FootnoteReference"/>
          <w:vertAlign w:val="baseline"/>
        </w:rPr>
        <w:footnoteRef/>
      </w:r>
      <w:r w:rsidRPr="002F5F97">
        <w:t xml:space="preserve"> </w:t>
      </w:r>
      <w:r>
        <w:tab/>
      </w:r>
      <w:r w:rsidRPr="00EC11A9">
        <w:t>Payment</w:t>
      </w:r>
      <w:r w:rsidRPr="002F5F97">
        <w:t xml:space="preserve"> Times Reporting Regulator, </w:t>
      </w:r>
      <w:r w:rsidRPr="002F5F97">
        <w:rPr>
          <w:i/>
          <w:iCs/>
        </w:rPr>
        <w:t>How to Identify Small Business Suppliers</w:t>
      </w:r>
      <w:r w:rsidRPr="002F5F97">
        <w:t xml:space="preserve"> (SBI</w:t>
      </w:r>
      <w:r>
        <w:t> </w:t>
      </w:r>
      <w:r w:rsidRPr="002F5F97">
        <w:t>Tool)</w:t>
      </w:r>
      <w:r>
        <w:t> </w:t>
      </w:r>
      <w:r w:rsidRPr="002F5F97">
        <w:t>(n.d.).</w:t>
      </w:r>
    </w:p>
  </w:footnote>
  <w:footnote w:id="5">
    <w:p w14:paraId="27B2ED42" w14:textId="3003C887" w:rsidR="007F2C31" w:rsidRPr="002F5F97" w:rsidRDefault="005D0129">
      <w:pPr>
        <w:pStyle w:val="FootnoteText"/>
      </w:pPr>
      <w:r w:rsidRPr="005D0129">
        <w:rPr>
          <w:rStyle w:val="FootnoteReference"/>
          <w:vertAlign w:val="baseline"/>
        </w:rPr>
        <w:footnoteRef/>
      </w:r>
      <w:r w:rsidR="007F2C31" w:rsidRPr="002F5F97">
        <w:t xml:space="preserve"> </w:t>
      </w:r>
      <w:r w:rsidR="003F563F">
        <w:tab/>
      </w:r>
      <w:r w:rsidR="009400C4" w:rsidRPr="002F5F97">
        <w:t>Australian Bureau of Statistics, Remoteness Areas, Jul</w:t>
      </w:r>
      <w:r w:rsidR="00710C75">
        <w:t> </w:t>
      </w:r>
      <w:r w:rsidR="009400C4" w:rsidRPr="002F5F97">
        <w:t>2021</w:t>
      </w:r>
      <w:r w:rsidR="00710C75">
        <w:t>–</w:t>
      </w:r>
      <w:r w:rsidR="009400C4" w:rsidRPr="002F5F97">
        <w:t>Jun</w:t>
      </w:r>
      <w:r w:rsidR="00710C75">
        <w:t> </w:t>
      </w:r>
      <w:r w:rsidR="009400C4" w:rsidRPr="002F5F97">
        <w:t>2026.</w:t>
      </w:r>
    </w:p>
  </w:footnote>
  <w:footnote w:id="6">
    <w:p w14:paraId="26A30515" w14:textId="6CBABFFE" w:rsidR="005E3ABA" w:rsidRPr="002F5F97" w:rsidRDefault="005D0129">
      <w:pPr>
        <w:pStyle w:val="FootnoteText"/>
      </w:pPr>
      <w:r w:rsidRPr="005D0129">
        <w:rPr>
          <w:rStyle w:val="FootnoteReference"/>
          <w:vertAlign w:val="baseline"/>
        </w:rPr>
        <w:footnoteRef/>
      </w:r>
      <w:r w:rsidR="005E3ABA" w:rsidRPr="002F5F97">
        <w:t xml:space="preserve"> </w:t>
      </w:r>
      <w:r w:rsidR="003F563F">
        <w:tab/>
      </w:r>
      <w:r w:rsidR="005D21D3" w:rsidRPr="002F5F97">
        <w:t>A</w:t>
      </w:r>
      <w:r w:rsidR="00A20696" w:rsidRPr="002F5F97">
        <w:t>BS</w:t>
      </w:r>
      <w:r w:rsidR="005D21D3" w:rsidRPr="002F5F97">
        <w:t>, Australian Industry, 2023–24 Financial Year (Catalogue No 8155.0, 2023</w:t>
      </w:r>
      <w:r w:rsidR="00710C75">
        <w:t>–</w:t>
      </w:r>
      <w:r w:rsidR="005D21D3" w:rsidRPr="002F5F97">
        <w:t>24).</w:t>
      </w:r>
    </w:p>
  </w:footnote>
  <w:footnote w:id="7">
    <w:p w14:paraId="238ED2FC" w14:textId="7B5FE298" w:rsidR="003D3F38" w:rsidRPr="002F5F97" w:rsidRDefault="005D0129">
      <w:pPr>
        <w:pStyle w:val="FootnoteText"/>
      </w:pPr>
      <w:r w:rsidRPr="005D0129">
        <w:rPr>
          <w:rStyle w:val="FootnoteReference"/>
          <w:vertAlign w:val="baseline"/>
        </w:rPr>
        <w:footnoteRef/>
      </w:r>
      <w:r w:rsidR="003D3F38" w:rsidRPr="002F5F97">
        <w:t xml:space="preserve"> </w:t>
      </w:r>
      <w:r w:rsidR="003F563F">
        <w:tab/>
      </w:r>
      <w:r w:rsidR="00304085" w:rsidRPr="002F5F97">
        <w:t>ABS, Australian Industry, 2023–24 Financial Year.</w:t>
      </w:r>
    </w:p>
  </w:footnote>
  <w:footnote w:id="8">
    <w:p w14:paraId="34428B80" w14:textId="12583A5B" w:rsidR="00A14405" w:rsidRPr="002F5F97" w:rsidRDefault="005D0129">
      <w:pPr>
        <w:pStyle w:val="FootnoteText"/>
      </w:pPr>
      <w:r w:rsidRPr="005D0129">
        <w:rPr>
          <w:rStyle w:val="FootnoteReference"/>
          <w:vertAlign w:val="baseline"/>
        </w:rPr>
        <w:footnoteRef/>
      </w:r>
      <w:r w:rsidR="00A14405" w:rsidRPr="002F5F97">
        <w:t xml:space="preserve"> </w:t>
      </w:r>
      <w:r w:rsidR="003F563F">
        <w:tab/>
      </w:r>
      <w:r w:rsidR="00133BB0" w:rsidRPr="002F5F97">
        <w:t>ABS, Australian System of National Accounts, 2024–25.</w:t>
      </w:r>
    </w:p>
  </w:footnote>
  <w:footnote w:id="9">
    <w:p w14:paraId="1F205B1E" w14:textId="47F8F457" w:rsidR="00A56949" w:rsidRPr="002F5F97" w:rsidRDefault="005D0129" w:rsidP="00FE7444">
      <w:pPr>
        <w:pStyle w:val="FootnoteText"/>
        <w:ind w:left="737" w:hanging="737"/>
      </w:pPr>
      <w:r w:rsidRPr="005D0129">
        <w:rPr>
          <w:rStyle w:val="FootnoteReference"/>
          <w:vertAlign w:val="baseline"/>
        </w:rPr>
        <w:footnoteRef/>
      </w:r>
      <w:r w:rsidR="00A56949" w:rsidRPr="002F5F97">
        <w:t xml:space="preserve"> </w:t>
      </w:r>
      <w:r w:rsidR="003F563F">
        <w:tab/>
      </w:r>
      <w:r w:rsidR="00E74288" w:rsidRPr="002F5F97">
        <w:t>Bureau of Infrastructure and Transport Research Economics, Australian Infrastructure and Transport Statistics Yearbook 2024 (2024).</w:t>
      </w:r>
    </w:p>
  </w:footnote>
  <w:footnote w:id="10">
    <w:p w14:paraId="02EB3BF7" w14:textId="2FB9EE6A" w:rsidR="00E74288" w:rsidRPr="002F5F97" w:rsidRDefault="005D0129" w:rsidP="00FE7444">
      <w:pPr>
        <w:pStyle w:val="FootnoteText"/>
        <w:ind w:left="737" w:hanging="737"/>
      </w:pPr>
      <w:r w:rsidRPr="005D0129">
        <w:rPr>
          <w:rStyle w:val="FootnoteReference"/>
          <w:vertAlign w:val="baseline"/>
        </w:rPr>
        <w:footnoteRef/>
      </w:r>
      <w:r w:rsidR="00E74288" w:rsidRPr="002F5F97">
        <w:t xml:space="preserve"> </w:t>
      </w:r>
      <w:r w:rsidR="003F563F">
        <w:tab/>
      </w:r>
      <w:r w:rsidR="00E905CF" w:rsidRPr="002F5F97">
        <w:t>A</w:t>
      </w:r>
      <w:r w:rsidR="00A20696" w:rsidRPr="002F5F97">
        <w:t>BS</w:t>
      </w:r>
      <w:r w:rsidR="00E905CF" w:rsidRPr="002F5F97">
        <w:t>, Counts of Australian Businesses, Including Entries and Exits, July 2021–June 2025 (Catalogue No 8165.0, 2025).</w:t>
      </w:r>
    </w:p>
  </w:footnote>
  <w:footnote w:id="11">
    <w:p w14:paraId="2DA67188" w14:textId="55CBB99B" w:rsidR="00943A4C" w:rsidRPr="002F5F97" w:rsidRDefault="005D0129">
      <w:pPr>
        <w:pStyle w:val="FootnoteText"/>
      </w:pPr>
      <w:r w:rsidRPr="005D0129">
        <w:rPr>
          <w:rStyle w:val="FootnoteReference"/>
          <w:vertAlign w:val="baseline"/>
        </w:rPr>
        <w:footnoteRef/>
      </w:r>
      <w:r w:rsidR="00943A4C" w:rsidRPr="002F5F97">
        <w:t xml:space="preserve"> </w:t>
      </w:r>
      <w:r w:rsidR="003F563F">
        <w:tab/>
      </w:r>
      <w:r w:rsidR="0004739F" w:rsidRPr="002F5F97">
        <w:t xml:space="preserve">BITRE, </w:t>
      </w:r>
      <w:bookmarkStart w:id="30" w:name="_Hlk219886460"/>
      <w:r w:rsidR="0004739F" w:rsidRPr="002F5F97">
        <w:t>Australian Infrastructure and Transport Statistics Yearbook 2024</w:t>
      </w:r>
      <w:bookmarkEnd w:id="30"/>
      <w:r w:rsidR="0004739F" w:rsidRPr="002F5F97">
        <w:t>.</w:t>
      </w:r>
    </w:p>
  </w:footnote>
  <w:footnote w:id="12">
    <w:p w14:paraId="5239EB77" w14:textId="4E6FC515" w:rsidR="008E4315" w:rsidRPr="002F5F97" w:rsidRDefault="005D0129">
      <w:pPr>
        <w:pStyle w:val="FootnoteText"/>
      </w:pPr>
      <w:r w:rsidRPr="005D0129">
        <w:rPr>
          <w:rStyle w:val="FootnoteReference"/>
          <w:vertAlign w:val="baseline"/>
        </w:rPr>
        <w:footnoteRef/>
      </w:r>
      <w:r w:rsidR="008E4315" w:rsidRPr="002F5F97">
        <w:t xml:space="preserve"> </w:t>
      </w:r>
      <w:r w:rsidR="005234E3">
        <w:tab/>
      </w:r>
      <w:r w:rsidR="000F5197" w:rsidRPr="002F5F97">
        <w:t>BITRE, Australian Infrastructure and Transport Statistics Yearbook 2024.</w:t>
      </w:r>
    </w:p>
  </w:footnote>
  <w:footnote w:id="13">
    <w:p w14:paraId="34A2E6A3" w14:textId="610BB823" w:rsidR="00FC7ED6" w:rsidRPr="002F5F97" w:rsidRDefault="005D0129" w:rsidP="006B47BC">
      <w:pPr>
        <w:pStyle w:val="FootnoteText"/>
        <w:ind w:left="737" w:hanging="737"/>
      </w:pPr>
      <w:r w:rsidRPr="005D0129">
        <w:rPr>
          <w:rStyle w:val="FootnoteReference"/>
          <w:vertAlign w:val="baseline"/>
        </w:rPr>
        <w:footnoteRef/>
      </w:r>
      <w:r w:rsidR="00FC7ED6" w:rsidRPr="002F5F97">
        <w:t xml:space="preserve"> </w:t>
      </w:r>
      <w:r w:rsidR="005234E3">
        <w:tab/>
      </w:r>
      <w:r w:rsidR="000C6B5B" w:rsidRPr="002F5F97">
        <w:t>Payment Times Reporting Regulator, How to Identify Small Business Suppliers (SBI Tool) (Guidance Material, 2025).</w:t>
      </w:r>
    </w:p>
  </w:footnote>
  <w:footnote w:id="14">
    <w:p w14:paraId="6DF12A19" w14:textId="3C2BEC2E" w:rsidR="007516C0" w:rsidRDefault="005D0129" w:rsidP="007516C0">
      <w:pPr>
        <w:pStyle w:val="FootnoteText"/>
      </w:pPr>
      <w:r w:rsidRPr="005D0129">
        <w:rPr>
          <w:rStyle w:val="FootnoteReference"/>
          <w:vertAlign w:val="baseline"/>
        </w:rPr>
        <w:footnoteRef/>
      </w:r>
      <w:r w:rsidR="007516C0" w:rsidRPr="002F5F97">
        <w:t xml:space="preserve"> </w:t>
      </w:r>
      <w:r w:rsidR="00DC0F1B">
        <w:tab/>
      </w:r>
      <w:r w:rsidR="007516C0" w:rsidRPr="002F5F97">
        <w:t>This assumes that all entities meet the other criteria for becoming a fast payer.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93D6" w14:textId="15224EC4" w:rsidR="00EF145E" w:rsidRPr="002F5F97" w:rsidRDefault="00EF145E" w:rsidP="00C473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046C" w14:textId="7E704BEC" w:rsidR="006D630B" w:rsidRPr="002F5F97" w:rsidRDefault="00F01E50" w:rsidP="00A12F62">
    <w:pPr>
      <w:pStyle w:val="HeaderOdd"/>
    </w:pPr>
    <w:r>
      <w:rPr>
        <w:noProof/>
      </w:rPr>
      <w:drawing>
        <wp:anchor distT="0" distB="0" distL="114300" distR="114300" simplePos="0" relativeHeight="251658252" behindDoc="1" locked="0" layoutInCell="1" allowOverlap="1" wp14:anchorId="78BCB5BC" wp14:editId="25312BCB">
          <wp:simplePos x="0" y="0"/>
          <wp:positionH relativeFrom="column">
            <wp:posOffset>-900430</wp:posOffset>
          </wp:positionH>
          <wp:positionV relativeFrom="paragraph">
            <wp:posOffset>-450215</wp:posOffset>
          </wp:positionV>
          <wp:extent cx="10690225" cy="7560310"/>
          <wp:effectExtent l="0" t="0" r="0" b="2540"/>
          <wp:wrapNone/>
          <wp:docPr id="123720219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0219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0225" cy="756031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CC18" w14:textId="451CEFAB" w:rsidR="006D630B" w:rsidRPr="002F5F97" w:rsidRDefault="006D630B" w:rsidP="00D80C4D">
    <w:pPr>
      <w:pStyle w:val="HeaderWhite"/>
      <w:rPr>
        <w:noProof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3D95" w14:textId="77777777" w:rsidR="006D630B" w:rsidRPr="002F5F97" w:rsidRDefault="006D630B" w:rsidP="00A12F62">
    <w:pPr>
      <w:pStyle w:val="HeaderEven"/>
    </w:pPr>
    <w:r w:rsidRPr="002F5F97">
      <w:rPr>
        <w:noProof/>
      </w:rPr>
      <w:drawing>
        <wp:anchor distT="0" distB="0" distL="114300" distR="114300" simplePos="0" relativeHeight="251658251" behindDoc="1" locked="0" layoutInCell="1" allowOverlap="1" wp14:anchorId="6E31504C" wp14:editId="388DACD1">
          <wp:simplePos x="0" y="0"/>
          <wp:positionH relativeFrom="column">
            <wp:posOffset>-1080135</wp:posOffset>
          </wp:positionH>
          <wp:positionV relativeFrom="paragraph">
            <wp:posOffset>-450215</wp:posOffset>
          </wp:positionV>
          <wp:extent cx="7559998" cy="10689431"/>
          <wp:effectExtent l="0" t="0" r="0" b="0"/>
          <wp:wrapNone/>
          <wp:docPr id="12951512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512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998" cy="10689431"/>
                  </a:xfrm>
                  <a:prstGeom prst="rect">
                    <a:avLst/>
                  </a:prstGeom>
                </pic:spPr>
              </pic:pic>
            </a:graphicData>
          </a:graphic>
          <wp14:sizeRelH relativeFrom="margin">
            <wp14:pctWidth>0</wp14:pctWidth>
          </wp14:sizeRelH>
          <wp14:sizeRelV relativeFrom="margin">
            <wp14:pctHeight>0</wp14:pctHeight>
          </wp14:sizeRelV>
        </wp:anchor>
      </w:drawing>
    </w:r>
    <w:r w:rsidRPr="002F5F97">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17B00" w14:textId="77777777" w:rsidR="006D630B" w:rsidRPr="002F5F97" w:rsidRDefault="006D630B" w:rsidP="00A12F62">
    <w:pPr>
      <w:pStyle w:val="HeaderOdd"/>
    </w:pPr>
    <w:r w:rsidRPr="002F5F97">
      <w:rPr>
        <w:noProof/>
      </w:rPr>
      <w:drawing>
        <wp:anchor distT="0" distB="0" distL="114300" distR="114300" simplePos="0" relativeHeight="251658250" behindDoc="1" locked="0" layoutInCell="1" allowOverlap="1" wp14:anchorId="15C88DCA" wp14:editId="7AC68BCC">
          <wp:simplePos x="0" y="0"/>
          <wp:positionH relativeFrom="column">
            <wp:posOffset>-1080135</wp:posOffset>
          </wp:positionH>
          <wp:positionV relativeFrom="paragraph">
            <wp:posOffset>-450215</wp:posOffset>
          </wp:positionV>
          <wp:extent cx="7559998" cy="10689431"/>
          <wp:effectExtent l="0" t="0" r="3175" b="0"/>
          <wp:wrapNone/>
          <wp:docPr id="155699675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9675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8"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40170" w14:textId="77777777" w:rsidR="006D630B" w:rsidRPr="002F5F97" w:rsidRDefault="006D630B" w:rsidP="00D80C4D">
    <w:pPr>
      <w:pStyle w:val="HeaderWhite"/>
      <w:rPr>
        <w:noProof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1313" w14:textId="1D46AF08" w:rsidR="002B0538" w:rsidRPr="002F5F97" w:rsidRDefault="002B0538" w:rsidP="00A12F62">
    <w:pPr>
      <w:pStyle w:val="HeaderEven"/>
    </w:pPr>
    <w:r w:rsidRPr="002F5F97">
      <w:rPr>
        <w:noProof/>
      </w:rPr>
      <w:drawing>
        <wp:anchor distT="0" distB="0" distL="114300" distR="114300" simplePos="0" relativeHeight="251658246" behindDoc="1" locked="0" layoutInCell="1" allowOverlap="1" wp14:anchorId="6D3CE6D1" wp14:editId="187F8B32">
          <wp:simplePos x="0" y="0"/>
          <wp:positionH relativeFrom="column">
            <wp:posOffset>-1080135</wp:posOffset>
          </wp:positionH>
          <wp:positionV relativeFrom="paragraph">
            <wp:posOffset>-450214</wp:posOffset>
          </wp:positionV>
          <wp:extent cx="7559998" cy="10689429"/>
          <wp:effectExtent l="0" t="0" r="0" b="0"/>
          <wp:wrapNone/>
          <wp:docPr id="5934522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5224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998" cy="10689429"/>
                  </a:xfrm>
                  <a:prstGeom prst="rect">
                    <a:avLst/>
                  </a:prstGeom>
                </pic:spPr>
              </pic:pic>
            </a:graphicData>
          </a:graphic>
          <wp14:sizeRelH relativeFrom="margin">
            <wp14:pctWidth>0</wp14:pctWidth>
          </wp14:sizeRelH>
          <wp14:sizeRelV relativeFrom="margin">
            <wp14:pctHeight>0</wp14:pctHeight>
          </wp14:sizeRelV>
        </wp:anchor>
      </w:drawing>
    </w:r>
    <w:r w:rsidR="000C58B2" w:rsidRPr="002F5F97">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E52A7" w14:textId="77777777" w:rsidR="000C3AA1" w:rsidRPr="002F5F97" w:rsidRDefault="000C3AA1" w:rsidP="00A12F62">
    <w:pPr>
      <w:pStyle w:val="HeaderOdd"/>
    </w:pPr>
    <w:r w:rsidRPr="002F5F97">
      <w:rPr>
        <w:noProof/>
      </w:rPr>
      <w:drawing>
        <wp:anchor distT="0" distB="0" distL="114300" distR="114300" simplePos="0" relativeHeight="251658245" behindDoc="1" locked="0" layoutInCell="1" allowOverlap="1" wp14:anchorId="5E86B6BE" wp14:editId="4F163F52">
          <wp:simplePos x="0" y="0"/>
          <wp:positionH relativeFrom="column">
            <wp:posOffset>-1080135</wp:posOffset>
          </wp:positionH>
          <wp:positionV relativeFrom="paragraph">
            <wp:posOffset>-450215</wp:posOffset>
          </wp:positionV>
          <wp:extent cx="7559997" cy="10689429"/>
          <wp:effectExtent l="0" t="0" r="3175" b="0"/>
          <wp:wrapNone/>
          <wp:docPr id="58991027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1027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7" cy="10689429"/>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2485D" w14:textId="77777777" w:rsidR="000C3AA1" w:rsidRPr="002F5F97" w:rsidRDefault="000C3AA1" w:rsidP="00A177C4">
    <w:pPr>
      <w:pStyle w:val="HeaderWhite"/>
      <w:rPr>
        <w:noProof w:val="0"/>
      </w:rPr>
    </w:pPr>
    <w:r w:rsidRPr="002F5F97">
      <w:drawing>
        <wp:anchor distT="0" distB="0" distL="114300" distR="114300" simplePos="0" relativeHeight="251658244" behindDoc="1" locked="0" layoutInCell="1" allowOverlap="1" wp14:anchorId="58E43EB0" wp14:editId="54ED9E6F">
          <wp:simplePos x="0" y="0"/>
          <wp:positionH relativeFrom="column">
            <wp:posOffset>-1077595</wp:posOffset>
          </wp:positionH>
          <wp:positionV relativeFrom="paragraph">
            <wp:posOffset>-448310</wp:posOffset>
          </wp:positionV>
          <wp:extent cx="7560000" cy="10689432"/>
          <wp:effectExtent l="0" t="0" r="3175" b="0"/>
          <wp:wrapNone/>
          <wp:docPr id="18125681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68142"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432"/>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BB452" w14:textId="4804D885" w:rsidR="004F126D" w:rsidRPr="008B5023" w:rsidRDefault="00C4738D" w:rsidP="008B5023">
    <w:r w:rsidRPr="002F5F97">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F4DD" w14:textId="77777777" w:rsidR="005049F3" w:rsidRPr="002F5F97" w:rsidRDefault="005049F3" w:rsidP="00A12F62">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A438" w14:textId="77777777" w:rsidR="00EF145E" w:rsidRPr="002F5F97" w:rsidRDefault="00EF145E" w:rsidP="00A12F62">
    <w:pPr>
      <w:pStyle w:val="HeaderOd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1336" w14:textId="77777777" w:rsidR="005D0D81" w:rsidRPr="008B5023" w:rsidRDefault="005D0D81" w:rsidP="008B5023">
    <w:r w:rsidRPr="002F5F97">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5C05" w14:textId="77777777" w:rsidR="00885C4F" w:rsidRPr="002F5F97" w:rsidRDefault="00885C4F" w:rsidP="00A12F62">
    <w:pPr>
      <w:pStyle w:val="HeaderOd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7017" w14:textId="77777777" w:rsidR="005D0D81" w:rsidRPr="008B5023" w:rsidRDefault="005D0D81" w:rsidP="008B5023">
    <w:r w:rsidRPr="002F5F97">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3702" w14:textId="77777777" w:rsidR="00885C4F" w:rsidRPr="002F5F97" w:rsidRDefault="00885C4F" w:rsidP="00A12F62">
    <w:pPr>
      <w:pStyle w:val="HeaderOd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A83A" w14:textId="77777777" w:rsidR="000C06D0" w:rsidRPr="002F5F97" w:rsidRDefault="000C06D0" w:rsidP="00A12F62">
    <w:pPr>
      <w:pStyle w:val="HeaderEven"/>
    </w:pPr>
    <w:r w:rsidRPr="002F5F97">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127D" w14:textId="77777777" w:rsidR="00B61520" w:rsidRPr="002F5F97" w:rsidRDefault="00B61520" w:rsidP="00A12F62">
    <w:pPr>
      <w:pStyle w:val="HeaderOd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EF4E7" w14:textId="77777777" w:rsidR="00D0116C" w:rsidRPr="002F5F97" w:rsidRDefault="00D0116C" w:rsidP="00A12F62">
    <w:pPr>
      <w:pStyle w:val="HeaderEven"/>
    </w:pPr>
    <w:r w:rsidRPr="002F5F9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7197" w14:textId="459F45A6" w:rsidR="00EF145E" w:rsidRPr="002F5F97" w:rsidRDefault="00EF145E" w:rsidP="00D80C4D">
    <w:pPr>
      <w:pStyle w:val="HeaderWhite"/>
      <w:rPr>
        <w:noProof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808CF" w14:textId="34FC45F5" w:rsidR="00FA0B08" w:rsidRPr="002F5F97" w:rsidRDefault="005F3902" w:rsidP="00A12F62">
    <w:pPr>
      <w:pStyle w:val="HeaderEven"/>
    </w:pPr>
    <w:r w:rsidRPr="002F5F97">
      <w:rPr>
        <w:noProof/>
      </w:rPr>
      <w:drawing>
        <wp:anchor distT="0" distB="0" distL="114300" distR="114300" simplePos="0" relativeHeight="251658240" behindDoc="1" locked="0" layoutInCell="1" allowOverlap="1" wp14:anchorId="11C24CC3" wp14:editId="703148A2">
          <wp:simplePos x="0" y="0"/>
          <wp:positionH relativeFrom="column">
            <wp:posOffset>-1080135</wp:posOffset>
          </wp:positionH>
          <wp:positionV relativeFrom="paragraph">
            <wp:posOffset>-450215</wp:posOffset>
          </wp:positionV>
          <wp:extent cx="7559999" cy="10689431"/>
          <wp:effectExtent l="0" t="0" r="0" b="0"/>
          <wp:wrapNone/>
          <wp:docPr id="18454402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4020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999" cy="10689431"/>
                  </a:xfrm>
                  <a:prstGeom prst="rect">
                    <a:avLst/>
                  </a:prstGeom>
                </pic:spPr>
              </pic:pic>
            </a:graphicData>
          </a:graphic>
          <wp14:sizeRelH relativeFrom="margin">
            <wp14:pctWidth>0</wp14:pctWidth>
          </wp14:sizeRelH>
          <wp14:sizeRelV relativeFrom="margin">
            <wp14:pctHeight>0</wp14:pctHeight>
          </wp14:sizeRelV>
        </wp:anchor>
      </w:drawing>
    </w:r>
    <w:r w:rsidR="00E24E4D" w:rsidRPr="002F5F97">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DEB0" w14:textId="77777777" w:rsidR="00FA0B08" w:rsidRPr="002F5F97" w:rsidRDefault="00131F9B" w:rsidP="00A12F62">
    <w:pPr>
      <w:pStyle w:val="HeaderOdd"/>
    </w:pPr>
    <w:r w:rsidRPr="002F5F97">
      <w:rPr>
        <w:noProof/>
      </w:rPr>
      <w:drawing>
        <wp:anchor distT="0" distB="0" distL="114300" distR="114300" simplePos="0" relativeHeight="251658241" behindDoc="1" locked="0" layoutInCell="1" allowOverlap="1" wp14:anchorId="4C9D5F39" wp14:editId="05128F7A">
          <wp:simplePos x="0" y="0"/>
          <wp:positionH relativeFrom="column">
            <wp:posOffset>-1080135</wp:posOffset>
          </wp:positionH>
          <wp:positionV relativeFrom="paragraph">
            <wp:posOffset>-450215</wp:posOffset>
          </wp:positionV>
          <wp:extent cx="7559998" cy="10689431"/>
          <wp:effectExtent l="0" t="0" r="3175" b="0"/>
          <wp:wrapNone/>
          <wp:docPr id="8137839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8399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8"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8F38" w14:textId="7F0B030E" w:rsidR="000C3AA1" w:rsidRPr="002F5F97" w:rsidRDefault="000C3AA1" w:rsidP="00A12F62">
    <w:pPr>
      <w:pStyle w:val="HeaderEven"/>
    </w:pPr>
    <w:r w:rsidRPr="002F5F97">
      <w:rPr>
        <w:noProof/>
      </w:rPr>
      <w:drawing>
        <wp:anchor distT="0" distB="0" distL="114300" distR="114300" simplePos="0" relativeHeight="251658243" behindDoc="1" locked="0" layoutInCell="1" allowOverlap="1" wp14:anchorId="007D3C70" wp14:editId="41EABC51">
          <wp:simplePos x="0" y="0"/>
          <wp:positionH relativeFrom="column">
            <wp:posOffset>-1080135</wp:posOffset>
          </wp:positionH>
          <wp:positionV relativeFrom="paragraph">
            <wp:posOffset>-450215</wp:posOffset>
          </wp:positionV>
          <wp:extent cx="7559998" cy="10689431"/>
          <wp:effectExtent l="0" t="0" r="0" b="0"/>
          <wp:wrapNone/>
          <wp:docPr id="133065640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5640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998" cy="10689431"/>
                  </a:xfrm>
                  <a:prstGeom prst="rect">
                    <a:avLst/>
                  </a:prstGeom>
                </pic:spPr>
              </pic:pic>
            </a:graphicData>
          </a:graphic>
          <wp14:sizeRelH relativeFrom="margin">
            <wp14:pctWidth>0</wp14:pctWidth>
          </wp14:sizeRelH>
          <wp14:sizeRelV relativeFrom="margin">
            <wp14:pctHeight>0</wp14:pctHeight>
          </wp14:sizeRelV>
        </wp:anchor>
      </w:drawing>
    </w:r>
    <w:r w:rsidR="001B4D30" w:rsidRPr="002F5F97">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E8DC" w14:textId="77777777" w:rsidR="000C3AA1" w:rsidRPr="002F5F97" w:rsidRDefault="00084CB5" w:rsidP="00A12F62">
    <w:pPr>
      <w:pStyle w:val="HeaderOdd"/>
    </w:pPr>
    <w:r w:rsidRPr="002F5F97">
      <w:rPr>
        <w:noProof/>
      </w:rPr>
      <w:drawing>
        <wp:anchor distT="0" distB="0" distL="114300" distR="114300" simplePos="0" relativeHeight="251658247" behindDoc="1" locked="0" layoutInCell="1" allowOverlap="1" wp14:anchorId="71471FA0" wp14:editId="3993AAE8">
          <wp:simplePos x="0" y="0"/>
          <wp:positionH relativeFrom="column">
            <wp:posOffset>-1080135</wp:posOffset>
          </wp:positionH>
          <wp:positionV relativeFrom="paragraph">
            <wp:posOffset>-450215</wp:posOffset>
          </wp:positionV>
          <wp:extent cx="7559998" cy="10689431"/>
          <wp:effectExtent l="0" t="0" r="3175" b="0"/>
          <wp:wrapNone/>
          <wp:docPr id="15764762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7624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8"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113A" w14:textId="77777777" w:rsidR="00131F9B" w:rsidRPr="002F5F97" w:rsidRDefault="00131F9B" w:rsidP="00D80C4D">
    <w:pPr>
      <w:pStyle w:val="HeaderWhite"/>
      <w:rPr>
        <w:noProof w:val="0"/>
      </w:rPr>
    </w:pPr>
    <w:r w:rsidRPr="002F5F97">
      <w:drawing>
        <wp:anchor distT="0" distB="0" distL="114300" distR="114300" simplePos="0" relativeHeight="251658242" behindDoc="1" locked="0" layoutInCell="1" allowOverlap="1" wp14:anchorId="225094C1" wp14:editId="543B04D7">
          <wp:simplePos x="0" y="0"/>
          <wp:positionH relativeFrom="column">
            <wp:posOffset>-1076960</wp:posOffset>
          </wp:positionH>
          <wp:positionV relativeFrom="paragraph">
            <wp:posOffset>-447675</wp:posOffset>
          </wp:positionV>
          <wp:extent cx="7560000" cy="10689857"/>
          <wp:effectExtent l="0" t="0" r="3175" b="0"/>
          <wp:wrapNone/>
          <wp:docPr id="133769206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08288"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857"/>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48505" w14:textId="166BC5C0" w:rsidR="006D630B" w:rsidRPr="002F5F97" w:rsidRDefault="00F01E50" w:rsidP="00A12F62">
    <w:pPr>
      <w:pStyle w:val="HeaderEven"/>
    </w:pPr>
    <w:r>
      <w:rPr>
        <w:noProof/>
      </w:rPr>
      <w:drawing>
        <wp:anchor distT="0" distB="0" distL="114300" distR="114300" simplePos="0" relativeHeight="251658253" behindDoc="1" locked="0" layoutInCell="1" allowOverlap="1" wp14:anchorId="34CAD1BC" wp14:editId="4D6BE716">
          <wp:simplePos x="0" y="0"/>
          <wp:positionH relativeFrom="margin">
            <wp:align>center</wp:align>
          </wp:positionH>
          <wp:positionV relativeFrom="margin">
            <wp:align>center</wp:align>
          </wp:positionV>
          <wp:extent cx="10688320" cy="7559040"/>
          <wp:effectExtent l="0" t="0" r="0" b="0"/>
          <wp:wrapNone/>
          <wp:docPr id="51627431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74315"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10688320" cy="7559040"/>
                  </a:xfrm>
                  <a:prstGeom prst="rect">
                    <a:avLst/>
                  </a:prstGeom>
                </pic:spPr>
              </pic:pic>
            </a:graphicData>
          </a:graphic>
          <wp14:sizeRelH relativeFrom="page">
            <wp14:pctWidth>0</wp14:pctWidth>
          </wp14:sizeRelH>
          <wp14:sizeRelV relativeFrom="page">
            <wp14:pctHeight>0</wp14:pctHeight>
          </wp14:sizeRelV>
        </wp:anchor>
      </w:drawing>
    </w:r>
    <w:r w:rsidR="006D630B" w:rsidRPr="002F5F9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7C1A76"/>
    <w:multiLevelType w:val="hybridMultilevel"/>
    <w:tmpl w:val="FAF88D2E"/>
    <w:lvl w:ilvl="0" w:tplc="D88AC8CE">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4" w15:restartNumberingAfterBreak="0">
    <w:nsid w:val="510D2021"/>
    <w:multiLevelType w:val="multilevel"/>
    <w:tmpl w:val="72F8140E"/>
    <w:numStyleLink w:val="OutlineList"/>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8"/>
  </w:num>
  <w:num w:numId="2" w16cid:durableId="863714490">
    <w:abstractNumId w:val="0"/>
  </w:num>
  <w:num w:numId="3" w16cid:durableId="881357727">
    <w:abstractNumId w:val="11"/>
  </w:num>
  <w:num w:numId="4" w16cid:durableId="1808820169">
    <w:abstractNumId w:val="2"/>
  </w:num>
  <w:num w:numId="5" w16cid:durableId="913198201">
    <w:abstractNumId w:val="3"/>
  </w:num>
  <w:num w:numId="6" w16cid:durableId="1070807618">
    <w:abstractNumId w:val="14"/>
  </w:num>
  <w:num w:numId="7" w16cid:durableId="1711345892">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5"/>
  </w:num>
  <w:num w:numId="9" w16cid:durableId="1891191367">
    <w:abstractNumId w:val="1"/>
  </w:num>
  <w:num w:numId="10" w16cid:durableId="1757553467">
    <w:abstractNumId w:val="7"/>
  </w:num>
  <w:num w:numId="11" w16cid:durableId="1843157924">
    <w:abstractNumId w:val="17"/>
  </w:num>
  <w:num w:numId="12" w16cid:durableId="125466350">
    <w:abstractNumId w:val="14"/>
  </w:num>
  <w:num w:numId="13" w16cid:durableId="877358860">
    <w:abstractNumId w:val="18"/>
  </w:num>
  <w:num w:numId="14" w16cid:durableId="395056194">
    <w:abstractNumId w:val="12"/>
  </w:num>
  <w:num w:numId="15" w16cid:durableId="720783455">
    <w:abstractNumId w:val="6"/>
  </w:num>
  <w:num w:numId="16" w16cid:durableId="1440561816">
    <w:abstractNumId w:val="15"/>
  </w:num>
  <w:num w:numId="17" w16cid:durableId="1944991471">
    <w:abstractNumId w:val="10"/>
  </w:num>
  <w:num w:numId="18" w16cid:durableId="1783451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3"/>
  </w:num>
  <w:num w:numId="20" w16cid:durableId="546528509">
    <w:abstractNumId w:val="9"/>
  </w:num>
  <w:num w:numId="21" w16cid:durableId="1847329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3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076"/>
    <w:rsid w:val="00000525"/>
    <w:rsid w:val="0000114B"/>
    <w:rsid w:val="00002024"/>
    <w:rsid w:val="00002103"/>
    <w:rsid w:val="00002772"/>
    <w:rsid w:val="0000289F"/>
    <w:rsid w:val="00002C5F"/>
    <w:rsid w:val="00002DCB"/>
    <w:rsid w:val="00003116"/>
    <w:rsid w:val="00003960"/>
    <w:rsid w:val="00003A3C"/>
    <w:rsid w:val="00003EDD"/>
    <w:rsid w:val="00004CA0"/>
    <w:rsid w:val="000054E9"/>
    <w:rsid w:val="00006018"/>
    <w:rsid w:val="000062C6"/>
    <w:rsid w:val="000062F6"/>
    <w:rsid w:val="000063A2"/>
    <w:rsid w:val="0000688B"/>
    <w:rsid w:val="000068F7"/>
    <w:rsid w:val="00006D16"/>
    <w:rsid w:val="00006D5D"/>
    <w:rsid w:val="00006E33"/>
    <w:rsid w:val="00006F64"/>
    <w:rsid w:val="0000736A"/>
    <w:rsid w:val="0000756A"/>
    <w:rsid w:val="00010157"/>
    <w:rsid w:val="00010415"/>
    <w:rsid w:val="0001045F"/>
    <w:rsid w:val="00010938"/>
    <w:rsid w:val="00010F05"/>
    <w:rsid w:val="000110BB"/>
    <w:rsid w:val="00011120"/>
    <w:rsid w:val="00011725"/>
    <w:rsid w:val="00011AF9"/>
    <w:rsid w:val="00011BDE"/>
    <w:rsid w:val="00011C68"/>
    <w:rsid w:val="0001224A"/>
    <w:rsid w:val="000124DB"/>
    <w:rsid w:val="0001295D"/>
    <w:rsid w:val="00012C62"/>
    <w:rsid w:val="00012C6A"/>
    <w:rsid w:val="000133BF"/>
    <w:rsid w:val="0001379A"/>
    <w:rsid w:val="0001396A"/>
    <w:rsid w:val="00013FDF"/>
    <w:rsid w:val="00014171"/>
    <w:rsid w:val="000141A3"/>
    <w:rsid w:val="00014406"/>
    <w:rsid w:val="000150FB"/>
    <w:rsid w:val="000151AF"/>
    <w:rsid w:val="0001538E"/>
    <w:rsid w:val="0001553E"/>
    <w:rsid w:val="000158FB"/>
    <w:rsid w:val="00015978"/>
    <w:rsid w:val="00015F17"/>
    <w:rsid w:val="0001634F"/>
    <w:rsid w:val="00016624"/>
    <w:rsid w:val="000169CA"/>
    <w:rsid w:val="00016F06"/>
    <w:rsid w:val="0001709A"/>
    <w:rsid w:val="000174B1"/>
    <w:rsid w:val="000175F4"/>
    <w:rsid w:val="00017D6E"/>
    <w:rsid w:val="00020517"/>
    <w:rsid w:val="0002056D"/>
    <w:rsid w:val="00021640"/>
    <w:rsid w:val="000216E1"/>
    <w:rsid w:val="000227EC"/>
    <w:rsid w:val="0002392F"/>
    <w:rsid w:val="0002398A"/>
    <w:rsid w:val="00023A0A"/>
    <w:rsid w:val="00024019"/>
    <w:rsid w:val="0002407C"/>
    <w:rsid w:val="000243A5"/>
    <w:rsid w:val="000243E4"/>
    <w:rsid w:val="0002467E"/>
    <w:rsid w:val="00024933"/>
    <w:rsid w:val="00024C12"/>
    <w:rsid w:val="0002544D"/>
    <w:rsid w:val="00025495"/>
    <w:rsid w:val="0002554A"/>
    <w:rsid w:val="00025778"/>
    <w:rsid w:val="00025B61"/>
    <w:rsid w:val="00025D74"/>
    <w:rsid w:val="00025DC3"/>
    <w:rsid w:val="00025F87"/>
    <w:rsid w:val="00026271"/>
    <w:rsid w:val="00026468"/>
    <w:rsid w:val="000264AF"/>
    <w:rsid w:val="000267F6"/>
    <w:rsid w:val="00026870"/>
    <w:rsid w:val="00026EFF"/>
    <w:rsid w:val="000277A0"/>
    <w:rsid w:val="00027E70"/>
    <w:rsid w:val="00030072"/>
    <w:rsid w:val="000302E6"/>
    <w:rsid w:val="000303BF"/>
    <w:rsid w:val="000303C8"/>
    <w:rsid w:val="000304D3"/>
    <w:rsid w:val="00030D1D"/>
    <w:rsid w:val="00030EB5"/>
    <w:rsid w:val="00031338"/>
    <w:rsid w:val="00031A24"/>
    <w:rsid w:val="00031B9B"/>
    <w:rsid w:val="0003200D"/>
    <w:rsid w:val="000324B6"/>
    <w:rsid w:val="00032A92"/>
    <w:rsid w:val="00032D32"/>
    <w:rsid w:val="000331AC"/>
    <w:rsid w:val="00033775"/>
    <w:rsid w:val="00033EA5"/>
    <w:rsid w:val="00033F25"/>
    <w:rsid w:val="00034219"/>
    <w:rsid w:val="000344B5"/>
    <w:rsid w:val="00034F25"/>
    <w:rsid w:val="0003507B"/>
    <w:rsid w:val="00035249"/>
    <w:rsid w:val="0003554D"/>
    <w:rsid w:val="00035764"/>
    <w:rsid w:val="00035AB1"/>
    <w:rsid w:val="00035B5B"/>
    <w:rsid w:val="00035F9A"/>
    <w:rsid w:val="00036273"/>
    <w:rsid w:val="00036626"/>
    <w:rsid w:val="00036639"/>
    <w:rsid w:val="000366D0"/>
    <w:rsid w:val="000369D7"/>
    <w:rsid w:val="00036DBD"/>
    <w:rsid w:val="0003727E"/>
    <w:rsid w:val="0003761E"/>
    <w:rsid w:val="00037701"/>
    <w:rsid w:val="00037817"/>
    <w:rsid w:val="00037A8C"/>
    <w:rsid w:val="00037AEB"/>
    <w:rsid w:val="00040288"/>
    <w:rsid w:val="0004028B"/>
    <w:rsid w:val="0004045F"/>
    <w:rsid w:val="00040567"/>
    <w:rsid w:val="00040BF6"/>
    <w:rsid w:val="00041161"/>
    <w:rsid w:val="000421F7"/>
    <w:rsid w:val="00042503"/>
    <w:rsid w:val="000426FD"/>
    <w:rsid w:val="0004274D"/>
    <w:rsid w:val="0004278D"/>
    <w:rsid w:val="00042A54"/>
    <w:rsid w:val="00042AD0"/>
    <w:rsid w:val="000430E5"/>
    <w:rsid w:val="00043348"/>
    <w:rsid w:val="0004374E"/>
    <w:rsid w:val="0004380B"/>
    <w:rsid w:val="0004399C"/>
    <w:rsid w:val="00043A54"/>
    <w:rsid w:val="00043D9E"/>
    <w:rsid w:val="00044031"/>
    <w:rsid w:val="00044074"/>
    <w:rsid w:val="000446DC"/>
    <w:rsid w:val="000447C2"/>
    <w:rsid w:val="0004480F"/>
    <w:rsid w:val="0004483F"/>
    <w:rsid w:val="00044A69"/>
    <w:rsid w:val="00044C85"/>
    <w:rsid w:val="000455A6"/>
    <w:rsid w:val="00045902"/>
    <w:rsid w:val="00045AE5"/>
    <w:rsid w:val="00045F00"/>
    <w:rsid w:val="00046174"/>
    <w:rsid w:val="0004628E"/>
    <w:rsid w:val="0004662B"/>
    <w:rsid w:val="000466E2"/>
    <w:rsid w:val="00046C29"/>
    <w:rsid w:val="00047303"/>
    <w:rsid w:val="0004739F"/>
    <w:rsid w:val="00047A6D"/>
    <w:rsid w:val="00047B4F"/>
    <w:rsid w:val="00047DAE"/>
    <w:rsid w:val="00047FD2"/>
    <w:rsid w:val="000500DE"/>
    <w:rsid w:val="0005012C"/>
    <w:rsid w:val="000509A3"/>
    <w:rsid w:val="00050FDE"/>
    <w:rsid w:val="000510BA"/>
    <w:rsid w:val="0005138B"/>
    <w:rsid w:val="00051517"/>
    <w:rsid w:val="00051537"/>
    <w:rsid w:val="0005183B"/>
    <w:rsid w:val="00051C04"/>
    <w:rsid w:val="000522B7"/>
    <w:rsid w:val="00052828"/>
    <w:rsid w:val="00052B8E"/>
    <w:rsid w:val="00052CBF"/>
    <w:rsid w:val="00052FDC"/>
    <w:rsid w:val="00053364"/>
    <w:rsid w:val="0005443A"/>
    <w:rsid w:val="00054DD3"/>
    <w:rsid w:val="00054F4E"/>
    <w:rsid w:val="00055174"/>
    <w:rsid w:val="00055760"/>
    <w:rsid w:val="00055779"/>
    <w:rsid w:val="0005578C"/>
    <w:rsid w:val="000558A5"/>
    <w:rsid w:val="00055A21"/>
    <w:rsid w:val="00055E72"/>
    <w:rsid w:val="00056075"/>
    <w:rsid w:val="000560D2"/>
    <w:rsid w:val="00056209"/>
    <w:rsid w:val="00056880"/>
    <w:rsid w:val="00056957"/>
    <w:rsid w:val="00056C83"/>
    <w:rsid w:val="00057482"/>
    <w:rsid w:val="00057912"/>
    <w:rsid w:val="00057DAF"/>
    <w:rsid w:val="00060122"/>
    <w:rsid w:val="00060490"/>
    <w:rsid w:val="00060734"/>
    <w:rsid w:val="00060769"/>
    <w:rsid w:val="00060D59"/>
    <w:rsid w:val="00060ED9"/>
    <w:rsid w:val="00061D4F"/>
    <w:rsid w:val="00061F0F"/>
    <w:rsid w:val="000622D7"/>
    <w:rsid w:val="000627FF"/>
    <w:rsid w:val="000628EC"/>
    <w:rsid w:val="00062C0F"/>
    <w:rsid w:val="00063643"/>
    <w:rsid w:val="00063C97"/>
    <w:rsid w:val="00063D02"/>
    <w:rsid w:val="00064388"/>
    <w:rsid w:val="00064B69"/>
    <w:rsid w:val="00064BAF"/>
    <w:rsid w:val="00064C06"/>
    <w:rsid w:val="00065390"/>
    <w:rsid w:val="000654AE"/>
    <w:rsid w:val="00065B38"/>
    <w:rsid w:val="00065B89"/>
    <w:rsid w:val="00066235"/>
    <w:rsid w:val="0006636F"/>
    <w:rsid w:val="000665FB"/>
    <w:rsid w:val="000667C0"/>
    <w:rsid w:val="000668E8"/>
    <w:rsid w:val="000675D1"/>
    <w:rsid w:val="0006763A"/>
    <w:rsid w:val="0006766A"/>
    <w:rsid w:val="0007049B"/>
    <w:rsid w:val="00070523"/>
    <w:rsid w:val="00070EEB"/>
    <w:rsid w:val="00070F9D"/>
    <w:rsid w:val="00071404"/>
    <w:rsid w:val="000715C0"/>
    <w:rsid w:val="0007182C"/>
    <w:rsid w:val="00071969"/>
    <w:rsid w:val="00071EF9"/>
    <w:rsid w:val="00071F15"/>
    <w:rsid w:val="00071FA1"/>
    <w:rsid w:val="00071FED"/>
    <w:rsid w:val="00072435"/>
    <w:rsid w:val="00072503"/>
    <w:rsid w:val="00072682"/>
    <w:rsid w:val="00073079"/>
    <w:rsid w:val="00073521"/>
    <w:rsid w:val="00073698"/>
    <w:rsid w:val="000737A4"/>
    <w:rsid w:val="00073AD7"/>
    <w:rsid w:val="00073C97"/>
    <w:rsid w:val="00073CD7"/>
    <w:rsid w:val="00073D5B"/>
    <w:rsid w:val="00073F9C"/>
    <w:rsid w:val="000748A0"/>
    <w:rsid w:val="000748C4"/>
    <w:rsid w:val="00074971"/>
    <w:rsid w:val="000758DF"/>
    <w:rsid w:val="00075FC4"/>
    <w:rsid w:val="00076120"/>
    <w:rsid w:val="00076D81"/>
    <w:rsid w:val="000775DE"/>
    <w:rsid w:val="00077BD9"/>
    <w:rsid w:val="00080459"/>
    <w:rsid w:val="00080617"/>
    <w:rsid w:val="00080898"/>
    <w:rsid w:val="00080D3A"/>
    <w:rsid w:val="000815E0"/>
    <w:rsid w:val="0008167A"/>
    <w:rsid w:val="00081879"/>
    <w:rsid w:val="00082667"/>
    <w:rsid w:val="0008329C"/>
    <w:rsid w:val="00083EF8"/>
    <w:rsid w:val="0008423A"/>
    <w:rsid w:val="0008469F"/>
    <w:rsid w:val="000846AC"/>
    <w:rsid w:val="0008477E"/>
    <w:rsid w:val="000847C3"/>
    <w:rsid w:val="00084CB5"/>
    <w:rsid w:val="00084F14"/>
    <w:rsid w:val="00084F48"/>
    <w:rsid w:val="00085262"/>
    <w:rsid w:val="000854D2"/>
    <w:rsid w:val="000858DE"/>
    <w:rsid w:val="00085D55"/>
    <w:rsid w:val="00086457"/>
    <w:rsid w:val="00086632"/>
    <w:rsid w:val="00086BF8"/>
    <w:rsid w:val="000873DF"/>
    <w:rsid w:val="0008772A"/>
    <w:rsid w:val="000878DB"/>
    <w:rsid w:val="00087B57"/>
    <w:rsid w:val="00087CDF"/>
    <w:rsid w:val="00087EE8"/>
    <w:rsid w:val="00087FAF"/>
    <w:rsid w:val="00090C7F"/>
    <w:rsid w:val="00090DF4"/>
    <w:rsid w:val="000910C1"/>
    <w:rsid w:val="0009135E"/>
    <w:rsid w:val="00091E1B"/>
    <w:rsid w:val="0009204A"/>
    <w:rsid w:val="00092089"/>
    <w:rsid w:val="000923CC"/>
    <w:rsid w:val="000928B8"/>
    <w:rsid w:val="00092E61"/>
    <w:rsid w:val="00092EED"/>
    <w:rsid w:val="00092F6F"/>
    <w:rsid w:val="0009304B"/>
    <w:rsid w:val="000932A3"/>
    <w:rsid w:val="00093580"/>
    <w:rsid w:val="000935C2"/>
    <w:rsid w:val="00093DB7"/>
    <w:rsid w:val="00094149"/>
    <w:rsid w:val="00094183"/>
    <w:rsid w:val="00094534"/>
    <w:rsid w:val="00094760"/>
    <w:rsid w:val="00094AC8"/>
    <w:rsid w:val="00094AD1"/>
    <w:rsid w:val="00094C65"/>
    <w:rsid w:val="000950B7"/>
    <w:rsid w:val="0009573B"/>
    <w:rsid w:val="000961AB"/>
    <w:rsid w:val="0009639D"/>
    <w:rsid w:val="00096781"/>
    <w:rsid w:val="00096C82"/>
    <w:rsid w:val="00096ED4"/>
    <w:rsid w:val="00096F36"/>
    <w:rsid w:val="00096F86"/>
    <w:rsid w:val="00096FA0"/>
    <w:rsid w:val="00097440"/>
    <w:rsid w:val="000976D8"/>
    <w:rsid w:val="0009795C"/>
    <w:rsid w:val="00097DFA"/>
    <w:rsid w:val="000A0688"/>
    <w:rsid w:val="000A0973"/>
    <w:rsid w:val="000A0CFE"/>
    <w:rsid w:val="000A0E35"/>
    <w:rsid w:val="000A19F7"/>
    <w:rsid w:val="000A1CAE"/>
    <w:rsid w:val="000A1D96"/>
    <w:rsid w:val="000A1F7A"/>
    <w:rsid w:val="000A22CD"/>
    <w:rsid w:val="000A29B1"/>
    <w:rsid w:val="000A2C03"/>
    <w:rsid w:val="000A2C91"/>
    <w:rsid w:val="000A3246"/>
    <w:rsid w:val="000A3497"/>
    <w:rsid w:val="000A3974"/>
    <w:rsid w:val="000A3E32"/>
    <w:rsid w:val="000A4079"/>
    <w:rsid w:val="000A5FC6"/>
    <w:rsid w:val="000A69FA"/>
    <w:rsid w:val="000A6A08"/>
    <w:rsid w:val="000A6CB0"/>
    <w:rsid w:val="000A6E2E"/>
    <w:rsid w:val="000A7366"/>
    <w:rsid w:val="000A7C98"/>
    <w:rsid w:val="000A7DB7"/>
    <w:rsid w:val="000A7DF9"/>
    <w:rsid w:val="000A7E46"/>
    <w:rsid w:val="000A7EDE"/>
    <w:rsid w:val="000B01B8"/>
    <w:rsid w:val="000B02DA"/>
    <w:rsid w:val="000B1177"/>
    <w:rsid w:val="000B11A4"/>
    <w:rsid w:val="000B18D4"/>
    <w:rsid w:val="000B1BBA"/>
    <w:rsid w:val="000B1BFA"/>
    <w:rsid w:val="000B2701"/>
    <w:rsid w:val="000B3204"/>
    <w:rsid w:val="000B348E"/>
    <w:rsid w:val="000B3566"/>
    <w:rsid w:val="000B3FA1"/>
    <w:rsid w:val="000B427C"/>
    <w:rsid w:val="000B45EF"/>
    <w:rsid w:val="000B4856"/>
    <w:rsid w:val="000B4C81"/>
    <w:rsid w:val="000B4EE6"/>
    <w:rsid w:val="000B4F3D"/>
    <w:rsid w:val="000B517E"/>
    <w:rsid w:val="000B5309"/>
    <w:rsid w:val="000B56EF"/>
    <w:rsid w:val="000B6083"/>
    <w:rsid w:val="000B6347"/>
    <w:rsid w:val="000B639D"/>
    <w:rsid w:val="000B69AA"/>
    <w:rsid w:val="000B7464"/>
    <w:rsid w:val="000B7BE9"/>
    <w:rsid w:val="000C0500"/>
    <w:rsid w:val="000C06D0"/>
    <w:rsid w:val="000C07BE"/>
    <w:rsid w:val="000C0E93"/>
    <w:rsid w:val="000C0F7A"/>
    <w:rsid w:val="000C13A1"/>
    <w:rsid w:val="000C1C57"/>
    <w:rsid w:val="000C1D4E"/>
    <w:rsid w:val="000C2038"/>
    <w:rsid w:val="000C24AA"/>
    <w:rsid w:val="000C24B7"/>
    <w:rsid w:val="000C287A"/>
    <w:rsid w:val="000C2AAB"/>
    <w:rsid w:val="000C2CEF"/>
    <w:rsid w:val="000C33DF"/>
    <w:rsid w:val="000C34C6"/>
    <w:rsid w:val="000C39FB"/>
    <w:rsid w:val="000C3AA1"/>
    <w:rsid w:val="000C3CCF"/>
    <w:rsid w:val="000C3D5E"/>
    <w:rsid w:val="000C3F00"/>
    <w:rsid w:val="000C4047"/>
    <w:rsid w:val="000C415F"/>
    <w:rsid w:val="000C4173"/>
    <w:rsid w:val="000C4475"/>
    <w:rsid w:val="000C4C9D"/>
    <w:rsid w:val="000C4E4C"/>
    <w:rsid w:val="000C544D"/>
    <w:rsid w:val="000C571D"/>
    <w:rsid w:val="000C58B2"/>
    <w:rsid w:val="000C5964"/>
    <w:rsid w:val="000C5CAA"/>
    <w:rsid w:val="000C5F2E"/>
    <w:rsid w:val="000C5F40"/>
    <w:rsid w:val="000C68E7"/>
    <w:rsid w:val="000C6B5B"/>
    <w:rsid w:val="000C7446"/>
    <w:rsid w:val="000C75B7"/>
    <w:rsid w:val="000C7A08"/>
    <w:rsid w:val="000D040C"/>
    <w:rsid w:val="000D068B"/>
    <w:rsid w:val="000D1048"/>
    <w:rsid w:val="000D1307"/>
    <w:rsid w:val="000D2720"/>
    <w:rsid w:val="000D27B2"/>
    <w:rsid w:val="000D29C7"/>
    <w:rsid w:val="000D2A5A"/>
    <w:rsid w:val="000D2D38"/>
    <w:rsid w:val="000D3812"/>
    <w:rsid w:val="000D39B8"/>
    <w:rsid w:val="000D3D14"/>
    <w:rsid w:val="000D3D85"/>
    <w:rsid w:val="000D52EC"/>
    <w:rsid w:val="000D5389"/>
    <w:rsid w:val="000D5750"/>
    <w:rsid w:val="000D5CF6"/>
    <w:rsid w:val="000D5E4C"/>
    <w:rsid w:val="000D6A9C"/>
    <w:rsid w:val="000D6B23"/>
    <w:rsid w:val="000D6D10"/>
    <w:rsid w:val="000D737F"/>
    <w:rsid w:val="000D73E1"/>
    <w:rsid w:val="000D7EB1"/>
    <w:rsid w:val="000E0090"/>
    <w:rsid w:val="000E0B74"/>
    <w:rsid w:val="000E0DA9"/>
    <w:rsid w:val="000E1077"/>
    <w:rsid w:val="000E12F5"/>
    <w:rsid w:val="000E1677"/>
    <w:rsid w:val="000E2256"/>
    <w:rsid w:val="000E25F8"/>
    <w:rsid w:val="000E329A"/>
    <w:rsid w:val="000E3892"/>
    <w:rsid w:val="000E3929"/>
    <w:rsid w:val="000E444F"/>
    <w:rsid w:val="000E44BC"/>
    <w:rsid w:val="000E506D"/>
    <w:rsid w:val="000E53F3"/>
    <w:rsid w:val="000E5569"/>
    <w:rsid w:val="000E6305"/>
    <w:rsid w:val="000E63C4"/>
    <w:rsid w:val="000E6E4F"/>
    <w:rsid w:val="000E6E88"/>
    <w:rsid w:val="000E786E"/>
    <w:rsid w:val="000E78C1"/>
    <w:rsid w:val="000E7901"/>
    <w:rsid w:val="000E79C9"/>
    <w:rsid w:val="000F02E8"/>
    <w:rsid w:val="000F0686"/>
    <w:rsid w:val="000F06FB"/>
    <w:rsid w:val="000F0DB6"/>
    <w:rsid w:val="000F18F3"/>
    <w:rsid w:val="000F1A47"/>
    <w:rsid w:val="000F1DC7"/>
    <w:rsid w:val="000F1FA8"/>
    <w:rsid w:val="000F2417"/>
    <w:rsid w:val="000F2548"/>
    <w:rsid w:val="000F278F"/>
    <w:rsid w:val="000F29EC"/>
    <w:rsid w:val="000F2D79"/>
    <w:rsid w:val="000F30B8"/>
    <w:rsid w:val="000F321A"/>
    <w:rsid w:val="000F3DF0"/>
    <w:rsid w:val="000F50F8"/>
    <w:rsid w:val="000F5197"/>
    <w:rsid w:val="000F5711"/>
    <w:rsid w:val="000F5803"/>
    <w:rsid w:val="000F5897"/>
    <w:rsid w:val="000F5A67"/>
    <w:rsid w:val="000F5BB4"/>
    <w:rsid w:val="000F603F"/>
    <w:rsid w:val="000F639D"/>
    <w:rsid w:val="000F6617"/>
    <w:rsid w:val="000F6C95"/>
    <w:rsid w:val="000F7089"/>
    <w:rsid w:val="000F72F2"/>
    <w:rsid w:val="000F773A"/>
    <w:rsid w:val="000F79A4"/>
    <w:rsid w:val="001001DA"/>
    <w:rsid w:val="001008E6"/>
    <w:rsid w:val="00100BF6"/>
    <w:rsid w:val="00100F48"/>
    <w:rsid w:val="001010F2"/>
    <w:rsid w:val="00101359"/>
    <w:rsid w:val="001013CF"/>
    <w:rsid w:val="00101528"/>
    <w:rsid w:val="00101859"/>
    <w:rsid w:val="00101D9C"/>
    <w:rsid w:val="00102305"/>
    <w:rsid w:val="0010257A"/>
    <w:rsid w:val="001027D3"/>
    <w:rsid w:val="00102A85"/>
    <w:rsid w:val="00102F8A"/>
    <w:rsid w:val="00103352"/>
    <w:rsid w:val="0010343E"/>
    <w:rsid w:val="001034D7"/>
    <w:rsid w:val="00104253"/>
    <w:rsid w:val="00104606"/>
    <w:rsid w:val="0010498C"/>
    <w:rsid w:val="0010506C"/>
    <w:rsid w:val="00106013"/>
    <w:rsid w:val="001062E2"/>
    <w:rsid w:val="001063E4"/>
    <w:rsid w:val="00106A73"/>
    <w:rsid w:val="00106EF7"/>
    <w:rsid w:val="00106FB0"/>
    <w:rsid w:val="00107865"/>
    <w:rsid w:val="001108B8"/>
    <w:rsid w:val="00110F05"/>
    <w:rsid w:val="00111405"/>
    <w:rsid w:val="00112C21"/>
    <w:rsid w:val="001130CB"/>
    <w:rsid w:val="0011333B"/>
    <w:rsid w:val="00113AC7"/>
    <w:rsid w:val="00114030"/>
    <w:rsid w:val="00114AD7"/>
    <w:rsid w:val="00114EB1"/>
    <w:rsid w:val="001155F0"/>
    <w:rsid w:val="0011571C"/>
    <w:rsid w:val="0011587D"/>
    <w:rsid w:val="00116C46"/>
    <w:rsid w:val="00117229"/>
    <w:rsid w:val="00117575"/>
    <w:rsid w:val="00117609"/>
    <w:rsid w:val="00117EC9"/>
    <w:rsid w:val="00120587"/>
    <w:rsid w:val="001211AE"/>
    <w:rsid w:val="00121C6A"/>
    <w:rsid w:val="00121E2A"/>
    <w:rsid w:val="00121F75"/>
    <w:rsid w:val="001221E9"/>
    <w:rsid w:val="00122205"/>
    <w:rsid w:val="001222DE"/>
    <w:rsid w:val="00122BCF"/>
    <w:rsid w:val="00122C8B"/>
    <w:rsid w:val="00122E1D"/>
    <w:rsid w:val="00123116"/>
    <w:rsid w:val="001233EC"/>
    <w:rsid w:val="001238F9"/>
    <w:rsid w:val="00123B82"/>
    <w:rsid w:val="00123E27"/>
    <w:rsid w:val="00123FC2"/>
    <w:rsid w:val="00124120"/>
    <w:rsid w:val="00124BA6"/>
    <w:rsid w:val="00125423"/>
    <w:rsid w:val="001256CA"/>
    <w:rsid w:val="00125853"/>
    <w:rsid w:val="001258A6"/>
    <w:rsid w:val="0012609E"/>
    <w:rsid w:val="0012619D"/>
    <w:rsid w:val="0012782C"/>
    <w:rsid w:val="00127F3D"/>
    <w:rsid w:val="00130774"/>
    <w:rsid w:val="00130B77"/>
    <w:rsid w:val="001318FE"/>
    <w:rsid w:val="00131DC3"/>
    <w:rsid w:val="00131F9B"/>
    <w:rsid w:val="0013244A"/>
    <w:rsid w:val="001325F8"/>
    <w:rsid w:val="00132C98"/>
    <w:rsid w:val="00132CC8"/>
    <w:rsid w:val="001330FC"/>
    <w:rsid w:val="0013317B"/>
    <w:rsid w:val="00133559"/>
    <w:rsid w:val="00133BB0"/>
    <w:rsid w:val="00134007"/>
    <w:rsid w:val="0013426F"/>
    <w:rsid w:val="00134651"/>
    <w:rsid w:val="0013469A"/>
    <w:rsid w:val="00134A80"/>
    <w:rsid w:val="00134BAB"/>
    <w:rsid w:val="001350D6"/>
    <w:rsid w:val="00135661"/>
    <w:rsid w:val="00135916"/>
    <w:rsid w:val="00135B58"/>
    <w:rsid w:val="00135E4C"/>
    <w:rsid w:val="00136F8E"/>
    <w:rsid w:val="001372D5"/>
    <w:rsid w:val="001373F5"/>
    <w:rsid w:val="00137416"/>
    <w:rsid w:val="00137705"/>
    <w:rsid w:val="00137B99"/>
    <w:rsid w:val="00137D84"/>
    <w:rsid w:val="0014003A"/>
    <w:rsid w:val="00140DFB"/>
    <w:rsid w:val="00140E47"/>
    <w:rsid w:val="00140F45"/>
    <w:rsid w:val="0014121B"/>
    <w:rsid w:val="00141493"/>
    <w:rsid w:val="001414AC"/>
    <w:rsid w:val="00141564"/>
    <w:rsid w:val="00141DC0"/>
    <w:rsid w:val="001420B5"/>
    <w:rsid w:val="0014220E"/>
    <w:rsid w:val="00142239"/>
    <w:rsid w:val="00142383"/>
    <w:rsid w:val="001425AD"/>
    <w:rsid w:val="001425BF"/>
    <w:rsid w:val="001428D1"/>
    <w:rsid w:val="00143053"/>
    <w:rsid w:val="00143290"/>
    <w:rsid w:val="00143509"/>
    <w:rsid w:val="0014392F"/>
    <w:rsid w:val="00143D2E"/>
    <w:rsid w:val="001446D6"/>
    <w:rsid w:val="001447AB"/>
    <w:rsid w:val="001448D5"/>
    <w:rsid w:val="00144B09"/>
    <w:rsid w:val="001452EE"/>
    <w:rsid w:val="001453BA"/>
    <w:rsid w:val="00146002"/>
    <w:rsid w:val="001463B0"/>
    <w:rsid w:val="0014677A"/>
    <w:rsid w:val="0014689E"/>
    <w:rsid w:val="0014699A"/>
    <w:rsid w:val="00146DEC"/>
    <w:rsid w:val="001474B6"/>
    <w:rsid w:val="001479E7"/>
    <w:rsid w:val="00147E89"/>
    <w:rsid w:val="00150666"/>
    <w:rsid w:val="0015108D"/>
    <w:rsid w:val="0015147F"/>
    <w:rsid w:val="001515D7"/>
    <w:rsid w:val="00151644"/>
    <w:rsid w:val="00151813"/>
    <w:rsid w:val="0015197B"/>
    <w:rsid w:val="00152111"/>
    <w:rsid w:val="00152587"/>
    <w:rsid w:val="00152D2B"/>
    <w:rsid w:val="00153674"/>
    <w:rsid w:val="00153CD7"/>
    <w:rsid w:val="00154486"/>
    <w:rsid w:val="00154A91"/>
    <w:rsid w:val="00155138"/>
    <w:rsid w:val="00155448"/>
    <w:rsid w:val="00155540"/>
    <w:rsid w:val="00155AD9"/>
    <w:rsid w:val="00156288"/>
    <w:rsid w:val="001573E1"/>
    <w:rsid w:val="001574C0"/>
    <w:rsid w:val="001575A4"/>
    <w:rsid w:val="00157A29"/>
    <w:rsid w:val="00157A4D"/>
    <w:rsid w:val="00157F68"/>
    <w:rsid w:val="00160143"/>
    <w:rsid w:val="001606CF"/>
    <w:rsid w:val="00160C42"/>
    <w:rsid w:val="00160F24"/>
    <w:rsid w:val="0016128D"/>
    <w:rsid w:val="001617D8"/>
    <w:rsid w:val="00161D73"/>
    <w:rsid w:val="00161D8F"/>
    <w:rsid w:val="00161DCB"/>
    <w:rsid w:val="00161FDC"/>
    <w:rsid w:val="00162119"/>
    <w:rsid w:val="001625AB"/>
    <w:rsid w:val="001625F1"/>
    <w:rsid w:val="00163005"/>
    <w:rsid w:val="0016358E"/>
    <w:rsid w:val="00163AFF"/>
    <w:rsid w:val="00164408"/>
    <w:rsid w:val="001647C4"/>
    <w:rsid w:val="00164ACB"/>
    <w:rsid w:val="00164AE0"/>
    <w:rsid w:val="00164EF8"/>
    <w:rsid w:val="001651DF"/>
    <w:rsid w:val="0016522A"/>
    <w:rsid w:val="00165311"/>
    <w:rsid w:val="00165C6D"/>
    <w:rsid w:val="00165D4B"/>
    <w:rsid w:val="001667BD"/>
    <w:rsid w:val="00166FDB"/>
    <w:rsid w:val="001675C6"/>
    <w:rsid w:val="00170204"/>
    <w:rsid w:val="001707C1"/>
    <w:rsid w:val="0017089D"/>
    <w:rsid w:val="00170C07"/>
    <w:rsid w:val="00170E23"/>
    <w:rsid w:val="00170F61"/>
    <w:rsid w:val="00171012"/>
    <w:rsid w:val="001711EB"/>
    <w:rsid w:val="00171B12"/>
    <w:rsid w:val="00172640"/>
    <w:rsid w:val="00172641"/>
    <w:rsid w:val="00172A79"/>
    <w:rsid w:val="0017304E"/>
    <w:rsid w:val="001734D0"/>
    <w:rsid w:val="00174468"/>
    <w:rsid w:val="00175154"/>
    <w:rsid w:val="0017519E"/>
    <w:rsid w:val="001753A2"/>
    <w:rsid w:val="00175681"/>
    <w:rsid w:val="001766E3"/>
    <w:rsid w:val="00176CC7"/>
    <w:rsid w:val="00177CA0"/>
    <w:rsid w:val="00180AA8"/>
    <w:rsid w:val="00180EF0"/>
    <w:rsid w:val="00181127"/>
    <w:rsid w:val="0018114C"/>
    <w:rsid w:val="001812E9"/>
    <w:rsid w:val="00181407"/>
    <w:rsid w:val="00181C62"/>
    <w:rsid w:val="00181FDB"/>
    <w:rsid w:val="00182021"/>
    <w:rsid w:val="0018213D"/>
    <w:rsid w:val="00182940"/>
    <w:rsid w:val="001832CC"/>
    <w:rsid w:val="0018417F"/>
    <w:rsid w:val="0018440B"/>
    <w:rsid w:val="00184AAC"/>
    <w:rsid w:val="0018500A"/>
    <w:rsid w:val="0018503D"/>
    <w:rsid w:val="001850F0"/>
    <w:rsid w:val="0018561A"/>
    <w:rsid w:val="001856B9"/>
    <w:rsid w:val="0018605F"/>
    <w:rsid w:val="001861BD"/>
    <w:rsid w:val="001864AB"/>
    <w:rsid w:val="00186B4D"/>
    <w:rsid w:val="00187187"/>
    <w:rsid w:val="00190722"/>
    <w:rsid w:val="0019081C"/>
    <w:rsid w:val="00190A54"/>
    <w:rsid w:val="00190D53"/>
    <w:rsid w:val="00190EA7"/>
    <w:rsid w:val="0019101A"/>
    <w:rsid w:val="00192190"/>
    <w:rsid w:val="001922B8"/>
    <w:rsid w:val="00192954"/>
    <w:rsid w:val="00192A13"/>
    <w:rsid w:val="00192AB3"/>
    <w:rsid w:val="00192BD7"/>
    <w:rsid w:val="001934CE"/>
    <w:rsid w:val="00193BB0"/>
    <w:rsid w:val="0019451E"/>
    <w:rsid w:val="00194546"/>
    <w:rsid w:val="00194A91"/>
    <w:rsid w:val="00194E78"/>
    <w:rsid w:val="0019512C"/>
    <w:rsid w:val="0019528A"/>
    <w:rsid w:val="0019541B"/>
    <w:rsid w:val="001955B6"/>
    <w:rsid w:val="00195B6E"/>
    <w:rsid w:val="0019624F"/>
    <w:rsid w:val="001968FF"/>
    <w:rsid w:val="00196A34"/>
    <w:rsid w:val="001972D2"/>
    <w:rsid w:val="001A04C3"/>
    <w:rsid w:val="001A0AAC"/>
    <w:rsid w:val="001A10AF"/>
    <w:rsid w:val="001A1A82"/>
    <w:rsid w:val="001A1DF7"/>
    <w:rsid w:val="001A21DA"/>
    <w:rsid w:val="001A250A"/>
    <w:rsid w:val="001A2583"/>
    <w:rsid w:val="001A34C4"/>
    <w:rsid w:val="001A38F1"/>
    <w:rsid w:val="001A3952"/>
    <w:rsid w:val="001A3D15"/>
    <w:rsid w:val="001A40DE"/>
    <w:rsid w:val="001A4DE0"/>
    <w:rsid w:val="001A4E91"/>
    <w:rsid w:val="001A563B"/>
    <w:rsid w:val="001A5C3A"/>
    <w:rsid w:val="001A5D0B"/>
    <w:rsid w:val="001A5ED2"/>
    <w:rsid w:val="001A5FA4"/>
    <w:rsid w:val="001A6424"/>
    <w:rsid w:val="001A6BAC"/>
    <w:rsid w:val="001A6BDC"/>
    <w:rsid w:val="001A6EEF"/>
    <w:rsid w:val="001A78BE"/>
    <w:rsid w:val="001A79AD"/>
    <w:rsid w:val="001A7CBA"/>
    <w:rsid w:val="001A7E33"/>
    <w:rsid w:val="001A7F86"/>
    <w:rsid w:val="001B032F"/>
    <w:rsid w:val="001B091A"/>
    <w:rsid w:val="001B097C"/>
    <w:rsid w:val="001B0E1E"/>
    <w:rsid w:val="001B0F10"/>
    <w:rsid w:val="001B0F79"/>
    <w:rsid w:val="001B1447"/>
    <w:rsid w:val="001B15AB"/>
    <w:rsid w:val="001B165D"/>
    <w:rsid w:val="001B16DC"/>
    <w:rsid w:val="001B17D3"/>
    <w:rsid w:val="001B18F3"/>
    <w:rsid w:val="001B1983"/>
    <w:rsid w:val="001B1BE4"/>
    <w:rsid w:val="001B1F02"/>
    <w:rsid w:val="001B1F9A"/>
    <w:rsid w:val="001B2B36"/>
    <w:rsid w:val="001B2B79"/>
    <w:rsid w:val="001B2D15"/>
    <w:rsid w:val="001B38DF"/>
    <w:rsid w:val="001B3CAD"/>
    <w:rsid w:val="001B3FC1"/>
    <w:rsid w:val="001B43FE"/>
    <w:rsid w:val="001B452A"/>
    <w:rsid w:val="001B4D30"/>
    <w:rsid w:val="001B4D38"/>
    <w:rsid w:val="001B5056"/>
    <w:rsid w:val="001B51A2"/>
    <w:rsid w:val="001B657A"/>
    <w:rsid w:val="001B6BD3"/>
    <w:rsid w:val="001B6C8C"/>
    <w:rsid w:val="001C184E"/>
    <w:rsid w:val="001C1C81"/>
    <w:rsid w:val="001C2169"/>
    <w:rsid w:val="001C241D"/>
    <w:rsid w:val="001C28CE"/>
    <w:rsid w:val="001C2DE6"/>
    <w:rsid w:val="001C358D"/>
    <w:rsid w:val="001C383C"/>
    <w:rsid w:val="001C3F5F"/>
    <w:rsid w:val="001C44A7"/>
    <w:rsid w:val="001C4B62"/>
    <w:rsid w:val="001C4E3E"/>
    <w:rsid w:val="001C4F6D"/>
    <w:rsid w:val="001C5434"/>
    <w:rsid w:val="001C5458"/>
    <w:rsid w:val="001C54C8"/>
    <w:rsid w:val="001C5B5D"/>
    <w:rsid w:val="001C7384"/>
    <w:rsid w:val="001C79DC"/>
    <w:rsid w:val="001D12FF"/>
    <w:rsid w:val="001D1D1C"/>
    <w:rsid w:val="001D21DF"/>
    <w:rsid w:val="001D22AF"/>
    <w:rsid w:val="001D250E"/>
    <w:rsid w:val="001D2823"/>
    <w:rsid w:val="001D286A"/>
    <w:rsid w:val="001D2AEB"/>
    <w:rsid w:val="001D2D17"/>
    <w:rsid w:val="001D3AFE"/>
    <w:rsid w:val="001D3C8A"/>
    <w:rsid w:val="001D41E0"/>
    <w:rsid w:val="001D4583"/>
    <w:rsid w:val="001D47EA"/>
    <w:rsid w:val="001D49E4"/>
    <w:rsid w:val="001D4C55"/>
    <w:rsid w:val="001D4D9E"/>
    <w:rsid w:val="001D4F41"/>
    <w:rsid w:val="001D5360"/>
    <w:rsid w:val="001D5682"/>
    <w:rsid w:val="001D61A8"/>
    <w:rsid w:val="001D61CB"/>
    <w:rsid w:val="001D6417"/>
    <w:rsid w:val="001D6857"/>
    <w:rsid w:val="001D6946"/>
    <w:rsid w:val="001D707E"/>
    <w:rsid w:val="001D70A5"/>
    <w:rsid w:val="001D7ACC"/>
    <w:rsid w:val="001E049F"/>
    <w:rsid w:val="001E069F"/>
    <w:rsid w:val="001E078F"/>
    <w:rsid w:val="001E0B73"/>
    <w:rsid w:val="001E0CDB"/>
    <w:rsid w:val="001E0F38"/>
    <w:rsid w:val="001E1936"/>
    <w:rsid w:val="001E1BEC"/>
    <w:rsid w:val="001E1C2C"/>
    <w:rsid w:val="001E24AB"/>
    <w:rsid w:val="001E2EAC"/>
    <w:rsid w:val="001E4183"/>
    <w:rsid w:val="001E472C"/>
    <w:rsid w:val="001E47FA"/>
    <w:rsid w:val="001E4AC0"/>
    <w:rsid w:val="001E4C4E"/>
    <w:rsid w:val="001E502D"/>
    <w:rsid w:val="001E586C"/>
    <w:rsid w:val="001E59DF"/>
    <w:rsid w:val="001E5C01"/>
    <w:rsid w:val="001E5F58"/>
    <w:rsid w:val="001E6115"/>
    <w:rsid w:val="001E6585"/>
    <w:rsid w:val="001E6E80"/>
    <w:rsid w:val="001E6F49"/>
    <w:rsid w:val="001E7264"/>
    <w:rsid w:val="001E77BC"/>
    <w:rsid w:val="001F04F3"/>
    <w:rsid w:val="001F0678"/>
    <w:rsid w:val="001F0BE6"/>
    <w:rsid w:val="001F1338"/>
    <w:rsid w:val="001F1AAB"/>
    <w:rsid w:val="001F1B27"/>
    <w:rsid w:val="001F1DE7"/>
    <w:rsid w:val="001F2735"/>
    <w:rsid w:val="001F2DBD"/>
    <w:rsid w:val="001F32E6"/>
    <w:rsid w:val="001F3338"/>
    <w:rsid w:val="001F3582"/>
    <w:rsid w:val="001F35B8"/>
    <w:rsid w:val="001F37DC"/>
    <w:rsid w:val="001F433C"/>
    <w:rsid w:val="001F478E"/>
    <w:rsid w:val="001F4C38"/>
    <w:rsid w:val="001F4C66"/>
    <w:rsid w:val="001F55F0"/>
    <w:rsid w:val="001F5A9E"/>
    <w:rsid w:val="001F5F6A"/>
    <w:rsid w:val="001F5FF9"/>
    <w:rsid w:val="001F62D4"/>
    <w:rsid w:val="001F6717"/>
    <w:rsid w:val="001F6B55"/>
    <w:rsid w:val="001F6C22"/>
    <w:rsid w:val="001F79BA"/>
    <w:rsid w:val="001F79EE"/>
    <w:rsid w:val="001F7A1F"/>
    <w:rsid w:val="001F7B98"/>
    <w:rsid w:val="00200307"/>
    <w:rsid w:val="00200A5D"/>
    <w:rsid w:val="00200B4F"/>
    <w:rsid w:val="00200CC1"/>
    <w:rsid w:val="0020108F"/>
    <w:rsid w:val="002021AA"/>
    <w:rsid w:val="002024B2"/>
    <w:rsid w:val="00202B1B"/>
    <w:rsid w:val="00203588"/>
    <w:rsid w:val="0020403B"/>
    <w:rsid w:val="0020412C"/>
    <w:rsid w:val="002049FD"/>
    <w:rsid w:val="00204B69"/>
    <w:rsid w:val="002057DE"/>
    <w:rsid w:val="00205885"/>
    <w:rsid w:val="00205B52"/>
    <w:rsid w:val="00205DD9"/>
    <w:rsid w:val="00205F0F"/>
    <w:rsid w:val="00205FA8"/>
    <w:rsid w:val="002064FB"/>
    <w:rsid w:val="00206726"/>
    <w:rsid w:val="0020695A"/>
    <w:rsid w:val="00206B66"/>
    <w:rsid w:val="00207871"/>
    <w:rsid w:val="00210132"/>
    <w:rsid w:val="00210443"/>
    <w:rsid w:val="00210484"/>
    <w:rsid w:val="002105FB"/>
    <w:rsid w:val="00211298"/>
    <w:rsid w:val="00211814"/>
    <w:rsid w:val="00211DB1"/>
    <w:rsid w:val="00212490"/>
    <w:rsid w:val="002126BA"/>
    <w:rsid w:val="00212A02"/>
    <w:rsid w:val="00212A3B"/>
    <w:rsid w:val="00213018"/>
    <w:rsid w:val="0021309D"/>
    <w:rsid w:val="0021355A"/>
    <w:rsid w:val="00213D92"/>
    <w:rsid w:val="002157C7"/>
    <w:rsid w:val="00215BFC"/>
    <w:rsid w:val="00216984"/>
    <w:rsid w:val="00216B8A"/>
    <w:rsid w:val="00216D4E"/>
    <w:rsid w:val="00216F3E"/>
    <w:rsid w:val="00216FBF"/>
    <w:rsid w:val="002172D7"/>
    <w:rsid w:val="0021732B"/>
    <w:rsid w:val="00217C6E"/>
    <w:rsid w:val="00217D02"/>
    <w:rsid w:val="00217E06"/>
    <w:rsid w:val="00217E3E"/>
    <w:rsid w:val="00217E5B"/>
    <w:rsid w:val="002207FA"/>
    <w:rsid w:val="002208B7"/>
    <w:rsid w:val="00220942"/>
    <w:rsid w:val="00221945"/>
    <w:rsid w:val="002219B4"/>
    <w:rsid w:val="00221EC0"/>
    <w:rsid w:val="002225D2"/>
    <w:rsid w:val="002226B5"/>
    <w:rsid w:val="00222774"/>
    <w:rsid w:val="00222862"/>
    <w:rsid w:val="00222996"/>
    <w:rsid w:val="00222A47"/>
    <w:rsid w:val="00222D83"/>
    <w:rsid w:val="0022355F"/>
    <w:rsid w:val="002235D7"/>
    <w:rsid w:val="00223A71"/>
    <w:rsid w:val="00223DEE"/>
    <w:rsid w:val="00223F27"/>
    <w:rsid w:val="002241FC"/>
    <w:rsid w:val="002243F9"/>
    <w:rsid w:val="0022450D"/>
    <w:rsid w:val="00224BA0"/>
    <w:rsid w:val="002254BA"/>
    <w:rsid w:val="0022570A"/>
    <w:rsid w:val="00225798"/>
    <w:rsid w:val="002258B9"/>
    <w:rsid w:val="00225AE6"/>
    <w:rsid w:val="0022606C"/>
    <w:rsid w:val="002269B7"/>
    <w:rsid w:val="00226F2C"/>
    <w:rsid w:val="00227004"/>
    <w:rsid w:val="0022742A"/>
    <w:rsid w:val="00227518"/>
    <w:rsid w:val="0022751A"/>
    <w:rsid w:val="00227C54"/>
    <w:rsid w:val="00227CF4"/>
    <w:rsid w:val="00227F31"/>
    <w:rsid w:val="002300B2"/>
    <w:rsid w:val="002308BD"/>
    <w:rsid w:val="00230E01"/>
    <w:rsid w:val="00230E60"/>
    <w:rsid w:val="00230F11"/>
    <w:rsid w:val="00231049"/>
    <w:rsid w:val="002314D2"/>
    <w:rsid w:val="00231BAF"/>
    <w:rsid w:val="00231EAD"/>
    <w:rsid w:val="002320C2"/>
    <w:rsid w:val="002329DB"/>
    <w:rsid w:val="0023305C"/>
    <w:rsid w:val="00233087"/>
    <w:rsid w:val="00233A05"/>
    <w:rsid w:val="00233C54"/>
    <w:rsid w:val="0023442B"/>
    <w:rsid w:val="00235233"/>
    <w:rsid w:val="0023536C"/>
    <w:rsid w:val="00235435"/>
    <w:rsid w:val="002355D0"/>
    <w:rsid w:val="0023602C"/>
    <w:rsid w:val="00236340"/>
    <w:rsid w:val="00236C7D"/>
    <w:rsid w:val="00236DDD"/>
    <w:rsid w:val="00237436"/>
    <w:rsid w:val="00237CF7"/>
    <w:rsid w:val="00240368"/>
    <w:rsid w:val="00240F34"/>
    <w:rsid w:val="002410D3"/>
    <w:rsid w:val="0024122F"/>
    <w:rsid w:val="002413D6"/>
    <w:rsid w:val="00241881"/>
    <w:rsid w:val="00241898"/>
    <w:rsid w:val="0024191D"/>
    <w:rsid w:val="0024243F"/>
    <w:rsid w:val="0024294C"/>
    <w:rsid w:val="00242BBA"/>
    <w:rsid w:val="00242D28"/>
    <w:rsid w:val="00242E45"/>
    <w:rsid w:val="0024383C"/>
    <w:rsid w:val="00244077"/>
    <w:rsid w:val="002444E9"/>
    <w:rsid w:val="002449BC"/>
    <w:rsid w:val="00244BA6"/>
    <w:rsid w:val="002452E1"/>
    <w:rsid w:val="002456E5"/>
    <w:rsid w:val="00246283"/>
    <w:rsid w:val="002465F9"/>
    <w:rsid w:val="002468D1"/>
    <w:rsid w:val="00246A08"/>
    <w:rsid w:val="00246A51"/>
    <w:rsid w:val="00246F7E"/>
    <w:rsid w:val="00247B5E"/>
    <w:rsid w:val="00247BAC"/>
    <w:rsid w:val="00247EE6"/>
    <w:rsid w:val="002502B1"/>
    <w:rsid w:val="00250423"/>
    <w:rsid w:val="00250620"/>
    <w:rsid w:val="00250F34"/>
    <w:rsid w:val="00251382"/>
    <w:rsid w:val="00251507"/>
    <w:rsid w:val="00251674"/>
    <w:rsid w:val="00251BB1"/>
    <w:rsid w:val="00251CF7"/>
    <w:rsid w:val="00251D2C"/>
    <w:rsid w:val="002525F6"/>
    <w:rsid w:val="002526BB"/>
    <w:rsid w:val="00252723"/>
    <w:rsid w:val="002532EE"/>
    <w:rsid w:val="00253C27"/>
    <w:rsid w:val="00253CD9"/>
    <w:rsid w:val="00253CFC"/>
    <w:rsid w:val="00254075"/>
    <w:rsid w:val="00254315"/>
    <w:rsid w:val="0025469A"/>
    <w:rsid w:val="00254D72"/>
    <w:rsid w:val="00254DAB"/>
    <w:rsid w:val="00255086"/>
    <w:rsid w:val="002550D4"/>
    <w:rsid w:val="0025584F"/>
    <w:rsid w:val="00255D66"/>
    <w:rsid w:val="00256086"/>
    <w:rsid w:val="002561B9"/>
    <w:rsid w:val="00256228"/>
    <w:rsid w:val="0025652F"/>
    <w:rsid w:val="00256B1E"/>
    <w:rsid w:val="0025792B"/>
    <w:rsid w:val="00257C47"/>
    <w:rsid w:val="002600B9"/>
    <w:rsid w:val="00260287"/>
    <w:rsid w:val="002603BE"/>
    <w:rsid w:val="002604F6"/>
    <w:rsid w:val="00260826"/>
    <w:rsid w:val="0026089A"/>
    <w:rsid w:val="00260ABA"/>
    <w:rsid w:val="00260D69"/>
    <w:rsid w:val="00260E00"/>
    <w:rsid w:val="00261C15"/>
    <w:rsid w:val="00261EB9"/>
    <w:rsid w:val="0026201E"/>
    <w:rsid w:val="00262020"/>
    <w:rsid w:val="002625EA"/>
    <w:rsid w:val="0026267F"/>
    <w:rsid w:val="002629D9"/>
    <w:rsid w:val="00263008"/>
    <w:rsid w:val="0026327A"/>
    <w:rsid w:val="002634F0"/>
    <w:rsid w:val="00263B29"/>
    <w:rsid w:val="00263B6C"/>
    <w:rsid w:val="00263DEF"/>
    <w:rsid w:val="00263E44"/>
    <w:rsid w:val="00263FBB"/>
    <w:rsid w:val="0026531E"/>
    <w:rsid w:val="00265451"/>
    <w:rsid w:val="00265701"/>
    <w:rsid w:val="00265C8B"/>
    <w:rsid w:val="00265F87"/>
    <w:rsid w:val="0026605D"/>
    <w:rsid w:val="0026623F"/>
    <w:rsid w:val="00266820"/>
    <w:rsid w:val="00266CD1"/>
    <w:rsid w:val="00266D0F"/>
    <w:rsid w:val="00267270"/>
    <w:rsid w:val="0026738A"/>
    <w:rsid w:val="0026761B"/>
    <w:rsid w:val="002707C2"/>
    <w:rsid w:val="00270B70"/>
    <w:rsid w:val="00270BB9"/>
    <w:rsid w:val="002710BE"/>
    <w:rsid w:val="00271635"/>
    <w:rsid w:val="002717BF"/>
    <w:rsid w:val="002719DD"/>
    <w:rsid w:val="00271B55"/>
    <w:rsid w:val="002724B2"/>
    <w:rsid w:val="00272784"/>
    <w:rsid w:val="00272939"/>
    <w:rsid w:val="00272FEE"/>
    <w:rsid w:val="0027359C"/>
    <w:rsid w:val="002736C2"/>
    <w:rsid w:val="00273850"/>
    <w:rsid w:val="002752DD"/>
    <w:rsid w:val="0027590B"/>
    <w:rsid w:val="002762B0"/>
    <w:rsid w:val="00276365"/>
    <w:rsid w:val="00276845"/>
    <w:rsid w:val="00276972"/>
    <w:rsid w:val="00276AAC"/>
    <w:rsid w:val="00276D17"/>
    <w:rsid w:val="00276EA2"/>
    <w:rsid w:val="00277394"/>
    <w:rsid w:val="00277758"/>
    <w:rsid w:val="00277B5F"/>
    <w:rsid w:val="00277B79"/>
    <w:rsid w:val="00277D5F"/>
    <w:rsid w:val="00277FB0"/>
    <w:rsid w:val="002804AF"/>
    <w:rsid w:val="00280A54"/>
    <w:rsid w:val="00280C02"/>
    <w:rsid w:val="00281C74"/>
    <w:rsid w:val="00281C8E"/>
    <w:rsid w:val="00282893"/>
    <w:rsid w:val="00282BC0"/>
    <w:rsid w:val="00282D87"/>
    <w:rsid w:val="00282D99"/>
    <w:rsid w:val="00282E51"/>
    <w:rsid w:val="00282EDA"/>
    <w:rsid w:val="00282F0C"/>
    <w:rsid w:val="002831EF"/>
    <w:rsid w:val="002832DA"/>
    <w:rsid w:val="002837B8"/>
    <w:rsid w:val="00284461"/>
    <w:rsid w:val="002844A5"/>
    <w:rsid w:val="0028479B"/>
    <w:rsid w:val="00284BF5"/>
    <w:rsid w:val="00284D59"/>
    <w:rsid w:val="00284DDC"/>
    <w:rsid w:val="00285127"/>
    <w:rsid w:val="00285720"/>
    <w:rsid w:val="00285969"/>
    <w:rsid w:val="00285A12"/>
    <w:rsid w:val="0028634E"/>
    <w:rsid w:val="002864F3"/>
    <w:rsid w:val="0028679E"/>
    <w:rsid w:val="00286A29"/>
    <w:rsid w:val="00286E9A"/>
    <w:rsid w:val="00287147"/>
    <w:rsid w:val="00287CF3"/>
    <w:rsid w:val="00290144"/>
    <w:rsid w:val="00290FB4"/>
    <w:rsid w:val="00291585"/>
    <w:rsid w:val="00291709"/>
    <w:rsid w:val="00291823"/>
    <w:rsid w:val="00291CA1"/>
    <w:rsid w:val="0029207F"/>
    <w:rsid w:val="00292144"/>
    <w:rsid w:val="00292151"/>
    <w:rsid w:val="002921E1"/>
    <w:rsid w:val="002924FB"/>
    <w:rsid w:val="00292C0A"/>
    <w:rsid w:val="00292F4A"/>
    <w:rsid w:val="00292FF4"/>
    <w:rsid w:val="00293343"/>
    <w:rsid w:val="00293848"/>
    <w:rsid w:val="00293D84"/>
    <w:rsid w:val="00293EEE"/>
    <w:rsid w:val="00294710"/>
    <w:rsid w:val="0029487B"/>
    <w:rsid w:val="00294A1B"/>
    <w:rsid w:val="00294A2E"/>
    <w:rsid w:val="00294D4F"/>
    <w:rsid w:val="00294DB1"/>
    <w:rsid w:val="00295092"/>
    <w:rsid w:val="0029527E"/>
    <w:rsid w:val="00295689"/>
    <w:rsid w:val="00295746"/>
    <w:rsid w:val="00295931"/>
    <w:rsid w:val="00295BF0"/>
    <w:rsid w:val="0029626E"/>
    <w:rsid w:val="0029683E"/>
    <w:rsid w:val="0029698F"/>
    <w:rsid w:val="00296F6F"/>
    <w:rsid w:val="00296FB8"/>
    <w:rsid w:val="002979EB"/>
    <w:rsid w:val="00297CDC"/>
    <w:rsid w:val="002A0252"/>
    <w:rsid w:val="002A055B"/>
    <w:rsid w:val="002A0C5F"/>
    <w:rsid w:val="002A135B"/>
    <w:rsid w:val="002A28EA"/>
    <w:rsid w:val="002A2BD9"/>
    <w:rsid w:val="002A34B3"/>
    <w:rsid w:val="002A351A"/>
    <w:rsid w:val="002A3A89"/>
    <w:rsid w:val="002A41FA"/>
    <w:rsid w:val="002A4501"/>
    <w:rsid w:val="002A45A4"/>
    <w:rsid w:val="002A4D43"/>
    <w:rsid w:val="002A5093"/>
    <w:rsid w:val="002A560E"/>
    <w:rsid w:val="002A5874"/>
    <w:rsid w:val="002A5A6D"/>
    <w:rsid w:val="002A5E8B"/>
    <w:rsid w:val="002A6059"/>
    <w:rsid w:val="002A6DA3"/>
    <w:rsid w:val="002A7378"/>
    <w:rsid w:val="002A74EF"/>
    <w:rsid w:val="002A7690"/>
    <w:rsid w:val="002A7B13"/>
    <w:rsid w:val="002B0538"/>
    <w:rsid w:val="002B053F"/>
    <w:rsid w:val="002B0DE2"/>
    <w:rsid w:val="002B1056"/>
    <w:rsid w:val="002B12FF"/>
    <w:rsid w:val="002B160A"/>
    <w:rsid w:val="002B1866"/>
    <w:rsid w:val="002B1C85"/>
    <w:rsid w:val="002B1CA9"/>
    <w:rsid w:val="002B2786"/>
    <w:rsid w:val="002B2A99"/>
    <w:rsid w:val="002B2F77"/>
    <w:rsid w:val="002B33D4"/>
    <w:rsid w:val="002B34D5"/>
    <w:rsid w:val="002B3829"/>
    <w:rsid w:val="002B3856"/>
    <w:rsid w:val="002B3AA3"/>
    <w:rsid w:val="002B3BF1"/>
    <w:rsid w:val="002B3FE8"/>
    <w:rsid w:val="002B482B"/>
    <w:rsid w:val="002B4B2E"/>
    <w:rsid w:val="002B4CCD"/>
    <w:rsid w:val="002B5308"/>
    <w:rsid w:val="002B5383"/>
    <w:rsid w:val="002B6664"/>
    <w:rsid w:val="002B6F7A"/>
    <w:rsid w:val="002B78DE"/>
    <w:rsid w:val="002B797B"/>
    <w:rsid w:val="002B7AFB"/>
    <w:rsid w:val="002B7D9E"/>
    <w:rsid w:val="002C0AEB"/>
    <w:rsid w:val="002C0DC0"/>
    <w:rsid w:val="002C0E46"/>
    <w:rsid w:val="002C104F"/>
    <w:rsid w:val="002C12E0"/>
    <w:rsid w:val="002C138B"/>
    <w:rsid w:val="002C171D"/>
    <w:rsid w:val="002C17E0"/>
    <w:rsid w:val="002C1FFB"/>
    <w:rsid w:val="002C22EF"/>
    <w:rsid w:val="002C26E3"/>
    <w:rsid w:val="002C2785"/>
    <w:rsid w:val="002C2F7C"/>
    <w:rsid w:val="002C30FC"/>
    <w:rsid w:val="002C323C"/>
    <w:rsid w:val="002C379C"/>
    <w:rsid w:val="002C38E6"/>
    <w:rsid w:val="002C4316"/>
    <w:rsid w:val="002C499B"/>
    <w:rsid w:val="002C4CD2"/>
    <w:rsid w:val="002C5749"/>
    <w:rsid w:val="002C58B2"/>
    <w:rsid w:val="002C5926"/>
    <w:rsid w:val="002C5E08"/>
    <w:rsid w:val="002C60B9"/>
    <w:rsid w:val="002C63DD"/>
    <w:rsid w:val="002C6631"/>
    <w:rsid w:val="002C687C"/>
    <w:rsid w:val="002C6C1A"/>
    <w:rsid w:val="002C757B"/>
    <w:rsid w:val="002C77FE"/>
    <w:rsid w:val="002C7825"/>
    <w:rsid w:val="002C7DFB"/>
    <w:rsid w:val="002C7E62"/>
    <w:rsid w:val="002C7EB4"/>
    <w:rsid w:val="002D0B76"/>
    <w:rsid w:val="002D0E67"/>
    <w:rsid w:val="002D10F5"/>
    <w:rsid w:val="002D1258"/>
    <w:rsid w:val="002D13BF"/>
    <w:rsid w:val="002D23D0"/>
    <w:rsid w:val="002D2AF4"/>
    <w:rsid w:val="002D2D89"/>
    <w:rsid w:val="002D2DEF"/>
    <w:rsid w:val="002D2E24"/>
    <w:rsid w:val="002D301A"/>
    <w:rsid w:val="002D3213"/>
    <w:rsid w:val="002D3AC1"/>
    <w:rsid w:val="002D3B54"/>
    <w:rsid w:val="002D4048"/>
    <w:rsid w:val="002D458F"/>
    <w:rsid w:val="002D52A6"/>
    <w:rsid w:val="002D5BA9"/>
    <w:rsid w:val="002D5BEE"/>
    <w:rsid w:val="002D5D20"/>
    <w:rsid w:val="002D5DB6"/>
    <w:rsid w:val="002D5FB2"/>
    <w:rsid w:val="002D6717"/>
    <w:rsid w:val="002D672B"/>
    <w:rsid w:val="002D6D1D"/>
    <w:rsid w:val="002D6D44"/>
    <w:rsid w:val="002D6EA2"/>
    <w:rsid w:val="002D7956"/>
    <w:rsid w:val="002D7AD4"/>
    <w:rsid w:val="002D7FE4"/>
    <w:rsid w:val="002E03F5"/>
    <w:rsid w:val="002E0471"/>
    <w:rsid w:val="002E0B0D"/>
    <w:rsid w:val="002E10A2"/>
    <w:rsid w:val="002E12DD"/>
    <w:rsid w:val="002E1530"/>
    <w:rsid w:val="002E1838"/>
    <w:rsid w:val="002E1A5C"/>
    <w:rsid w:val="002E1AB6"/>
    <w:rsid w:val="002E1BE9"/>
    <w:rsid w:val="002E1DCE"/>
    <w:rsid w:val="002E207D"/>
    <w:rsid w:val="002E2589"/>
    <w:rsid w:val="002E2978"/>
    <w:rsid w:val="002E29C1"/>
    <w:rsid w:val="002E2ACF"/>
    <w:rsid w:val="002E3583"/>
    <w:rsid w:val="002E44B4"/>
    <w:rsid w:val="002E454C"/>
    <w:rsid w:val="002E46E5"/>
    <w:rsid w:val="002E4A5C"/>
    <w:rsid w:val="002E4AFA"/>
    <w:rsid w:val="002E4E78"/>
    <w:rsid w:val="002E4F78"/>
    <w:rsid w:val="002E5536"/>
    <w:rsid w:val="002E61D9"/>
    <w:rsid w:val="002E6202"/>
    <w:rsid w:val="002E6454"/>
    <w:rsid w:val="002E67B4"/>
    <w:rsid w:val="002E6A56"/>
    <w:rsid w:val="002E6D76"/>
    <w:rsid w:val="002E74D7"/>
    <w:rsid w:val="002E7EB9"/>
    <w:rsid w:val="002F009B"/>
    <w:rsid w:val="002F00BE"/>
    <w:rsid w:val="002F03A8"/>
    <w:rsid w:val="002F0577"/>
    <w:rsid w:val="002F06AE"/>
    <w:rsid w:val="002F113F"/>
    <w:rsid w:val="002F182D"/>
    <w:rsid w:val="002F1AE8"/>
    <w:rsid w:val="002F22BA"/>
    <w:rsid w:val="002F2358"/>
    <w:rsid w:val="002F241B"/>
    <w:rsid w:val="002F2507"/>
    <w:rsid w:val="002F2AC9"/>
    <w:rsid w:val="002F2CD3"/>
    <w:rsid w:val="002F2F48"/>
    <w:rsid w:val="002F303D"/>
    <w:rsid w:val="002F4100"/>
    <w:rsid w:val="002F4126"/>
    <w:rsid w:val="002F4332"/>
    <w:rsid w:val="002F470D"/>
    <w:rsid w:val="002F4852"/>
    <w:rsid w:val="002F4FD0"/>
    <w:rsid w:val="002F526F"/>
    <w:rsid w:val="002F5554"/>
    <w:rsid w:val="002F5F97"/>
    <w:rsid w:val="002F617F"/>
    <w:rsid w:val="002F629D"/>
    <w:rsid w:val="002F68CE"/>
    <w:rsid w:val="002F69EA"/>
    <w:rsid w:val="002F6E50"/>
    <w:rsid w:val="002F73B5"/>
    <w:rsid w:val="002F7C34"/>
    <w:rsid w:val="002F7C6A"/>
    <w:rsid w:val="002F7CE0"/>
    <w:rsid w:val="00300109"/>
    <w:rsid w:val="00300F90"/>
    <w:rsid w:val="003011F6"/>
    <w:rsid w:val="00301725"/>
    <w:rsid w:val="00301755"/>
    <w:rsid w:val="00301CC2"/>
    <w:rsid w:val="00301DBF"/>
    <w:rsid w:val="00302454"/>
    <w:rsid w:val="003025A1"/>
    <w:rsid w:val="00302941"/>
    <w:rsid w:val="00303549"/>
    <w:rsid w:val="00303E84"/>
    <w:rsid w:val="00303F7C"/>
    <w:rsid w:val="00304085"/>
    <w:rsid w:val="003041FF"/>
    <w:rsid w:val="00304455"/>
    <w:rsid w:val="00304C5E"/>
    <w:rsid w:val="00305B5B"/>
    <w:rsid w:val="00306286"/>
    <w:rsid w:val="0030665E"/>
    <w:rsid w:val="00306835"/>
    <w:rsid w:val="00306894"/>
    <w:rsid w:val="00306A60"/>
    <w:rsid w:val="00307016"/>
    <w:rsid w:val="003071EF"/>
    <w:rsid w:val="00307430"/>
    <w:rsid w:val="00307447"/>
    <w:rsid w:val="00307710"/>
    <w:rsid w:val="003078EF"/>
    <w:rsid w:val="00307BC3"/>
    <w:rsid w:val="00307C82"/>
    <w:rsid w:val="00307F1B"/>
    <w:rsid w:val="00310796"/>
    <w:rsid w:val="003107E2"/>
    <w:rsid w:val="00310843"/>
    <w:rsid w:val="00311440"/>
    <w:rsid w:val="00311607"/>
    <w:rsid w:val="003119AF"/>
    <w:rsid w:val="003119CA"/>
    <w:rsid w:val="00311CE5"/>
    <w:rsid w:val="00312185"/>
    <w:rsid w:val="003122F4"/>
    <w:rsid w:val="0031236E"/>
    <w:rsid w:val="00312EEC"/>
    <w:rsid w:val="0031369F"/>
    <w:rsid w:val="00313AF6"/>
    <w:rsid w:val="00313DA1"/>
    <w:rsid w:val="00313E58"/>
    <w:rsid w:val="00314075"/>
    <w:rsid w:val="003145E1"/>
    <w:rsid w:val="003146CE"/>
    <w:rsid w:val="003146F0"/>
    <w:rsid w:val="00315275"/>
    <w:rsid w:val="00315560"/>
    <w:rsid w:val="00315598"/>
    <w:rsid w:val="00315A7C"/>
    <w:rsid w:val="003160CC"/>
    <w:rsid w:val="00316F43"/>
    <w:rsid w:val="0031701E"/>
    <w:rsid w:val="00317129"/>
    <w:rsid w:val="00317339"/>
    <w:rsid w:val="00317ACF"/>
    <w:rsid w:val="00320B8F"/>
    <w:rsid w:val="003210B1"/>
    <w:rsid w:val="00321275"/>
    <w:rsid w:val="00321633"/>
    <w:rsid w:val="0032190E"/>
    <w:rsid w:val="00321A63"/>
    <w:rsid w:val="00321C22"/>
    <w:rsid w:val="003227C2"/>
    <w:rsid w:val="00322EF3"/>
    <w:rsid w:val="00323301"/>
    <w:rsid w:val="0032353E"/>
    <w:rsid w:val="00323C91"/>
    <w:rsid w:val="00324000"/>
    <w:rsid w:val="00324251"/>
    <w:rsid w:val="00324539"/>
    <w:rsid w:val="00324E0C"/>
    <w:rsid w:val="003257C5"/>
    <w:rsid w:val="003259BC"/>
    <w:rsid w:val="00325EEA"/>
    <w:rsid w:val="00326044"/>
    <w:rsid w:val="00326368"/>
    <w:rsid w:val="0032670A"/>
    <w:rsid w:val="003268D5"/>
    <w:rsid w:val="00326A20"/>
    <w:rsid w:val="00327747"/>
    <w:rsid w:val="00327CE9"/>
    <w:rsid w:val="0033073A"/>
    <w:rsid w:val="003309CA"/>
    <w:rsid w:val="00330CEE"/>
    <w:rsid w:val="00330E66"/>
    <w:rsid w:val="00330FEF"/>
    <w:rsid w:val="003317C8"/>
    <w:rsid w:val="00331A18"/>
    <w:rsid w:val="00332019"/>
    <w:rsid w:val="00332571"/>
    <w:rsid w:val="00332BF5"/>
    <w:rsid w:val="0033434D"/>
    <w:rsid w:val="00334595"/>
    <w:rsid w:val="003347D1"/>
    <w:rsid w:val="00334F97"/>
    <w:rsid w:val="003355A7"/>
    <w:rsid w:val="00335ABC"/>
    <w:rsid w:val="00335B94"/>
    <w:rsid w:val="00336013"/>
    <w:rsid w:val="00337451"/>
    <w:rsid w:val="00340216"/>
    <w:rsid w:val="00341919"/>
    <w:rsid w:val="00341AF2"/>
    <w:rsid w:val="00341DF0"/>
    <w:rsid w:val="003421D2"/>
    <w:rsid w:val="003428D8"/>
    <w:rsid w:val="0034291D"/>
    <w:rsid w:val="00342A27"/>
    <w:rsid w:val="00342E26"/>
    <w:rsid w:val="003432EF"/>
    <w:rsid w:val="003434C0"/>
    <w:rsid w:val="00343968"/>
    <w:rsid w:val="003440A1"/>
    <w:rsid w:val="00344480"/>
    <w:rsid w:val="003448F6"/>
    <w:rsid w:val="00344D1C"/>
    <w:rsid w:val="00345700"/>
    <w:rsid w:val="00345C09"/>
    <w:rsid w:val="00345C4B"/>
    <w:rsid w:val="00345E1B"/>
    <w:rsid w:val="00346941"/>
    <w:rsid w:val="003470F4"/>
    <w:rsid w:val="003472B3"/>
    <w:rsid w:val="00347529"/>
    <w:rsid w:val="0034770F"/>
    <w:rsid w:val="00347710"/>
    <w:rsid w:val="00347AE1"/>
    <w:rsid w:val="00347BBB"/>
    <w:rsid w:val="0035034F"/>
    <w:rsid w:val="003504C5"/>
    <w:rsid w:val="003506DC"/>
    <w:rsid w:val="00350759"/>
    <w:rsid w:val="0035077F"/>
    <w:rsid w:val="003508A4"/>
    <w:rsid w:val="00350A73"/>
    <w:rsid w:val="00350CB9"/>
    <w:rsid w:val="0035122E"/>
    <w:rsid w:val="003516B8"/>
    <w:rsid w:val="0035197E"/>
    <w:rsid w:val="0035207B"/>
    <w:rsid w:val="003520AA"/>
    <w:rsid w:val="003521F0"/>
    <w:rsid w:val="0035242C"/>
    <w:rsid w:val="00352976"/>
    <w:rsid w:val="00352BB0"/>
    <w:rsid w:val="00353C2A"/>
    <w:rsid w:val="00353DC8"/>
    <w:rsid w:val="00353FA3"/>
    <w:rsid w:val="00353FF6"/>
    <w:rsid w:val="003545C6"/>
    <w:rsid w:val="0035492D"/>
    <w:rsid w:val="00354D27"/>
    <w:rsid w:val="00354D9B"/>
    <w:rsid w:val="00354E5A"/>
    <w:rsid w:val="00355061"/>
    <w:rsid w:val="00355137"/>
    <w:rsid w:val="00355483"/>
    <w:rsid w:val="00356335"/>
    <w:rsid w:val="00356495"/>
    <w:rsid w:val="003566E1"/>
    <w:rsid w:val="00356EFC"/>
    <w:rsid w:val="0035738A"/>
    <w:rsid w:val="00357854"/>
    <w:rsid w:val="00357E66"/>
    <w:rsid w:val="00360072"/>
    <w:rsid w:val="003608F7"/>
    <w:rsid w:val="00360ED1"/>
    <w:rsid w:val="00360F01"/>
    <w:rsid w:val="00360FC7"/>
    <w:rsid w:val="00361725"/>
    <w:rsid w:val="0036174D"/>
    <w:rsid w:val="00361ACB"/>
    <w:rsid w:val="00362018"/>
    <w:rsid w:val="0036239B"/>
    <w:rsid w:val="00362B7C"/>
    <w:rsid w:val="00362DA5"/>
    <w:rsid w:val="003631D9"/>
    <w:rsid w:val="003632A5"/>
    <w:rsid w:val="003633CF"/>
    <w:rsid w:val="00363868"/>
    <w:rsid w:val="00364CB7"/>
    <w:rsid w:val="00364E5B"/>
    <w:rsid w:val="00364FD2"/>
    <w:rsid w:val="003652A0"/>
    <w:rsid w:val="003652CF"/>
    <w:rsid w:val="003652D1"/>
    <w:rsid w:val="00365308"/>
    <w:rsid w:val="00366017"/>
    <w:rsid w:val="003660B4"/>
    <w:rsid w:val="00366372"/>
    <w:rsid w:val="003663AE"/>
    <w:rsid w:val="0036651E"/>
    <w:rsid w:val="003667E8"/>
    <w:rsid w:val="003669B1"/>
    <w:rsid w:val="00367183"/>
    <w:rsid w:val="003671C3"/>
    <w:rsid w:val="00367298"/>
    <w:rsid w:val="0036745E"/>
    <w:rsid w:val="003677F8"/>
    <w:rsid w:val="00367BA6"/>
    <w:rsid w:val="00370437"/>
    <w:rsid w:val="00370633"/>
    <w:rsid w:val="0037122F"/>
    <w:rsid w:val="0037148C"/>
    <w:rsid w:val="00371749"/>
    <w:rsid w:val="00371DCC"/>
    <w:rsid w:val="0037201F"/>
    <w:rsid w:val="003733C1"/>
    <w:rsid w:val="00373488"/>
    <w:rsid w:val="003738A0"/>
    <w:rsid w:val="00373A18"/>
    <w:rsid w:val="00373D35"/>
    <w:rsid w:val="003749DE"/>
    <w:rsid w:val="00375A7D"/>
    <w:rsid w:val="00375F78"/>
    <w:rsid w:val="00375F91"/>
    <w:rsid w:val="0037604E"/>
    <w:rsid w:val="00376731"/>
    <w:rsid w:val="0037678D"/>
    <w:rsid w:val="00376DD6"/>
    <w:rsid w:val="00376DFC"/>
    <w:rsid w:val="003772DA"/>
    <w:rsid w:val="00377E2F"/>
    <w:rsid w:val="00380508"/>
    <w:rsid w:val="00380728"/>
    <w:rsid w:val="003807C2"/>
    <w:rsid w:val="003808F4"/>
    <w:rsid w:val="003809F9"/>
    <w:rsid w:val="00380C70"/>
    <w:rsid w:val="00380E36"/>
    <w:rsid w:val="00381ABB"/>
    <w:rsid w:val="00381BEB"/>
    <w:rsid w:val="00381C54"/>
    <w:rsid w:val="0038241D"/>
    <w:rsid w:val="003824E0"/>
    <w:rsid w:val="003826DB"/>
    <w:rsid w:val="00382895"/>
    <w:rsid w:val="00382AED"/>
    <w:rsid w:val="003831CE"/>
    <w:rsid w:val="003832DD"/>
    <w:rsid w:val="003835E8"/>
    <w:rsid w:val="00383B5B"/>
    <w:rsid w:val="00383D50"/>
    <w:rsid w:val="00383E48"/>
    <w:rsid w:val="003844FF"/>
    <w:rsid w:val="003846A5"/>
    <w:rsid w:val="003851E7"/>
    <w:rsid w:val="003853BA"/>
    <w:rsid w:val="003858A6"/>
    <w:rsid w:val="00385AF8"/>
    <w:rsid w:val="00385CFC"/>
    <w:rsid w:val="00385D01"/>
    <w:rsid w:val="00385DE7"/>
    <w:rsid w:val="00386517"/>
    <w:rsid w:val="003870BA"/>
    <w:rsid w:val="0038726C"/>
    <w:rsid w:val="00387439"/>
    <w:rsid w:val="00387616"/>
    <w:rsid w:val="00387D89"/>
    <w:rsid w:val="00387E4A"/>
    <w:rsid w:val="00387FC3"/>
    <w:rsid w:val="00390800"/>
    <w:rsid w:val="00390B4C"/>
    <w:rsid w:val="00390D22"/>
    <w:rsid w:val="00392DCC"/>
    <w:rsid w:val="00392DDF"/>
    <w:rsid w:val="00393057"/>
    <w:rsid w:val="003933FF"/>
    <w:rsid w:val="00393737"/>
    <w:rsid w:val="00393C14"/>
    <w:rsid w:val="00394729"/>
    <w:rsid w:val="00394771"/>
    <w:rsid w:val="00394C4E"/>
    <w:rsid w:val="00395F69"/>
    <w:rsid w:val="00396193"/>
    <w:rsid w:val="003961D0"/>
    <w:rsid w:val="00396873"/>
    <w:rsid w:val="00396D69"/>
    <w:rsid w:val="00397156"/>
    <w:rsid w:val="00397880"/>
    <w:rsid w:val="00397B82"/>
    <w:rsid w:val="00397E2C"/>
    <w:rsid w:val="003A0448"/>
    <w:rsid w:val="003A0457"/>
    <w:rsid w:val="003A0A63"/>
    <w:rsid w:val="003A0D59"/>
    <w:rsid w:val="003A11D9"/>
    <w:rsid w:val="003A1358"/>
    <w:rsid w:val="003A175C"/>
    <w:rsid w:val="003A218C"/>
    <w:rsid w:val="003A2246"/>
    <w:rsid w:val="003A2C5E"/>
    <w:rsid w:val="003A3127"/>
    <w:rsid w:val="003A40EA"/>
    <w:rsid w:val="003A427E"/>
    <w:rsid w:val="003A46C0"/>
    <w:rsid w:val="003A4CA7"/>
    <w:rsid w:val="003A563B"/>
    <w:rsid w:val="003A5B36"/>
    <w:rsid w:val="003A6084"/>
    <w:rsid w:val="003A66FD"/>
    <w:rsid w:val="003A713F"/>
    <w:rsid w:val="003A7DF6"/>
    <w:rsid w:val="003B04AA"/>
    <w:rsid w:val="003B13DD"/>
    <w:rsid w:val="003B19CA"/>
    <w:rsid w:val="003B1BFA"/>
    <w:rsid w:val="003B1CAE"/>
    <w:rsid w:val="003B1CB0"/>
    <w:rsid w:val="003B2267"/>
    <w:rsid w:val="003B2DBA"/>
    <w:rsid w:val="003B2ED1"/>
    <w:rsid w:val="003B38A7"/>
    <w:rsid w:val="003B41F8"/>
    <w:rsid w:val="003B43D1"/>
    <w:rsid w:val="003B45D4"/>
    <w:rsid w:val="003B66F8"/>
    <w:rsid w:val="003B6CD2"/>
    <w:rsid w:val="003B7204"/>
    <w:rsid w:val="003C0776"/>
    <w:rsid w:val="003C1485"/>
    <w:rsid w:val="003C19C1"/>
    <w:rsid w:val="003C24B4"/>
    <w:rsid w:val="003C260A"/>
    <w:rsid w:val="003C2B51"/>
    <w:rsid w:val="003C2C99"/>
    <w:rsid w:val="003C3705"/>
    <w:rsid w:val="003C3BFE"/>
    <w:rsid w:val="003C419C"/>
    <w:rsid w:val="003C422C"/>
    <w:rsid w:val="003C428F"/>
    <w:rsid w:val="003C4606"/>
    <w:rsid w:val="003C490D"/>
    <w:rsid w:val="003C4B30"/>
    <w:rsid w:val="003C4C7E"/>
    <w:rsid w:val="003C4C82"/>
    <w:rsid w:val="003C5186"/>
    <w:rsid w:val="003C523D"/>
    <w:rsid w:val="003C54C0"/>
    <w:rsid w:val="003C60A6"/>
    <w:rsid w:val="003C63A5"/>
    <w:rsid w:val="003C65E6"/>
    <w:rsid w:val="003C66E9"/>
    <w:rsid w:val="003C6A02"/>
    <w:rsid w:val="003C6C70"/>
    <w:rsid w:val="003C7349"/>
    <w:rsid w:val="003C7395"/>
    <w:rsid w:val="003C766E"/>
    <w:rsid w:val="003C7693"/>
    <w:rsid w:val="003C77C5"/>
    <w:rsid w:val="003C7AA2"/>
    <w:rsid w:val="003C7AE5"/>
    <w:rsid w:val="003D04FC"/>
    <w:rsid w:val="003D0678"/>
    <w:rsid w:val="003D07B7"/>
    <w:rsid w:val="003D0D73"/>
    <w:rsid w:val="003D16EE"/>
    <w:rsid w:val="003D1B75"/>
    <w:rsid w:val="003D1C7C"/>
    <w:rsid w:val="003D23CE"/>
    <w:rsid w:val="003D27E1"/>
    <w:rsid w:val="003D288F"/>
    <w:rsid w:val="003D2AE1"/>
    <w:rsid w:val="003D2E43"/>
    <w:rsid w:val="003D2E69"/>
    <w:rsid w:val="003D3C8F"/>
    <w:rsid w:val="003D3D49"/>
    <w:rsid w:val="003D3F38"/>
    <w:rsid w:val="003D404F"/>
    <w:rsid w:val="003D40C7"/>
    <w:rsid w:val="003D4279"/>
    <w:rsid w:val="003D4814"/>
    <w:rsid w:val="003D4DE3"/>
    <w:rsid w:val="003D5045"/>
    <w:rsid w:val="003D5051"/>
    <w:rsid w:val="003D5A31"/>
    <w:rsid w:val="003D620B"/>
    <w:rsid w:val="003D6389"/>
    <w:rsid w:val="003D67A1"/>
    <w:rsid w:val="003D6A6C"/>
    <w:rsid w:val="003D6A75"/>
    <w:rsid w:val="003D6A8A"/>
    <w:rsid w:val="003D6FD7"/>
    <w:rsid w:val="003D7F7A"/>
    <w:rsid w:val="003E042F"/>
    <w:rsid w:val="003E07F1"/>
    <w:rsid w:val="003E0A04"/>
    <w:rsid w:val="003E0F33"/>
    <w:rsid w:val="003E14D6"/>
    <w:rsid w:val="003E20D6"/>
    <w:rsid w:val="003E23E9"/>
    <w:rsid w:val="003E271D"/>
    <w:rsid w:val="003E3746"/>
    <w:rsid w:val="003E3764"/>
    <w:rsid w:val="003E396E"/>
    <w:rsid w:val="003E3A4A"/>
    <w:rsid w:val="003E3E17"/>
    <w:rsid w:val="003E4518"/>
    <w:rsid w:val="003E47CB"/>
    <w:rsid w:val="003E4D87"/>
    <w:rsid w:val="003E4EDC"/>
    <w:rsid w:val="003E5227"/>
    <w:rsid w:val="003E57F6"/>
    <w:rsid w:val="003E59A0"/>
    <w:rsid w:val="003E5FC6"/>
    <w:rsid w:val="003E6330"/>
    <w:rsid w:val="003E644F"/>
    <w:rsid w:val="003E6592"/>
    <w:rsid w:val="003E68BE"/>
    <w:rsid w:val="003E69CC"/>
    <w:rsid w:val="003E70ED"/>
    <w:rsid w:val="003E7125"/>
    <w:rsid w:val="003E7183"/>
    <w:rsid w:val="003E773E"/>
    <w:rsid w:val="003E7746"/>
    <w:rsid w:val="003E7D6C"/>
    <w:rsid w:val="003F0019"/>
    <w:rsid w:val="003F059F"/>
    <w:rsid w:val="003F0A45"/>
    <w:rsid w:val="003F0EED"/>
    <w:rsid w:val="003F0FD4"/>
    <w:rsid w:val="003F1210"/>
    <w:rsid w:val="003F1801"/>
    <w:rsid w:val="003F1D34"/>
    <w:rsid w:val="003F208D"/>
    <w:rsid w:val="003F22B7"/>
    <w:rsid w:val="003F2530"/>
    <w:rsid w:val="003F2E4E"/>
    <w:rsid w:val="003F317F"/>
    <w:rsid w:val="003F35DA"/>
    <w:rsid w:val="003F38D5"/>
    <w:rsid w:val="003F3BE3"/>
    <w:rsid w:val="003F3C3F"/>
    <w:rsid w:val="003F3DF4"/>
    <w:rsid w:val="003F3EFD"/>
    <w:rsid w:val="003F45DC"/>
    <w:rsid w:val="003F4894"/>
    <w:rsid w:val="003F4DB4"/>
    <w:rsid w:val="003F4F2F"/>
    <w:rsid w:val="003F51C8"/>
    <w:rsid w:val="003F527E"/>
    <w:rsid w:val="003F53CA"/>
    <w:rsid w:val="003F563F"/>
    <w:rsid w:val="003F5774"/>
    <w:rsid w:val="003F5ACD"/>
    <w:rsid w:val="003F5EC6"/>
    <w:rsid w:val="003F642B"/>
    <w:rsid w:val="003F6F5D"/>
    <w:rsid w:val="003F7075"/>
    <w:rsid w:val="003F721F"/>
    <w:rsid w:val="003F739C"/>
    <w:rsid w:val="003F77F1"/>
    <w:rsid w:val="003F7B18"/>
    <w:rsid w:val="003F7E22"/>
    <w:rsid w:val="0040037D"/>
    <w:rsid w:val="00400948"/>
    <w:rsid w:val="00400D00"/>
    <w:rsid w:val="00400DA0"/>
    <w:rsid w:val="00400E57"/>
    <w:rsid w:val="00401082"/>
    <w:rsid w:val="004020FD"/>
    <w:rsid w:val="0040229D"/>
    <w:rsid w:val="004031CA"/>
    <w:rsid w:val="00403438"/>
    <w:rsid w:val="00403532"/>
    <w:rsid w:val="00403783"/>
    <w:rsid w:val="004038E8"/>
    <w:rsid w:val="004042D1"/>
    <w:rsid w:val="00404518"/>
    <w:rsid w:val="0040507F"/>
    <w:rsid w:val="0040519B"/>
    <w:rsid w:val="004056BB"/>
    <w:rsid w:val="00405ED9"/>
    <w:rsid w:val="0040635A"/>
    <w:rsid w:val="00406382"/>
    <w:rsid w:val="00406684"/>
    <w:rsid w:val="004066D2"/>
    <w:rsid w:val="004069D5"/>
    <w:rsid w:val="00406A09"/>
    <w:rsid w:val="0040705F"/>
    <w:rsid w:val="004070F8"/>
    <w:rsid w:val="004071ED"/>
    <w:rsid w:val="0040747B"/>
    <w:rsid w:val="00407567"/>
    <w:rsid w:val="00407924"/>
    <w:rsid w:val="004103E3"/>
    <w:rsid w:val="0041056F"/>
    <w:rsid w:val="004107A1"/>
    <w:rsid w:val="00410936"/>
    <w:rsid w:val="00410992"/>
    <w:rsid w:val="00410BE7"/>
    <w:rsid w:val="00411131"/>
    <w:rsid w:val="00411219"/>
    <w:rsid w:val="004114C0"/>
    <w:rsid w:val="004114C2"/>
    <w:rsid w:val="0041171C"/>
    <w:rsid w:val="00411D3C"/>
    <w:rsid w:val="00412447"/>
    <w:rsid w:val="0041248F"/>
    <w:rsid w:val="00413626"/>
    <w:rsid w:val="00413790"/>
    <w:rsid w:val="00413DAB"/>
    <w:rsid w:val="004141B9"/>
    <w:rsid w:val="004143CE"/>
    <w:rsid w:val="00414829"/>
    <w:rsid w:val="00414877"/>
    <w:rsid w:val="00414946"/>
    <w:rsid w:val="004153CD"/>
    <w:rsid w:val="004154C3"/>
    <w:rsid w:val="004159A5"/>
    <w:rsid w:val="00415B8A"/>
    <w:rsid w:val="0041604D"/>
    <w:rsid w:val="00416097"/>
    <w:rsid w:val="00416762"/>
    <w:rsid w:val="00416A3C"/>
    <w:rsid w:val="00416A41"/>
    <w:rsid w:val="00416B7F"/>
    <w:rsid w:val="00416B91"/>
    <w:rsid w:val="00416DF2"/>
    <w:rsid w:val="00416E55"/>
    <w:rsid w:val="00416F2F"/>
    <w:rsid w:val="00417FA1"/>
    <w:rsid w:val="00420533"/>
    <w:rsid w:val="00420C3A"/>
    <w:rsid w:val="00420FCF"/>
    <w:rsid w:val="00421055"/>
    <w:rsid w:val="004211D4"/>
    <w:rsid w:val="004217CF"/>
    <w:rsid w:val="0042196B"/>
    <w:rsid w:val="004221B3"/>
    <w:rsid w:val="004225D6"/>
    <w:rsid w:val="0042295E"/>
    <w:rsid w:val="00422C26"/>
    <w:rsid w:val="00422D6F"/>
    <w:rsid w:val="00422DB4"/>
    <w:rsid w:val="00422E01"/>
    <w:rsid w:val="0042359E"/>
    <w:rsid w:val="00423611"/>
    <w:rsid w:val="0042378C"/>
    <w:rsid w:val="00423C25"/>
    <w:rsid w:val="00423C5E"/>
    <w:rsid w:val="0042428D"/>
    <w:rsid w:val="0042431E"/>
    <w:rsid w:val="00424548"/>
    <w:rsid w:val="00424666"/>
    <w:rsid w:val="00424A06"/>
    <w:rsid w:val="00424CC2"/>
    <w:rsid w:val="00425115"/>
    <w:rsid w:val="0042518A"/>
    <w:rsid w:val="00425AC6"/>
    <w:rsid w:val="00425AD8"/>
    <w:rsid w:val="00426665"/>
    <w:rsid w:val="004267DD"/>
    <w:rsid w:val="004268D7"/>
    <w:rsid w:val="00427165"/>
    <w:rsid w:val="004272B7"/>
    <w:rsid w:val="00427521"/>
    <w:rsid w:val="004275C6"/>
    <w:rsid w:val="004276A0"/>
    <w:rsid w:val="004277C9"/>
    <w:rsid w:val="004278BE"/>
    <w:rsid w:val="00427D9B"/>
    <w:rsid w:val="00430176"/>
    <w:rsid w:val="00430E16"/>
    <w:rsid w:val="004311E1"/>
    <w:rsid w:val="004314B3"/>
    <w:rsid w:val="004314E5"/>
    <w:rsid w:val="004314F3"/>
    <w:rsid w:val="004315F8"/>
    <w:rsid w:val="004321FC"/>
    <w:rsid w:val="0043249E"/>
    <w:rsid w:val="00432549"/>
    <w:rsid w:val="004325D7"/>
    <w:rsid w:val="0043268E"/>
    <w:rsid w:val="0043311A"/>
    <w:rsid w:val="00433248"/>
    <w:rsid w:val="00433798"/>
    <w:rsid w:val="00433B11"/>
    <w:rsid w:val="00433CFA"/>
    <w:rsid w:val="00433DF2"/>
    <w:rsid w:val="00434F5D"/>
    <w:rsid w:val="0043500B"/>
    <w:rsid w:val="0043505B"/>
    <w:rsid w:val="00435072"/>
    <w:rsid w:val="004354F3"/>
    <w:rsid w:val="00435AD7"/>
    <w:rsid w:val="00435AEE"/>
    <w:rsid w:val="004360E3"/>
    <w:rsid w:val="004367C2"/>
    <w:rsid w:val="00436E02"/>
    <w:rsid w:val="0043792B"/>
    <w:rsid w:val="00437A26"/>
    <w:rsid w:val="0044000D"/>
    <w:rsid w:val="00440B11"/>
    <w:rsid w:val="00440B19"/>
    <w:rsid w:val="004412BA"/>
    <w:rsid w:val="004413E4"/>
    <w:rsid w:val="0044144B"/>
    <w:rsid w:val="00441B2A"/>
    <w:rsid w:val="00441EA2"/>
    <w:rsid w:val="00442212"/>
    <w:rsid w:val="00442BD4"/>
    <w:rsid w:val="00443181"/>
    <w:rsid w:val="004437E5"/>
    <w:rsid w:val="00444090"/>
    <w:rsid w:val="0044446B"/>
    <w:rsid w:val="004444D8"/>
    <w:rsid w:val="004444E5"/>
    <w:rsid w:val="00444A04"/>
    <w:rsid w:val="00444AC7"/>
    <w:rsid w:val="00444DC1"/>
    <w:rsid w:val="00444E73"/>
    <w:rsid w:val="00444EBF"/>
    <w:rsid w:val="00445234"/>
    <w:rsid w:val="00445265"/>
    <w:rsid w:val="00445314"/>
    <w:rsid w:val="004456CC"/>
    <w:rsid w:val="0044584E"/>
    <w:rsid w:val="00445E22"/>
    <w:rsid w:val="00446197"/>
    <w:rsid w:val="004466C5"/>
    <w:rsid w:val="00446FBA"/>
    <w:rsid w:val="00447145"/>
    <w:rsid w:val="00447330"/>
    <w:rsid w:val="004473CF"/>
    <w:rsid w:val="00447579"/>
    <w:rsid w:val="0044768D"/>
    <w:rsid w:val="00447F29"/>
    <w:rsid w:val="00447FA9"/>
    <w:rsid w:val="00450438"/>
    <w:rsid w:val="004508A4"/>
    <w:rsid w:val="00450924"/>
    <w:rsid w:val="0045099F"/>
    <w:rsid w:val="00451282"/>
    <w:rsid w:val="0045137E"/>
    <w:rsid w:val="00451673"/>
    <w:rsid w:val="00452839"/>
    <w:rsid w:val="00452868"/>
    <w:rsid w:val="00452A57"/>
    <w:rsid w:val="00452ADD"/>
    <w:rsid w:val="00453011"/>
    <w:rsid w:val="0045350D"/>
    <w:rsid w:val="00453C29"/>
    <w:rsid w:val="00453DC6"/>
    <w:rsid w:val="004541B0"/>
    <w:rsid w:val="00454546"/>
    <w:rsid w:val="00454678"/>
    <w:rsid w:val="00454BF2"/>
    <w:rsid w:val="00454E6A"/>
    <w:rsid w:val="004559CE"/>
    <w:rsid w:val="00456050"/>
    <w:rsid w:val="004561C5"/>
    <w:rsid w:val="00456616"/>
    <w:rsid w:val="00456B83"/>
    <w:rsid w:val="00456C1E"/>
    <w:rsid w:val="00457188"/>
    <w:rsid w:val="00457252"/>
    <w:rsid w:val="00457283"/>
    <w:rsid w:val="004575BC"/>
    <w:rsid w:val="004575D2"/>
    <w:rsid w:val="004576B2"/>
    <w:rsid w:val="00457719"/>
    <w:rsid w:val="004577ED"/>
    <w:rsid w:val="00457D94"/>
    <w:rsid w:val="00457E7C"/>
    <w:rsid w:val="004607D7"/>
    <w:rsid w:val="00460867"/>
    <w:rsid w:val="00460E1A"/>
    <w:rsid w:val="00461317"/>
    <w:rsid w:val="00461500"/>
    <w:rsid w:val="0046188C"/>
    <w:rsid w:val="0046268C"/>
    <w:rsid w:val="00462A80"/>
    <w:rsid w:val="00462EAD"/>
    <w:rsid w:val="00463068"/>
    <w:rsid w:val="0046320D"/>
    <w:rsid w:val="004636BE"/>
    <w:rsid w:val="00463889"/>
    <w:rsid w:val="004639F8"/>
    <w:rsid w:val="00463DF8"/>
    <w:rsid w:val="00464AA1"/>
    <w:rsid w:val="00464D63"/>
    <w:rsid w:val="00464FD6"/>
    <w:rsid w:val="0046514D"/>
    <w:rsid w:val="00465418"/>
    <w:rsid w:val="0046576D"/>
    <w:rsid w:val="00465B3B"/>
    <w:rsid w:val="00465DC6"/>
    <w:rsid w:val="0046638A"/>
    <w:rsid w:val="00466556"/>
    <w:rsid w:val="004665F2"/>
    <w:rsid w:val="00466702"/>
    <w:rsid w:val="0046675C"/>
    <w:rsid w:val="00466FC1"/>
    <w:rsid w:val="00467E76"/>
    <w:rsid w:val="00467F47"/>
    <w:rsid w:val="004701D1"/>
    <w:rsid w:val="00470A83"/>
    <w:rsid w:val="004713C2"/>
    <w:rsid w:val="00471668"/>
    <w:rsid w:val="00471907"/>
    <w:rsid w:val="0047199B"/>
    <w:rsid w:val="004720D8"/>
    <w:rsid w:val="004725D3"/>
    <w:rsid w:val="004729F5"/>
    <w:rsid w:val="00472C99"/>
    <w:rsid w:val="00472D94"/>
    <w:rsid w:val="00472F8F"/>
    <w:rsid w:val="0047394E"/>
    <w:rsid w:val="00473C81"/>
    <w:rsid w:val="00473E53"/>
    <w:rsid w:val="00474050"/>
    <w:rsid w:val="004740A0"/>
    <w:rsid w:val="0047441F"/>
    <w:rsid w:val="004749FB"/>
    <w:rsid w:val="00475085"/>
    <w:rsid w:val="004751FC"/>
    <w:rsid w:val="00475B2A"/>
    <w:rsid w:val="00475B6A"/>
    <w:rsid w:val="00475DF3"/>
    <w:rsid w:val="00476613"/>
    <w:rsid w:val="00476C39"/>
    <w:rsid w:val="00476CF6"/>
    <w:rsid w:val="00476E28"/>
    <w:rsid w:val="00477191"/>
    <w:rsid w:val="004778B1"/>
    <w:rsid w:val="00477A27"/>
    <w:rsid w:val="00477AA8"/>
    <w:rsid w:val="00480F6D"/>
    <w:rsid w:val="00481567"/>
    <w:rsid w:val="00481997"/>
    <w:rsid w:val="00481A89"/>
    <w:rsid w:val="00481BA7"/>
    <w:rsid w:val="004823DD"/>
    <w:rsid w:val="00482AD4"/>
    <w:rsid w:val="00482DAA"/>
    <w:rsid w:val="0048323B"/>
    <w:rsid w:val="0048411A"/>
    <w:rsid w:val="0048473D"/>
    <w:rsid w:val="00485229"/>
    <w:rsid w:val="0048550A"/>
    <w:rsid w:val="004857F5"/>
    <w:rsid w:val="00485994"/>
    <w:rsid w:val="00485EC8"/>
    <w:rsid w:val="00486067"/>
    <w:rsid w:val="00486890"/>
    <w:rsid w:val="004869B3"/>
    <w:rsid w:val="00487781"/>
    <w:rsid w:val="00487E8F"/>
    <w:rsid w:val="00490241"/>
    <w:rsid w:val="00490279"/>
    <w:rsid w:val="00490307"/>
    <w:rsid w:val="00490976"/>
    <w:rsid w:val="00490CBD"/>
    <w:rsid w:val="00490DFB"/>
    <w:rsid w:val="004918E3"/>
    <w:rsid w:val="00491C3F"/>
    <w:rsid w:val="00491F03"/>
    <w:rsid w:val="00492646"/>
    <w:rsid w:val="004929B2"/>
    <w:rsid w:val="00492F52"/>
    <w:rsid w:val="00492FCB"/>
    <w:rsid w:val="004931BB"/>
    <w:rsid w:val="0049383A"/>
    <w:rsid w:val="00493D63"/>
    <w:rsid w:val="00494BF9"/>
    <w:rsid w:val="00494E25"/>
    <w:rsid w:val="00494ED8"/>
    <w:rsid w:val="00494FED"/>
    <w:rsid w:val="00495224"/>
    <w:rsid w:val="00495350"/>
    <w:rsid w:val="00495A93"/>
    <w:rsid w:val="004962D7"/>
    <w:rsid w:val="004963B5"/>
    <w:rsid w:val="00496723"/>
    <w:rsid w:val="00496864"/>
    <w:rsid w:val="00496D81"/>
    <w:rsid w:val="00497029"/>
    <w:rsid w:val="0049709C"/>
    <w:rsid w:val="00497340"/>
    <w:rsid w:val="0049745C"/>
    <w:rsid w:val="00497837"/>
    <w:rsid w:val="00497AE0"/>
    <w:rsid w:val="00497BE7"/>
    <w:rsid w:val="00497EED"/>
    <w:rsid w:val="004A003D"/>
    <w:rsid w:val="004A01D0"/>
    <w:rsid w:val="004A02CC"/>
    <w:rsid w:val="004A03ED"/>
    <w:rsid w:val="004A09B0"/>
    <w:rsid w:val="004A0B20"/>
    <w:rsid w:val="004A0E18"/>
    <w:rsid w:val="004A0F11"/>
    <w:rsid w:val="004A1214"/>
    <w:rsid w:val="004A14C6"/>
    <w:rsid w:val="004A162A"/>
    <w:rsid w:val="004A1962"/>
    <w:rsid w:val="004A1A48"/>
    <w:rsid w:val="004A1BB5"/>
    <w:rsid w:val="004A1C2F"/>
    <w:rsid w:val="004A213B"/>
    <w:rsid w:val="004A21EF"/>
    <w:rsid w:val="004A2406"/>
    <w:rsid w:val="004A2A06"/>
    <w:rsid w:val="004A2A55"/>
    <w:rsid w:val="004A2AD5"/>
    <w:rsid w:val="004A2B2B"/>
    <w:rsid w:val="004A2C28"/>
    <w:rsid w:val="004A2E2F"/>
    <w:rsid w:val="004A2FEC"/>
    <w:rsid w:val="004A33C8"/>
    <w:rsid w:val="004A3DCC"/>
    <w:rsid w:val="004A3E16"/>
    <w:rsid w:val="004A3EAA"/>
    <w:rsid w:val="004A4193"/>
    <w:rsid w:val="004A49B7"/>
    <w:rsid w:val="004A4CDB"/>
    <w:rsid w:val="004A4F44"/>
    <w:rsid w:val="004A592A"/>
    <w:rsid w:val="004A5DAF"/>
    <w:rsid w:val="004A5EF5"/>
    <w:rsid w:val="004A5FD0"/>
    <w:rsid w:val="004A6758"/>
    <w:rsid w:val="004A6A2B"/>
    <w:rsid w:val="004A6D66"/>
    <w:rsid w:val="004A7182"/>
    <w:rsid w:val="004A732C"/>
    <w:rsid w:val="004A74F7"/>
    <w:rsid w:val="004A7C3C"/>
    <w:rsid w:val="004A7D97"/>
    <w:rsid w:val="004B0D2A"/>
    <w:rsid w:val="004B0EE4"/>
    <w:rsid w:val="004B0EFA"/>
    <w:rsid w:val="004B1044"/>
    <w:rsid w:val="004B129A"/>
    <w:rsid w:val="004B156D"/>
    <w:rsid w:val="004B1FCC"/>
    <w:rsid w:val="004B240D"/>
    <w:rsid w:val="004B2461"/>
    <w:rsid w:val="004B26A5"/>
    <w:rsid w:val="004B2A0F"/>
    <w:rsid w:val="004B327C"/>
    <w:rsid w:val="004B4248"/>
    <w:rsid w:val="004B5133"/>
    <w:rsid w:val="004B52F4"/>
    <w:rsid w:val="004B57ED"/>
    <w:rsid w:val="004B58B3"/>
    <w:rsid w:val="004B58E9"/>
    <w:rsid w:val="004B595C"/>
    <w:rsid w:val="004B5A81"/>
    <w:rsid w:val="004B5AD4"/>
    <w:rsid w:val="004B5B6D"/>
    <w:rsid w:val="004B5C73"/>
    <w:rsid w:val="004B61FC"/>
    <w:rsid w:val="004B65F2"/>
    <w:rsid w:val="004B67BF"/>
    <w:rsid w:val="004B69F6"/>
    <w:rsid w:val="004B6B84"/>
    <w:rsid w:val="004B6C2A"/>
    <w:rsid w:val="004B6F65"/>
    <w:rsid w:val="004B6FD0"/>
    <w:rsid w:val="004B72AA"/>
    <w:rsid w:val="004B78C7"/>
    <w:rsid w:val="004B7A95"/>
    <w:rsid w:val="004B7D1E"/>
    <w:rsid w:val="004C0375"/>
    <w:rsid w:val="004C04EE"/>
    <w:rsid w:val="004C059F"/>
    <w:rsid w:val="004C08FD"/>
    <w:rsid w:val="004C0CA7"/>
    <w:rsid w:val="004C0E24"/>
    <w:rsid w:val="004C1042"/>
    <w:rsid w:val="004C10A2"/>
    <w:rsid w:val="004C14AD"/>
    <w:rsid w:val="004C1E12"/>
    <w:rsid w:val="004C1FCE"/>
    <w:rsid w:val="004C2249"/>
    <w:rsid w:val="004C2324"/>
    <w:rsid w:val="004C240E"/>
    <w:rsid w:val="004C2B6B"/>
    <w:rsid w:val="004C302E"/>
    <w:rsid w:val="004C38FF"/>
    <w:rsid w:val="004C41B6"/>
    <w:rsid w:val="004C422C"/>
    <w:rsid w:val="004C471D"/>
    <w:rsid w:val="004C4846"/>
    <w:rsid w:val="004C5439"/>
    <w:rsid w:val="004C6314"/>
    <w:rsid w:val="004C6413"/>
    <w:rsid w:val="004C65C8"/>
    <w:rsid w:val="004C66A9"/>
    <w:rsid w:val="004C6C22"/>
    <w:rsid w:val="004C70C6"/>
    <w:rsid w:val="004C7355"/>
    <w:rsid w:val="004C7EA7"/>
    <w:rsid w:val="004C7F8F"/>
    <w:rsid w:val="004D0188"/>
    <w:rsid w:val="004D0415"/>
    <w:rsid w:val="004D0431"/>
    <w:rsid w:val="004D047B"/>
    <w:rsid w:val="004D0F45"/>
    <w:rsid w:val="004D14D7"/>
    <w:rsid w:val="004D170C"/>
    <w:rsid w:val="004D178C"/>
    <w:rsid w:val="004D1FF0"/>
    <w:rsid w:val="004D214B"/>
    <w:rsid w:val="004D2165"/>
    <w:rsid w:val="004D2966"/>
    <w:rsid w:val="004D2CD3"/>
    <w:rsid w:val="004D30F6"/>
    <w:rsid w:val="004D3733"/>
    <w:rsid w:val="004D406B"/>
    <w:rsid w:val="004D47A1"/>
    <w:rsid w:val="004D4C1F"/>
    <w:rsid w:val="004D58AD"/>
    <w:rsid w:val="004D5F06"/>
    <w:rsid w:val="004D60C8"/>
    <w:rsid w:val="004D6333"/>
    <w:rsid w:val="004D68B1"/>
    <w:rsid w:val="004D69A7"/>
    <w:rsid w:val="004D6E37"/>
    <w:rsid w:val="004D719D"/>
    <w:rsid w:val="004D7324"/>
    <w:rsid w:val="004D7580"/>
    <w:rsid w:val="004E00EA"/>
    <w:rsid w:val="004E06F6"/>
    <w:rsid w:val="004E0C4B"/>
    <w:rsid w:val="004E121B"/>
    <w:rsid w:val="004E12D6"/>
    <w:rsid w:val="004E17D4"/>
    <w:rsid w:val="004E1962"/>
    <w:rsid w:val="004E2031"/>
    <w:rsid w:val="004E2278"/>
    <w:rsid w:val="004E233F"/>
    <w:rsid w:val="004E2754"/>
    <w:rsid w:val="004E2E9D"/>
    <w:rsid w:val="004E36B5"/>
    <w:rsid w:val="004E39CE"/>
    <w:rsid w:val="004E3C1E"/>
    <w:rsid w:val="004E3F09"/>
    <w:rsid w:val="004E4249"/>
    <w:rsid w:val="004E42B2"/>
    <w:rsid w:val="004E4BD3"/>
    <w:rsid w:val="004E4FF2"/>
    <w:rsid w:val="004E5079"/>
    <w:rsid w:val="004E53C0"/>
    <w:rsid w:val="004E60BC"/>
    <w:rsid w:val="004E6162"/>
    <w:rsid w:val="004E6240"/>
    <w:rsid w:val="004E663C"/>
    <w:rsid w:val="004E70CB"/>
    <w:rsid w:val="004E76CC"/>
    <w:rsid w:val="004F01C6"/>
    <w:rsid w:val="004F01EF"/>
    <w:rsid w:val="004F0FAF"/>
    <w:rsid w:val="004F126D"/>
    <w:rsid w:val="004F1BB1"/>
    <w:rsid w:val="004F2006"/>
    <w:rsid w:val="004F2615"/>
    <w:rsid w:val="004F270D"/>
    <w:rsid w:val="004F289D"/>
    <w:rsid w:val="004F325F"/>
    <w:rsid w:val="004F3697"/>
    <w:rsid w:val="004F36C5"/>
    <w:rsid w:val="004F3E04"/>
    <w:rsid w:val="004F3FB4"/>
    <w:rsid w:val="004F40D9"/>
    <w:rsid w:val="004F4256"/>
    <w:rsid w:val="004F46A8"/>
    <w:rsid w:val="004F46DC"/>
    <w:rsid w:val="004F491B"/>
    <w:rsid w:val="004F4A45"/>
    <w:rsid w:val="004F4B92"/>
    <w:rsid w:val="004F4DA7"/>
    <w:rsid w:val="004F5D34"/>
    <w:rsid w:val="004F625C"/>
    <w:rsid w:val="004F6429"/>
    <w:rsid w:val="004F6A29"/>
    <w:rsid w:val="004F6AC8"/>
    <w:rsid w:val="004F6EBC"/>
    <w:rsid w:val="004F6EEB"/>
    <w:rsid w:val="004F708F"/>
    <w:rsid w:val="004F7813"/>
    <w:rsid w:val="004F7CC5"/>
    <w:rsid w:val="004F7E86"/>
    <w:rsid w:val="00500223"/>
    <w:rsid w:val="0050058E"/>
    <w:rsid w:val="00500688"/>
    <w:rsid w:val="0050097C"/>
    <w:rsid w:val="00500B38"/>
    <w:rsid w:val="00500EBA"/>
    <w:rsid w:val="00500F01"/>
    <w:rsid w:val="00501601"/>
    <w:rsid w:val="00501681"/>
    <w:rsid w:val="005016DE"/>
    <w:rsid w:val="005021D1"/>
    <w:rsid w:val="0050293B"/>
    <w:rsid w:val="00502D58"/>
    <w:rsid w:val="0050310B"/>
    <w:rsid w:val="005033E8"/>
    <w:rsid w:val="0050375C"/>
    <w:rsid w:val="00503CBF"/>
    <w:rsid w:val="005042C4"/>
    <w:rsid w:val="00504783"/>
    <w:rsid w:val="00504881"/>
    <w:rsid w:val="005049F3"/>
    <w:rsid w:val="00505602"/>
    <w:rsid w:val="00505ECB"/>
    <w:rsid w:val="00506008"/>
    <w:rsid w:val="00506451"/>
    <w:rsid w:val="00506709"/>
    <w:rsid w:val="00506897"/>
    <w:rsid w:val="00506EB1"/>
    <w:rsid w:val="005070C5"/>
    <w:rsid w:val="0050737C"/>
    <w:rsid w:val="00507742"/>
    <w:rsid w:val="0050789A"/>
    <w:rsid w:val="00507D3B"/>
    <w:rsid w:val="00510020"/>
    <w:rsid w:val="005103E4"/>
    <w:rsid w:val="00510538"/>
    <w:rsid w:val="00510860"/>
    <w:rsid w:val="00510952"/>
    <w:rsid w:val="00510D79"/>
    <w:rsid w:val="00510FA8"/>
    <w:rsid w:val="0051114E"/>
    <w:rsid w:val="005116A3"/>
    <w:rsid w:val="0051231D"/>
    <w:rsid w:val="00512689"/>
    <w:rsid w:val="00512908"/>
    <w:rsid w:val="00513058"/>
    <w:rsid w:val="005130D1"/>
    <w:rsid w:val="005132DD"/>
    <w:rsid w:val="00513733"/>
    <w:rsid w:val="00513C15"/>
    <w:rsid w:val="00513F58"/>
    <w:rsid w:val="00514268"/>
    <w:rsid w:val="0051454E"/>
    <w:rsid w:val="00514712"/>
    <w:rsid w:val="00514851"/>
    <w:rsid w:val="00514C6B"/>
    <w:rsid w:val="00514E5A"/>
    <w:rsid w:val="00514EFD"/>
    <w:rsid w:val="00515103"/>
    <w:rsid w:val="00515B4D"/>
    <w:rsid w:val="0051625B"/>
    <w:rsid w:val="005165EB"/>
    <w:rsid w:val="00516785"/>
    <w:rsid w:val="005168F0"/>
    <w:rsid w:val="00516A06"/>
    <w:rsid w:val="00516D97"/>
    <w:rsid w:val="00516FB1"/>
    <w:rsid w:val="00517001"/>
    <w:rsid w:val="0051726C"/>
    <w:rsid w:val="00517F30"/>
    <w:rsid w:val="005201DA"/>
    <w:rsid w:val="0052056C"/>
    <w:rsid w:val="005205B6"/>
    <w:rsid w:val="00520669"/>
    <w:rsid w:val="00521024"/>
    <w:rsid w:val="0052111D"/>
    <w:rsid w:val="005217E7"/>
    <w:rsid w:val="0052198C"/>
    <w:rsid w:val="00522101"/>
    <w:rsid w:val="005224DC"/>
    <w:rsid w:val="00522532"/>
    <w:rsid w:val="00522A6A"/>
    <w:rsid w:val="00522D43"/>
    <w:rsid w:val="00522E84"/>
    <w:rsid w:val="00522F10"/>
    <w:rsid w:val="00522FAF"/>
    <w:rsid w:val="005234E3"/>
    <w:rsid w:val="00523A4A"/>
    <w:rsid w:val="00523A80"/>
    <w:rsid w:val="00523BE7"/>
    <w:rsid w:val="00523ECF"/>
    <w:rsid w:val="00523FEC"/>
    <w:rsid w:val="00524132"/>
    <w:rsid w:val="0052419D"/>
    <w:rsid w:val="00524F64"/>
    <w:rsid w:val="0052530D"/>
    <w:rsid w:val="005255AF"/>
    <w:rsid w:val="0052583E"/>
    <w:rsid w:val="00525A14"/>
    <w:rsid w:val="0052628D"/>
    <w:rsid w:val="0052641F"/>
    <w:rsid w:val="005267EA"/>
    <w:rsid w:val="005268EF"/>
    <w:rsid w:val="00526C71"/>
    <w:rsid w:val="005273AF"/>
    <w:rsid w:val="00527A8F"/>
    <w:rsid w:val="00527A99"/>
    <w:rsid w:val="005300F9"/>
    <w:rsid w:val="005301F8"/>
    <w:rsid w:val="00530227"/>
    <w:rsid w:val="00530246"/>
    <w:rsid w:val="0053048D"/>
    <w:rsid w:val="005308BA"/>
    <w:rsid w:val="00530938"/>
    <w:rsid w:val="00530ACF"/>
    <w:rsid w:val="0053105D"/>
    <w:rsid w:val="005312FC"/>
    <w:rsid w:val="005314A6"/>
    <w:rsid w:val="00532234"/>
    <w:rsid w:val="005324ED"/>
    <w:rsid w:val="0053285B"/>
    <w:rsid w:val="005328DE"/>
    <w:rsid w:val="005333F7"/>
    <w:rsid w:val="005336F4"/>
    <w:rsid w:val="00533A45"/>
    <w:rsid w:val="00533AC4"/>
    <w:rsid w:val="00533D4A"/>
    <w:rsid w:val="00533DE8"/>
    <w:rsid w:val="00533EE2"/>
    <w:rsid w:val="00534386"/>
    <w:rsid w:val="005344E3"/>
    <w:rsid w:val="00535096"/>
    <w:rsid w:val="0053569E"/>
    <w:rsid w:val="00535D80"/>
    <w:rsid w:val="0053603D"/>
    <w:rsid w:val="005366B9"/>
    <w:rsid w:val="00536E70"/>
    <w:rsid w:val="00537208"/>
    <w:rsid w:val="005372EC"/>
    <w:rsid w:val="0053737C"/>
    <w:rsid w:val="0053742A"/>
    <w:rsid w:val="00537C85"/>
    <w:rsid w:val="00537CFB"/>
    <w:rsid w:val="0054000E"/>
    <w:rsid w:val="00540C3A"/>
    <w:rsid w:val="00540C57"/>
    <w:rsid w:val="00540DD7"/>
    <w:rsid w:val="005413FC"/>
    <w:rsid w:val="005417A9"/>
    <w:rsid w:val="00541D29"/>
    <w:rsid w:val="00541E6F"/>
    <w:rsid w:val="00541F43"/>
    <w:rsid w:val="00542790"/>
    <w:rsid w:val="005427AB"/>
    <w:rsid w:val="00543D0F"/>
    <w:rsid w:val="00543E27"/>
    <w:rsid w:val="00543F94"/>
    <w:rsid w:val="00543FA8"/>
    <w:rsid w:val="00544365"/>
    <w:rsid w:val="0054469C"/>
    <w:rsid w:val="00545520"/>
    <w:rsid w:val="005459EA"/>
    <w:rsid w:val="0054603A"/>
    <w:rsid w:val="005460E7"/>
    <w:rsid w:val="0054692F"/>
    <w:rsid w:val="00546F14"/>
    <w:rsid w:val="00546F1D"/>
    <w:rsid w:val="00546F45"/>
    <w:rsid w:val="00546FFF"/>
    <w:rsid w:val="0054721E"/>
    <w:rsid w:val="0054727F"/>
    <w:rsid w:val="00547820"/>
    <w:rsid w:val="005479D8"/>
    <w:rsid w:val="005502FB"/>
    <w:rsid w:val="00550980"/>
    <w:rsid w:val="00550B52"/>
    <w:rsid w:val="00550EA7"/>
    <w:rsid w:val="005517EF"/>
    <w:rsid w:val="005519AB"/>
    <w:rsid w:val="00551ED4"/>
    <w:rsid w:val="005525C3"/>
    <w:rsid w:val="00552949"/>
    <w:rsid w:val="0055346D"/>
    <w:rsid w:val="0055443B"/>
    <w:rsid w:val="00555A25"/>
    <w:rsid w:val="00555A35"/>
    <w:rsid w:val="0055614E"/>
    <w:rsid w:val="0055616B"/>
    <w:rsid w:val="00556189"/>
    <w:rsid w:val="005565D4"/>
    <w:rsid w:val="005568A6"/>
    <w:rsid w:val="005569F1"/>
    <w:rsid w:val="00556CC5"/>
    <w:rsid w:val="00556EAB"/>
    <w:rsid w:val="00557096"/>
    <w:rsid w:val="005571A5"/>
    <w:rsid w:val="005577F5"/>
    <w:rsid w:val="00557A06"/>
    <w:rsid w:val="00557A12"/>
    <w:rsid w:val="00557C24"/>
    <w:rsid w:val="005601DB"/>
    <w:rsid w:val="00560220"/>
    <w:rsid w:val="00560713"/>
    <w:rsid w:val="00561C63"/>
    <w:rsid w:val="0056200E"/>
    <w:rsid w:val="005620DB"/>
    <w:rsid w:val="005626AA"/>
    <w:rsid w:val="005628B3"/>
    <w:rsid w:val="005628D0"/>
    <w:rsid w:val="00562F17"/>
    <w:rsid w:val="00562FE8"/>
    <w:rsid w:val="0056415E"/>
    <w:rsid w:val="0056449B"/>
    <w:rsid w:val="00564501"/>
    <w:rsid w:val="005645AF"/>
    <w:rsid w:val="005646EB"/>
    <w:rsid w:val="00564749"/>
    <w:rsid w:val="0056483E"/>
    <w:rsid w:val="00564BC7"/>
    <w:rsid w:val="00565138"/>
    <w:rsid w:val="00565759"/>
    <w:rsid w:val="0056582C"/>
    <w:rsid w:val="00565847"/>
    <w:rsid w:val="00565EBA"/>
    <w:rsid w:val="005660E4"/>
    <w:rsid w:val="005663A9"/>
    <w:rsid w:val="00566945"/>
    <w:rsid w:val="00566A62"/>
    <w:rsid w:val="00566D19"/>
    <w:rsid w:val="00566ED0"/>
    <w:rsid w:val="00567044"/>
    <w:rsid w:val="00567415"/>
    <w:rsid w:val="00567581"/>
    <w:rsid w:val="005675CE"/>
    <w:rsid w:val="00567D4B"/>
    <w:rsid w:val="005700CA"/>
    <w:rsid w:val="00570174"/>
    <w:rsid w:val="005704C4"/>
    <w:rsid w:val="00570A3F"/>
    <w:rsid w:val="00570B7C"/>
    <w:rsid w:val="00570C9D"/>
    <w:rsid w:val="00570FDC"/>
    <w:rsid w:val="005715D1"/>
    <w:rsid w:val="0057168C"/>
    <w:rsid w:val="005717EB"/>
    <w:rsid w:val="00571ADE"/>
    <w:rsid w:val="00571E2F"/>
    <w:rsid w:val="00571F77"/>
    <w:rsid w:val="005727BD"/>
    <w:rsid w:val="00572F72"/>
    <w:rsid w:val="00573077"/>
    <w:rsid w:val="005730F8"/>
    <w:rsid w:val="0057397C"/>
    <w:rsid w:val="00573C7B"/>
    <w:rsid w:val="00573DEF"/>
    <w:rsid w:val="00573E37"/>
    <w:rsid w:val="005740D8"/>
    <w:rsid w:val="005740E0"/>
    <w:rsid w:val="00574544"/>
    <w:rsid w:val="00574567"/>
    <w:rsid w:val="00574849"/>
    <w:rsid w:val="00574859"/>
    <w:rsid w:val="00574CD0"/>
    <w:rsid w:val="0057545C"/>
    <w:rsid w:val="005755B5"/>
    <w:rsid w:val="00575972"/>
    <w:rsid w:val="00575999"/>
    <w:rsid w:val="005761A7"/>
    <w:rsid w:val="00576B13"/>
    <w:rsid w:val="005770BE"/>
    <w:rsid w:val="00577ABF"/>
    <w:rsid w:val="0058089E"/>
    <w:rsid w:val="00580CAE"/>
    <w:rsid w:val="005812DA"/>
    <w:rsid w:val="005816F9"/>
    <w:rsid w:val="00581C06"/>
    <w:rsid w:val="00581E3A"/>
    <w:rsid w:val="0058214B"/>
    <w:rsid w:val="005825DD"/>
    <w:rsid w:val="00582922"/>
    <w:rsid w:val="005833E0"/>
    <w:rsid w:val="00583505"/>
    <w:rsid w:val="00583559"/>
    <w:rsid w:val="0058370B"/>
    <w:rsid w:val="005837F7"/>
    <w:rsid w:val="005842BB"/>
    <w:rsid w:val="005844CB"/>
    <w:rsid w:val="005848AD"/>
    <w:rsid w:val="00585416"/>
    <w:rsid w:val="005855D7"/>
    <w:rsid w:val="005863A3"/>
    <w:rsid w:val="005868DE"/>
    <w:rsid w:val="00586F3F"/>
    <w:rsid w:val="0058709F"/>
    <w:rsid w:val="0058741E"/>
    <w:rsid w:val="0058756B"/>
    <w:rsid w:val="005877AC"/>
    <w:rsid w:val="0058792B"/>
    <w:rsid w:val="00587CD9"/>
    <w:rsid w:val="00590255"/>
    <w:rsid w:val="0059041D"/>
    <w:rsid w:val="00590534"/>
    <w:rsid w:val="00590B30"/>
    <w:rsid w:val="0059170C"/>
    <w:rsid w:val="00591A7E"/>
    <w:rsid w:val="00591B8F"/>
    <w:rsid w:val="00591E8A"/>
    <w:rsid w:val="005920EC"/>
    <w:rsid w:val="00593266"/>
    <w:rsid w:val="005932B6"/>
    <w:rsid w:val="005934F9"/>
    <w:rsid w:val="00593C84"/>
    <w:rsid w:val="00594706"/>
    <w:rsid w:val="00594AB0"/>
    <w:rsid w:val="00594AB1"/>
    <w:rsid w:val="00594E39"/>
    <w:rsid w:val="005955A2"/>
    <w:rsid w:val="00595750"/>
    <w:rsid w:val="00596094"/>
    <w:rsid w:val="005963FA"/>
    <w:rsid w:val="005966B7"/>
    <w:rsid w:val="00596959"/>
    <w:rsid w:val="005969CC"/>
    <w:rsid w:val="00596A85"/>
    <w:rsid w:val="00596C01"/>
    <w:rsid w:val="00596D5B"/>
    <w:rsid w:val="00596FA0"/>
    <w:rsid w:val="00597907"/>
    <w:rsid w:val="00597B2F"/>
    <w:rsid w:val="00597E41"/>
    <w:rsid w:val="005A00D8"/>
    <w:rsid w:val="005A0142"/>
    <w:rsid w:val="005A080C"/>
    <w:rsid w:val="005A083E"/>
    <w:rsid w:val="005A0F5D"/>
    <w:rsid w:val="005A11F9"/>
    <w:rsid w:val="005A16CF"/>
    <w:rsid w:val="005A17B1"/>
    <w:rsid w:val="005A1841"/>
    <w:rsid w:val="005A1950"/>
    <w:rsid w:val="005A1C93"/>
    <w:rsid w:val="005A1E28"/>
    <w:rsid w:val="005A2CF1"/>
    <w:rsid w:val="005A386D"/>
    <w:rsid w:val="005A38CE"/>
    <w:rsid w:val="005A3DD2"/>
    <w:rsid w:val="005A3F26"/>
    <w:rsid w:val="005A4033"/>
    <w:rsid w:val="005A4085"/>
    <w:rsid w:val="005A42E6"/>
    <w:rsid w:val="005A4393"/>
    <w:rsid w:val="005A4458"/>
    <w:rsid w:val="005A472E"/>
    <w:rsid w:val="005A4848"/>
    <w:rsid w:val="005A5561"/>
    <w:rsid w:val="005A567B"/>
    <w:rsid w:val="005A56B9"/>
    <w:rsid w:val="005A5E99"/>
    <w:rsid w:val="005A61CB"/>
    <w:rsid w:val="005A645E"/>
    <w:rsid w:val="005A657E"/>
    <w:rsid w:val="005A69B1"/>
    <w:rsid w:val="005A6EDF"/>
    <w:rsid w:val="005A733B"/>
    <w:rsid w:val="005A7850"/>
    <w:rsid w:val="005B0109"/>
    <w:rsid w:val="005B0677"/>
    <w:rsid w:val="005B083F"/>
    <w:rsid w:val="005B1892"/>
    <w:rsid w:val="005B1A11"/>
    <w:rsid w:val="005B1FF2"/>
    <w:rsid w:val="005B2158"/>
    <w:rsid w:val="005B234E"/>
    <w:rsid w:val="005B2385"/>
    <w:rsid w:val="005B24F6"/>
    <w:rsid w:val="005B35DA"/>
    <w:rsid w:val="005B385E"/>
    <w:rsid w:val="005B49DF"/>
    <w:rsid w:val="005B4E34"/>
    <w:rsid w:val="005B5049"/>
    <w:rsid w:val="005B52CB"/>
    <w:rsid w:val="005B5965"/>
    <w:rsid w:val="005B5A83"/>
    <w:rsid w:val="005B5B72"/>
    <w:rsid w:val="005B5D2E"/>
    <w:rsid w:val="005B5D87"/>
    <w:rsid w:val="005B5E2A"/>
    <w:rsid w:val="005B5F56"/>
    <w:rsid w:val="005B5F7D"/>
    <w:rsid w:val="005B6374"/>
    <w:rsid w:val="005B638D"/>
    <w:rsid w:val="005B71AF"/>
    <w:rsid w:val="005B747B"/>
    <w:rsid w:val="005B77C2"/>
    <w:rsid w:val="005B7B60"/>
    <w:rsid w:val="005B7B65"/>
    <w:rsid w:val="005C02A4"/>
    <w:rsid w:val="005C053B"/>
    <w:rsid w:val="005C056D"/>
    <w:rsid w:val="005C0694"/>
    <w:rsid w:val="005C087D"/>
    <w:rsid w:val="005C09DD"/>
    <w:rsid w:val="005C100C"/>
    <w:rsid w:val="005C10A3"/>
    <w:rsid w:val="005C20D2"/>
    <w:rsid w:val="005C2183"/>
    <w:rsid w:val="005C2457"/>
    <w:rsid w:val="005C29B6"/>
    <w:rsid w:val="005C2DAB"/>
    <w:rsid w:val="005C2F74"/>
    <w:rsid w:val="005C32FE"/>
    <w:rsid w:val="005C4484"/>
    <w:rsid w:val="005C4840"/>
    <w:rsid w:val="005C4E96"/>
    <w:rsid w:val="005C503A"/>
    <w:rsid w:val="005C5196"/>
    <w:rsid w:val="005C583A"/>
    <w:rsid w:val="005C6293"/>
    <w:rsid w:val="005C6633"/>
    <w:rsid w:val="005C66D2"/>
    <w:rsid w:val="005C6880"/>
    <w:rsid w:val="005C700C"/>
    <w:rsid w:val="005C7108"/>
    <w:rsid w:val="005C72D5"/>
    <w:rsid w:val="005C7404"/>
    <w:rsid w:val="005C7642"/>
    <w:rsid w:val="005C7792"/>
    <w:rsid w:val="005C78C5"/>
    <w:rsid w:val="005C7A49"/>
    <w:rsid w:val="005C7BD0"/>
    <w:rsid w:val="005D0129"/>
    <w:rsid w:val="005D024A"/>
    <w:rsid w:val="005D025B"/>
    <w:rsid w:val="005D0D81"/>
    <w:rsid w:val="005D116C"/>
    <w:rsid w:val="005D1491"/>
    <w:rsid w:val="005D1866"/>
    <w:rsid w:val="005D21D3"/>
    <w:rsid w:val="005D226B"/>
    <w:rsid w:val="005D34BA"/>
    <w:rsid w:val="005D37E4"/>
    <w:rsid w:val="005D4296"/>
    <w:rsid w:val="005D47F6"/>
    <w:rsid w:val="005D4ECC"/>
    <w:rsid w:val="005D4F19"/>
    <w:rsid w:val="005D4FD4"/>
    <w:rsid w:val="005D5134"/>
    <w:rsid w:val="005D5206"/>
    <w:rsid w:val="005D5B98"/>
    <w:rsid w:val="005D5E64"/>
    <w:rsid w:val="005D635E"/>
    <w:rsid w:val="005D6412"/>
    <w:rsid w:val="005D64B6"/>
    <w:rsid w:val="005D6CB0"/>
    <w:rsid w:val="005D6D64"/>
    <w:rsid w:val="005D74C8"/>
    <w:rsid w:val="005D75A9"/>
    <w:rsid w:val="005D7BED"/>
    <w:rsid w:val="005D7D87"/>
    <w:rsid w:val="005E01B5"/>
    <w:rsid w:val="005E0490"/>
    <w:rsid w:val="005E0DC7"/>
    <w:rsid w:val="005E0F29"/>
    <w:rsid w:val="005E1455"/>
    <w:rsid w:val="005E14A4"/>
    <w:rsid w:val="005E170E"/>
    <w:rsid w:val="005E2735"/>
    <w:rsid w:val="005E2B84"/>
    <w:rsid w:val="005E30A0"/>
    <w:rsid w:val="005E3200"/>
    <w:rsid w:val="005E3ABA"/>
    <w:rsid w:val="005E3CF9"/>
    <w:rsid w:val="005E476F"/>
    <w:rsid w:val="005E4FC6"/>
    <w:rsid w:val="005E53A0"/>
    <w:rsid w:val="005E583E"/>
    <w:rsid w:val="005E596A"/>
    <w:rsid w:val="005E5B4E"/>
    <w:rsid w:val="005E5CD8"/>
    <w:rsid w:val="005E67A6"/>
    <w:rsid w:val="005E6897"/>
    <w:rsid w:val="005E6B6C"/>
    <w:rsid w:val="005E6C97"/>
    <w:rsid w:val="005E6CC6"/>
    <w:rsid w:val="005E704C"/>
    <w:rsid w:val="005E719F"/>
    <w:rsid w:val="005E730A"/>
    <w:rsid w:val="005E77CD"/>
    <w:rsid w:val="005E7BFC"/>
    <w:rsid w:val="005E7F47"/>
    <w:rsid w:val="005F03DE"/>
    <w:rsid w:val="005F069F"/>
    <w:rsid w:val="005F06A8"/>
    <w:rsid w:val="005F1163"/>
    <w:rsid w:val="005F19B2"/>
    <w:rsid w:val="005F26BF"/>
    <w:rsid w:val="005F2ADB"/>
    <w:rsid w:val="005F3885"/>
    <w:rsid w:val="005F3902"/>
    <w:rsid w:val="005F3939"/>
    <w:rsid w:val="005F3B9E"/>
    <w:rsid w:val="005F3C87"/>
    <w:rsid w:val="005F3D66"/>
    <w:rsid w:val="005F3E97"/>
    <w:rsid w:val="005F4D78"/>
    <w:rsid w:val="005F4DD7"/>
    <w:rsid w:val="005F4E56"/>
    <w:rsid w:val="005F53B7"/>
    <w:rsid w:val="005F553A"/>
    <w:rsid w:val="005F55DE"/>
    <w:rsid w:val="005F5833"/>
    <w:rsid w:val="005F5953"/>
    <w:rsid w:val="005F622C"/>
    <w:rsid w:val="005F63AE"/>
    <w:rsid w:val="005F6426"/>
    <w:rsid w:val="005F6959"/>
    <w:rsid w:val="005F7069"/>
    <w:rsid w:val="005F7141"/>
    <w:rsid w:val="005F7614"/>
    <w:rsid w:val="005F7A41"/>
    <w:rsid w:val="005F7AE4"/>
    <w:rsid w:val="0060023D"/>
    <w:rsid w:val="0060077D"/>
    <w:rsid w:val="00600980"/>
    <w:rsid w:val="00600C91"/>
    <w:rsid w:val="006012E3"/>
    <w:rsid w:val="006012F4"/>
    <w:rsid w:val="00601428"/>
    <w:rsid w:val="00601650"/>
    <w:rsid w:val="00601ADE"/>
    <w:rsid w:val="00601E3E"/>
    <w:rsid w:val="006020C0"/>
    <w:rsid w:val="006024D3"/>
    <w:rsid w:val="00602A80"/>
    <w:rsid w:val="00602A89"/>
    <w:rsid w:val="00602B35"/>
    <w:rsid w:val="00603068"/>
    <w:rsid w:val="006030EA"/>
    <w:rsid w:val="006032CA"/>
    <w:rsid w:val="00603C08"/>
    <w:rsid w:val="00603C92"/>
    <w:rsid w:val="00603DCE"/>
    <w:rsid w:val="00603F63"/>
    <w:rsid w:val="006047D6"/>
    <w:rsid w:val="00604EEF"/>
    <w:rsid w:val="00604F34"/>
    <w:rsid w:val="00605411"/>
    <w:rsid w:val="0060573D"/>
    <w:rsid w:val="00605AFD"/>
    <w:rsid w:val="00605F2E"/>
    <w:rsid w:val="006061E9"/>
    <w:rsid w:val="0060647A"/>
    <w:rsid w:val="006074FD"/>
    <w:rsid w:val="006076E8"/>
    <w:rsid w:val="00607976"/>
    <w:rsid w:val="00607C0C"/>
    <w:rsid w:val="00610131"/>
    <w:rsid w:val="006102C8"/>
    <w:rsid w:val="0061051B"/>
    <w:rsid w:val="00611126"/>
    <w:rsid w:val="0061121C"/>
    <w:rsid w:val="00611AA8"/>
    <w:rsid w:val="00611AF6"/>
    <w:rsid w:val="00612263"/>
    <w:rsid w:val="006123D4"/>
    <w:rsid w:val="0061271D"/>
    <w:rsid w:val="0061285F"/>
    <w:rsid w:val="00612875"/>
    <w:rsid w:val="00612906"/>
    <w:rsid w:val="006132FA"/>
    <w:rsid w:val="006135BF"/>
    <w:rsid w:val="006138AB"/>
    <w:rsid w:val="00613CD1"/>
    <w:rsid w:val="006141CF"/>
    <w:rsid w:val="0061445B"/>
    <w:rsid w:val="006149CF"/>
    <w:rsid w:val="00614B8C"/>
    <w:rsid w:val="00614D20"/>
    <w:rsid w:val="0061551C"/>
    <w:rsid w:val="00616C48"/>
    <w:rsid w:val="00616C78"/>
    <w:rsid w:val="00617191"/>
    <w:rsid w:val="006172BA"/>
    <w:rsid w:val="00617644"/>
    <w:rsid w:val="0061784D"/>
    <w:rsid w:val="00617CC4"/>
    <w:rsid w:val="00617F80"/>
    <w:rsid w:val="00620584"/>
    <w:rsid w:val="00620816"/>
    <w:rsid w:val="0062100D"/>
    <w:rsid w:val="00621155"/>
    <w:rsid w:val="006212EF"/>
    <w:rsid w:val="006213E7"/>
    <w:rsid w:val="00621499"/>
    <w:rsid w:val="00622126"/>
    <w:rsid w:val="00622758"/>
    <w:rsid w:val="00622B0B"/>
    <w:rsid w:val="00622ED3"/>
    <w:rsid w:val="00622F4C"/>
    <w:rsid w:val="006231DC"/>
    <w:rsid w:val="0062333D"/>
    <w:rsid w:val="00623835"/>
    <w:rsid w:val="00623BC6"/>
    <w:rsid w:val="00623C6A"/>
    <w:rsid w:val="00623DB5"/>
    <w:rsid w:val="00624366"/>
    <w:rsid w:val="0062474C"/>
    <w:rsid w:val="00624C4B"/>
    <w:rsid w:val="00624DA1"/>
    <w:rsid w:val="00624FCF"/>
    <w:rsid w:val="006253B5"/>
    <w:rsid w:val="00625EC9"/>
    <w:rsid w:val="006261EA"/>
    <w:rsid w:val="00626715"/>
    <w:rsid w:val="0062696B"/>
    <w:rsid w:val="00627613"/>
    <w:rsid w:val="006277D9"/>
    <w:rsid w:val="00627BF7"/>
    <w:rsid w:val="0063064C"/>
    <w:rsid w:val="0063064D"/>
    <w:rsid w:val="006307A9"/>
    <w:rsid w:val="0063165F"/>
    <w:rsid w:val="00631C9E"/>
    <w:rsid w:val="00631E49"/>
    <w:rsid w:val="00632273"/>
    <w:rsid w:val="00632455"/>
    <w:rsid w:val="0063281F"/>
    <w:rsid w:val="00632BC3"/>
    <w:rsid w:val="00633623"/>
    <w:rsid w:val="006336D7"/>
    <w:rsid w:val="00633934"/>
    <w:rsid w:val="00634064"/>
    <w:rsid w:val="0063493A"/>
    <w:rsid w:val="006349E5"/>
    <w:rsid w:val="00634EA4"/>
    <w:rsid w:val="0063521A"/>
    <w:rsid w:val="0063535E"/>
    <w:rsid w:val="006358A6"/>
    <w:rsid w:val="00635E0E"/>
    <w:rsid w:val="00636535"/>
    <w:rsid w:val="0063706B"/>
    <w:rsid w:val="00637708"/>
    <w:rsid w:val="00637A64"/>
    <w:rsid w:val="00637B5D"/>
    <w:rsid w:val="00637DBB"/>
    <w:rsid w:val="0064045A"/>
    <w:rsid w:val="0064060E"/>
    <w:rsid w:val="00640681"/>
    <w:rsid w:val="006409C2"/>
    <w:rsid w:val="00641013"/>
    <w:rsid w:val="00641314"/>
    <w:rsid w:val="00641CD7"/>
    <w:rsid w:val="00641E05"/>
    <w:rsid w:val="00641E3C"/>
    <w:rsid w:val="00641EA5"/>
    <w:rsid w:val="006425EF"/>
    <w:rsid w:val="006426C4"/>
    <w:rsid w:val="006429C9"/>
    <w:rsid w:val="00642BEB"/>
    <w:rsid w:val="0064334C"/>
    <w:rsid w:val="00643738"/>
    <w:rsid w:val="00643828"/>
    <w:rsid w:val="0064389C"/>
    <w:rsid w:val="00643AF2"/>
    <w:rsid w:val="00643DD6"/>
    <w:rsid w:val="006440FC"/>
    <w:rsid w:val="00644357"/>
    <w:rsid w:val="00644803"/>
    <w:rsid w:val="00644AEE"/>
    <w:rsid w:val="00644B03"/>
    <w:rsid w:val="00644E8C"/>
    <w:rsid w:val="00645052"/>
    <w:rsid w:val="00645784"/>
    <w:rsid w:val="00645C0A"/>
    <w:rsid w:val="00646146"/>
    <w:rsid w:val="00646A91"/>
    <w:rsid w:val="00646AFF"/>
    <w:rsid w:val="00646C59"/>
    <w:rsid w:val="0064738E"/>
    <w:rsid w:val="0064751B"/>
    <w:rsid w:val="00647626"/>
    <w:rsid w:val="006478AA"/>
    <w:rsid w:val="00647D54"/>
    <w:rsid w:val="00650012"/>
    <w:rsid w:val="00650308"/>
    <w:rsid w:val="00650B31"/>
    <w:rsid w:val="00650DDA"/>
    <w:rsid w:val="006511B3"/>
    <w:rsid w:val="00651AE4"/>
    <w:rsid w:val="00651EAE"/>
    <w:rsid w:val="00652017"/>
    <w:rsid w:val="006529C9"/>
    <w:rsid w:val="00652E67"/>
    <w:rsid w:val="0065338B"/>
    <w:rsid w:val="006533D8"/>
    <w:rsid w:val="00653EC8"/>
    <w:rsid w:val="00653F3F"/>
    <w:rsid w:val="0065410C"/>
    <w:rsid w:val="00654533"/>
    <w:rsid w:val="0065465D"/>
    <w:rsid w:val="0065484B"/>
    <w:rsid w:val="00654A7C"/>
    <w:rsid w:val="00654E02"/>
    <w:rsid w:val="00655138"/>
    <w:rsid w:val="0065525D"/>
    <w:rsid w:val="006553C2"/>
    <w:rsid w:val="00655591"/>
    <w:rsid w:val="006556C0"/>
    <w:rsid w:val="00655894"/>
    <w:rsid w:val="00656002"/>
    <w:rsid w:val="006564D3"/>
    <w:rsid w:val="006573AA"/>
    <w:rsid w:val="006577B5"/>
    <w:rsid w:val="00657C11"/>
    <w:rsid w:val="006602D8"/>
    <w:rsid w:val="00660438"/>
    <w:rsid w:val="0066070A"/>
    <w:rsid w:val="00660790"/>
    <w:rsid w:val="00660FA5"/>
    <w:rsid w:val="00661704"/>
    <w:rsid w:val="00661A4D"/>
    <w:rsid w:val="00661DD3"/>
    <w:rsid w:val="0066245E"/>
    <w:rsid w:val="00662962"/>
    <w:rsid w:val="0066300E"/>
    <w:rsid w:val="00663011"/>
    <w:rsid w:val="0066314C"/>
    <w:rsid w:val="00663AEE"/>
    <w:rsid w:val="00663DD8"/>
    <w:rsid w:val="006645C8"/>
    <w:rsid w:val="00664E9D"/>
    <w:rsid w:val="0066508A"/>
    <w:rsid w:val="00665DD8"/>
    <w:rsid w:val="00665E16"/>
    <w:rsid w:val="0066615A"/>
    <w:rsid w:val="00666275"/>
    <w:rsid w:val="0066627C"/>
    <w:rsid w:val="006664B7"/>
    <w:rsid w:val="006667F7"/>
    <w:rsid w:val="00667072"/>
    <w:rsid w:val="00667673"/>
    <w:rsid w:val="006676E9"/>
    <w:rsid w:val="0066793C"/>
    <w:rsid w:val="00667A30"/>
    <w:rsid w:val="00667EA1"/>
    <w:rsid w:val="00667F4D"/>
    <w:rsid w:val="00667F57"/>
    <w:rsid w:val="0067024D"/>
    <w:rsid w:val="00670867"/>
    <w:rsid w:val="00671002"/>
    <w:rsid w:val="0067105A"/>
    <w:rsid w:val="00671579"/>
    <w:rsid w:val="006719E8"/>
    <w:rsid w:val="0067208D"/>
    <w:rsid w:val="0067272C"/>
    <w:rsid w:val="00673697"/>
    <w:rsid w:val="0067396B"/>
    <w:rsid w:val="00673F47"/>
    <w:rsid w:val="0067426A"/>
    <w:rsid w:val="00674CE0"/>
    <w:rsid w:val="00674EB3"/>
    <w:rsid w:val="0067501E"/>
    <w:rsid w:val="0067506A"/>
    <w:rsid w:val="0067520B"/>
    <w:rsid w:val="00675542"/>
    <w:rsid w:val="006758BE"/>
    <w:rsid w:val="00675A7C"/>
    <w:rsid w:val="00675F93"/>
    <w:rsid w:val="0067606C"/>
    <w:rsid w:val="0067622C"/>
    <w:rsid w:val="006763CA"/>
    <w:rsid w:val="00676B29"/>
    <w:rsid w:val="0067703F"/>
    <w:rsid w:val="00677505"/>
    <w:rsid w:val="00677839"/>
    <w:rsid w:val="00677A9B"/>
    <w:rsid w:val="006800C7"/>
    <w:rsid w:val="0068064E"/>
    <w:rsid w:val="00680C4E"/>
    <w:rsid w:val="00680F95"/>
    <w:rsid w:val="00680FB3"/>
    <w:rsid w:val="006810FB"/>
    <w:rsid w:val="0068160D"/>
    <w:rsid w:val="0068169A"/>
    <w:rsid w:val="00681A52"/>
    <w:rsid w:val="00681B73"/>
    <w:rsid w:val="00681C0D"/>
    <w:rsid w:val="0068261D"/>
    <w:rsid w:val="006828E3"/>
    <w:rsid w:val="00682E7B"/>
    <w:rsid w:val="006832F8"/>
    <w:rsid w:val="00683327"/>
    <w:rsid w:val="00683A3F"/>
    <w:rsid w:val="00683D38"/>
    <w:rsid w:val="0068456A"/>
    <w:rsid w:val="00684DC1"/>
    <w:rsid w:val="00685139"/>
    <w:rsid w:val="00685AE7"/>
    <w:rsid w:val="00685C8E"/>
    <w:rsid w:val="00685CF7"/>
    <w:rsid w:val="00686165"/>
    <w:rsid w:val="00686612"/>
    <w:rsid w:val="00686B2D"/>
    <w:rsid w:val="00686FC2"/>
    <w:rsid w:val="0068729A"/>
    <w:rsid w:val="00687643"/>
    <w:rsid w:val="00687800"/>
    <w:rsid w:val="00690335"/>
    <w:rsid w:val="006909A8"/>
    <w:rsid w:val="00690DE6"/>
    <w:rsid w:val="00690E1C"/>
    <w:rsid w:val="006917A4"/>
    <w:rsid w:val="00691829"/>
    <w:rsid w:val="00691893"/>
    <w:rsid w:val="00691CB5"/>
    <w:rsid w:val="00691EEA"/>
    <w:rsid w:val="006923DF"/>
    <w:rsid w:val="00693385"/>
    <w:rsid w:val="006935DB"/>
    <w:rsid w:val="00693780"/>
    <w:rsid w:val="00694143"/>
    <w:rsid w:val="00694929"/>
    <w:rsid w:val="00694AD0"/>
    <w:rsid w:val="00694CDB"/>
    <w:rsid w:val="00694F3E"/>
    <w:rsid w:val="00695436"/>
    <w:rsid w:val="0069566D"/>
    <w:rsid w:val="00695794"/>
    <w:rsid w:val="006959C5"/>
    <w:rsid w:val="00695DCE"/>
    <w:rsid w:val="00695F91"/>
    <w:rsid w:val="00696047"/>
    <w:rsid w:val="0069610B"/>
    <w:rsid w:val="00696B64"/>
    <w:rsid w:val="00696BE3"/>
    <w:rsid w:val="00696F7F"/>
    <w:rsid w:val="006971EE"/>
    <w:rsid w:val="0069730F"/>
    <w:rsid w:val="0069748B"/>
    <w:rsid w:val="00697578"/>
    <w:rsid w:val="006978C4"/>
    <w:rsid w:val="00697975"/>
    <w:rsid w:val="00697F98"/>
    <w:rsid w:val="006A006F"/>
    <w:rsid w:val="006A00AE"/>
    <w:rsid w:val="006A0189"/>
    <w:rsid w:val="006A0A52"/>
    <w:rsid w:val="006A0FC0"/>
    <w:rsid w:val="006A1778"/>
    <w:rsid w:val="006A2127"/>
    <w:rsid w:val="006A214B"/>
    <w:rsid w:val="006A26EE"/>
    <w:rsid w:val="006A2C3C"/>
    <w:rsid w:val="006A2C9C"/>
    <w:rsid w:val="006A3122"/>
    <w:rsid w:val="006A36F3"/>
    <w:rsid w:val="006A37F5"/>
    <w:rsid w:val="006A47BF"/>
    <w:rsid w:val="006A4CBF"/>
    <w:rsid w:val="006A4EA4"/>
    <w:rsid w:val="006A4FFA"/>
    <w:rsid w:val="006A5455"/>
    <w:rsid w:val="006A547F"/>
    <w:rsid w:val="006A627F"/>
    <w:rsid w:val="006A6C35"/>
    <w:rsid w:val="006A6FAF"/>
    <w:rsid w:val="006A7352"/>
    <w:rsid w:val="006A7B1A"/>
    <w:rsid w:val="006A7B5A"/>
    <w:rsid w:val="006A7B9F"/>
    <w:rsid w:val="006A7CE1"/>
    <w:rsid w:val="006A7D0F"/>
    <w:rsid w:val="006B00D1"/>
    <w:rsid w:val="006B03FB"/>
    <w:rsid w:val="006B06AC"/>
    <w:rsid w:val="006B0A2D"/>
    <w:rsid w:val="006B0FE2"/>
    <w:rsid w:val="006B108E"/>
    <w:rsid w:val="006B1C7B"/>
    <w:rsid w:val="006B214D"/>
    <w:rsid w:val="006B21F1"/>
    <w:rsid w:val="006B2685"/>
    <w:rsid w:val="006B26F3"/>
    <w:rsid w:val="006B2F08"/>
    <w:rsid w:val="006B315B"/>
    <w:rsid w:val="006B342A"/>
    <w:rsid w:val="006B3591"/>
    <w:rsid w:val="006B38FF"/>
    <w:rsid w:val="006B44E4"/>
    <w:rsid w:val="006B47BC"/>
    <w:rsid w:val="006B4965"/>
    <w:rsid w:val="006B4AC5"/>
    <w:rsid w:val="006B4C5B"/>
    <w:rsid w:val="006B509E"/>
    <w:rsid w:val="006B5148"/>
    <w:rsid w:val="006B5754"/>
    <w:rsid w:val="006B5849"/>
    <w:rsid w:val="006B5E06"/>
    <w:rsid w:val="006B6173"/>
    <w:rsid w:val="006B665E"/>
    <w:rsid w:val="006B677D"/>
    <w:rsid w:val="006B6CA9"/>
    <w:rsid w:val="006B6CB3"/>
    <w:rsid w:val="006B70CB"/>
    <w:rsid w:val="006B7915"/>
    <w:rsid w:val="006B7A67"/>
    <w:rsid w:val="006B7A69"/>
    <w:rsid w:val="006B7ADC"/>
    <w:rsid w:val="006C02A0"/>
    <w:rsid w:val="006C0316"/>
    <w:rsid w:val="006C067F"/>
    <w:rsid w:val="006C07A0"/>
    <w:rsid w:val="006C0F54"/>
    <w:rsid w:val="006C1892"/>
    <w:rsid w:val="006C20E2"/>
    <w:rsid w:val="006C21FB"/>
    <w:rsid w:val="006C2231"/>
    <w:rsid w:val="006C3022"/>
    <w:rsid w:val="006C31D5"/>
    <w:rsid w:val="006C3498"/>
    <w:rsid w:val="006C3616"/>
    <w:rsid w:val="006C3B03"/>
    <w:rsid w:val="006C3D24"/>
    <w:rsid w:val="006C3FCF"/>
    <w:rsid w:val="006C4367"/>
    <w:rsid w:val="006C4493"/>
    <w:rsid w:val="006C466B"/>
    <w:rsid w:val="006C4756"/>
    <w:rsid w:val="006C4986"/>
    <w:rsid w:val="006C49C7"/>
    <w:rsid w:val="006C4D80"/>
    <w:rsid w:val="006C4F86"/>
    <w:rsid w:val="006C5056"/>
    <w:rsid w:val="006C548E"/>
    <w:rsid w:val="006C5534"/>
    <w:rsid w:val="006C5A4F"/>
    <w:rsid w:val="006C5AC3"/>
    <w:rsid w:val="006C5B73"/>
    <w:rsid w:val="006C5E66"/>
    <w:rsid w:val="006C645D"/>
    <w:rsid w:val="006C65E3"/>
    <w:rsid w:val="006C66AA"/>
    <w:rsid w:val="006C6762"/>
    <w:rsid w:val="006C6E17"/>
    <w:rsid w:val="006C6FF8"/>
    <w:rsid w:val="006C72EA"/>
    <w:rsid w:val="006C7831"/>
    <w:rsid w:val="006C791D"/>
    <w:rsid w:val="006D007E"/>
    <w:rsid w:val="006D0542"/>
    <w:rsid w:val="006D0761"/>
    <w:rsid w:val="006D0CA2"/>
    <w:rsid w:val="006D1253"/>
    <w:rsid w:val="006D24D9"/>
    <w:rsid w:val="006D2926"/>
    <w:rsid w:val="006D2E16"/>
    <w:rsid w:val="006D3416"/>
    <w:rsid w:val="006D39A1"/>
    <w:rsid w:val="006D3B4E"/>
    <w:rsid w:val="006D4010"/>
    <w:rsid w:val="006D44E6"/>
    <w:rsid w:val="006D48B3"/>
    <w:rsid w:val="006D4E13"/>
    <w:rsid w:val="006D4F50"/>
    <w:rsid w:val="006D5247"/>
    <w:rsid w:val="006D5287"/>
    <w:rsid w:val="006D59B5"/>
    <w:rsid w:val="006D5F71"/>
    <w:rsid w:val="006D6094"/>
    <w:rsid w:val="006D630B"/>
    <w:rsid w:val="006D676E"/>
    <w:rsid w:val="006D6A19"/>
    <w:rsid w:val="006D7DC3"/>
    <w:rsid w:val="006E02D2"/>
    <w:rsid w:val="006E03A3"/>
    <w:rsid w:val="006E0667"/>
    <w:rsid w:val="006E13A9"/>
    <w:rsid w:val="006E1417"/>
    <w:rsid w:val="006E1924"/>
    <w:rsid w:val="006E1AD8"/>
    <w:rsid w:val="006E25A7"/>
    <w:rsid w:val="006E2D2A"/>
    <w:rsid w:val="006E2F92"/>
    <w:rsid w:val="006E3107"/>
    <w:rsid w:val="006E31CA"/>
    <w:rsid w:val="006E3272"/>
    <w:rsid w:val="006E341B"/>
    <w:rsid w:val="006E35FA"/>
    <w:rsid w:val="006E3A3D"/>
    <w:rsid w:val="006E3CC3"/>
    <w:rsid w:val="006E3E5D"/>
    <w:rsid w:val="006E3EA1"/>
    <w:rsid w:val="006E4479"/>
    <w:rsid w:val="006E44E5"/>
    <w:rsid w:val="006E471C"/>
    <w:rsid w:val="006E490D"/>
    <w:rsid w:val="006E52F1"/>
    <w:rsid w:val="006E5A72"/>
    <w:rsid w:val="006E5FAE"/>
    <w:rsid w:val="006E67BE"/>
    <w:rsid w:val="006E6AE8"/>
    <w:rsid w:val="006E6BFF"/>
    <w:rsid w:val="006E6DF2"/>
    <w:rsid w:val="006E7CC9"/>
    <w:rsid w:val="006E7EBA"/>
    <w:rsid w:val="006F042E"/>
    <w:rsid w:val="006F0CAD"/>
    <w:rsid w:val="006F0CCC"/>
    <w:rsid w:val="006F156B"/>
    <w:rsid w:val="006F1731"/>
    <w:rsid w:val="006F185D"/>
    <w:rsid w:val="006F1D15"/>
    <w:rsid w:val="006F1E69"/>
    <w:rsid w:val="006F1F06"/>
    <w:rsid w:val="006F258F"/>
    <w:rsid w:val="006F2968"/>
    <w:rsid w:val="006F2B8F"/>
    <w:rsid w:val="006F2BD8"/>
    <w:rsid w:val="006F2D75"/>
    <w:rsid w:val="006F2E15"/>
    <w:rsid w:val="006F2EA3"/>
    <w:rsid w:val="006F2F51"/>
    <w:rsid w:val="006F30DA"/>
    <w:rsid w:val="006F36F5"/>
    <w:rsid w:val="006F373D"/>
    <w:rsid w:val="006F3932"/>
    <w:rsid w:val="006F3A86"/>
    <w:rsid w:val="006F3C61"/>
    <w:rsid w:val="006F3D58"/>
    <w:rsid w:val="006F3D66"/>
    <w:rsid w:val="006F4533"/>
    <w:rsid w:val="006F4582"/>
    <w:rsid w:val="006F4967"/>
    <w:rsid w:val="006F4C21"/>
    <w:rsid w:val="006F4C93"/>
    <w:rsid w:val="006F4CEA"/>
    <w:rsid w:val="006F4FBF"/>
    <w:rsid w:val="006F5C26"/>
    <w:rsid w:val="006F6741"/>
    <w:rsid w:val="006F67F6"/>
    <w:rsid w:val="006F68BC"/>
    <w:rsid w:val="006F6B95"/>
    <w:rsid w:val="006F7695"/>
    <w:rsid w:val="006F79D2"/>
    <w:rsid w:val="007000BE"/>
    <w:rsid w:val="007003C8"/>
    <w:rsid w:val="007006CC"/>
    <w:rsid w:val="007006E8"/>
    <w:rsid w:val="007006F8"/>
    <w:rsid w:val="00700A20"/>
    <w:rsid w:val="00700C36"/>
    <w:rsid w:val="0070127E"/>
    <w:rsid w:val="0070139C"/>
    <w:rsid w:val="0070194C"/>
    <w:rsid w:val="00701A0F"/>
    <w:rsid w:val="00701A71"/>
    <w:rsid w:val="00701AFE"/>
    <w:rsid w:val="007021E8"/>
    <w:rsid w:val="007024AB"/>
    <w:rsid w:val="0070286F"/>
    <w:rsid w:val="00702AA6"/>
    <w:rsid w:val="00702C9C"/>
    <w:rsid w:val="00702F53"/>
    <w:rsid w:val="007045EA"/>
    <w:rsid w:val="007048B4"/>
    <w:rsid w:val="00704BFF"/>
    <w:rsid w:val="00705066"/>
    <w:rsid w:val="0070519F"/>
    <w:rsid w:val="007053C4"/>
    <w:rsid w:val="00705795"/>
    <w:rsid w:val="00705AFA"/>
    <w:rsid w:val="00706986"/>
    <w:rsid w:val="00706E8E"/>
    <w:rsid w:val="00707115"/>
    <w:rsid w:val="007071CE"/>
    <w:rsid w:val="007073E4"/>
    <w:rsid w:val="007078E4"/>
    <w:rsid w:val="007105D1"/>
    <w:rsid w:val="00710A0C"/>
    <w:rsid w:val="00710C75"/>
    <w:rsid w:val="00710D15"/>
    <w:rsid w:val="00711096"/>
    <w:rsid w:val="00711262"/>
    <w:rsid w:val="0071139F"/>
    <w:rsid w:val="0071189E"/>
    <w:rsid w:val="00711E58"/>
    <w:rsid w:val="0071253E"/>
    <w:rsid w:val="007136BD"/>
    <w:rsid w:val="00713897"/>
    <w:rsid w:val="00713DE4"/>
    <w:rsid w:val="00714169"/>
    <w:rsid w:val="00714289"/>
    <w:rsid w:val="00714E1A"/>
    <w:rsid w:val="00714F19"/>
    <w:rsid w:val="00714FA9"/>
    <w:rsid w:val="007152C3"/>
    <w:rsid w:val="007154A1"/>
    <w:rsid w:val="007157F1"/>
    <w:rsid w:val="007164C8"/>
    <w:rsid w:val="007167E1"/>
    <w:rsid w:val="007170E6"/>
    <w:rsid w:val="00717A06"/>
    <w:rsid w:val="00717B0D"/>
    <w:rsid w:val="00717EC6"/>
    <w:rsid w:val="007206A9"/>
    <w:rsid w:val="00720804"/>
    <w:rsid w:val="007208C8"/>
    <w:rsid w:val="00720B6E"/>
    <w:rsid w:val="00721671"/>
    <w:rsid w:val="00721687"/>
    <w:rsid w:val="00721A0F"/>
    <w:rsid w:val="00721EB7"/>
    <w:rsid w:val="00722656"/>
    <w:rsid w:val="007229A0"/>
    <w:rsid w:val="00722B53"/>
    <w:rsid w:val="00722D3C"/>
    <w:rsid w:val="0072310F"/>
    <w:rsid w:val="00723A0A"/>
    <w:rsid w:val="007246DF"/>
    <w:rsid w:val="00724B23"/>
    <w:rsid w:val="00725596"/>
    <w:rsid w:val="007259E6"/>
    <w:rsid w:val="0072620B"/>
    <w:rsid w:val="00726759"/>
    <w:rsid w:val="007269F8"/>
    <w:rsid w:val="00726A39"/>
    <w:rsid w:val="00726B4B"/>
    <w:rsid w:val="00726BBD"/>
    <w:rsid w:val="00726C35"/>
    <w:rsid w:val="00727777"/>
    <w:rsid w:val="00727A59"/>
    <w:rsid w:val="00730787"/>
    <w:rsid w:val="007311BF"/>
    <w:rsid w:val="00731380"/>
    <w:rsid w:val="007313DA"/>
    <w:rsid w:val="00731727"/>
    <w:rsid w:val="007317AC"/>
    <w:rsid w:val="00731CA3"/>
    <w:rsid w:val="00731D0E"/>
    <w:rsid w:val="00731D84"/>
    <w:rsid w:val="00731DA4"/>
    <w:rsid w:val="00732596"/>
    <w:rsid w:val="007328CF"/>
    <w:rsid w:val="00732913"/>
    <w:rsid w:val="007331C0"/>
    <w:rsid w:val="007333E3"/>
    <w:rsid w:val="00733D7E"/>
    <w:rsid w:val="00734F3C"/>
    <w:rsid w:val="00735075"/>
    <w:rsid w:val="00735652"/>
    <w:rsid w:val="00737287"/>
    <w:rsid w:val="00737355"/>
    <w:rsid w:val="0073779E"/>
    <w:rsid w:val="00737A60"/>
    <w:rsid w:val="00740044"/>
    <w:rsid w:val="00740FEF"/>
    <w:rsid w:val="00741362"/>
    <w:rsid w:val="00741B08"/>
    <w:rsid w:val="00741B24"/>
    <w:rsid w:val="00741DA5"/>
    <w:rsid w:val="00742054"/>
    <w:rsid w:val="007423FA"/>
    <w:rsid w:val="007427F8"/>
    <w:rsid w:val="0074287A"/>
    <w:rsid w:val="00742B71"/>
    <w:rsid w:val="00742EF3"/>
    <w:rsid w:val="00743986"/>
    <w:rsid w:val="0074508E"/>
    <w:rsid w:val="007452DF"/>
    <w:rsid w:val="00745790"/>
    <w:rsid w:val="007465EC"/>
    <w:rsid w:val="00746966"/>
    <w:rsid w:val="007469F5"/>
    <w:rsid w:val="00746A80"/>
    <w:rsid w:val="00746BEE"/>
    <w:rsid w:val="007475DC"/>
    <w:rsid w:val="007500CC"/>
    <w:rsid w:val="007509DD"/>
    <w:rsid w:val="00750EB3"/>
    <w:rsid w:val="00751542"/>
    <w:rsid w:val="007516C0"/>
    <w:rsid w:val="007516CC"/>
    <w:rsid w:val="00752180"/>
    <w:rsid w:val="00752288"/>
    <w:rsid w:val="007531D3"/>
    <w:rsid w:val="007534EB"/>
    <w:rsid w:val="00753538"/>
    <w:rsid w:val="00754049"/>
    <w:rsid w:val="0075410D"/>
    <w:rsid w:val="0075665A"/>
    <w:rsid w:val="007571BA"/>
    <w:rsid w:val="0075743B"/>
    <w:rsid w:val="0075744F"/>
    <w:rsid w:val="00757A27"/>
    <w:rsid w:val="00760045"/>
    <w:rsid w:val="00760394"/>
    <w:rsid w:val="007604AE"/>
    <w:rsid w:val="00760590"/>
    <w:rsid w:val="00760B61"/>
    <w:rsid w:val="00760DA6"/>
    <w:rsid w:val="00761579"/>
    <w:rsid w:val="0076160E"/>
    <w:rsid w:val="00761AB8"/>
    <w:rsid w:val="00761B7B"/>
    <w:rsid w:val="00761C53"/>
    <w:rsid w:val="00762747"/>
    <w:rsid w:val="00762D8D"/>
    <w:rsid w:val="00762F71"/>
    <w:rsid w:val="00763474"/>
    <w:rsid w:val="007636A9"/>
    <w:rsid w:val="00764065"/>
    <w:rsid w:val="00764877"/>
    <w:rsid w:val="007648A4"/>
    <w:rsid w:val="00764995"/>
    <w:rsid w:val="00764BE9"/>
    <w:rsid w:val="0076500C"/>
    <w:rsid w:val="00765241"/>
    <w:rsid w:val="0076643D"/>
    <w:rsid w:val="007668D2"/>
    <w:rsid w:val="0076798D"/>
    <w:rsid w:val="00767BFE"/>
    <w:rsid w:val="00770E1B"/>
    <w:rsid w:val="007712B8"/>
    <w:rsid w:val="00771DD7"/>
    <w:rsid w:val="0077207C"/>
    <w:rsid w:val="00772C65"/>
    <w:rsid w:val="00773110"/>
    <w:rsid w:val="0077336D"/>
    <w:rsid w:val="007734B1"/>
    <w:rsid w:val="007736D3"/>
    <w:rsid w:val="007742DC"/>
    <w:rsid w:val="007748CA"/>
    <w:rsid w:val="0077490D"/>
    <w:rsid w:val="00774DEB"/>
    <w:rsid w:val="00774FEC"/>
    <w:rsid w:val="00774FFC"/>
    <w:rsid w:val="0077524F"/>
    <w:rsid w:val="00775435"/>
    <w:rsid w:val="007758AD"/>
    <w:rsid w:val="00775958"/>
    <w:rsid w:val="00775D00"/>
    <w:rsid w:val="00775F9E"/>
    <w:rsid w:val="007760BF"/>
    <w:rsid w:val="00776203"/>
    <w:rsid w:val="0077645B"/>
    <w:rsid w:val="0077648E"/>
    <w:rsid w:val="00776C4A"/>
    <w:rsid w:val="0077747A"/>
    <w:rsid w:val="007775A3"/>
    <w:rsid w:val="007776D3"/>
    <w:rsid w:val="007779C0"/>
    <w:rsid w:val="00777BCD"/>
    <w:rsid w:val="0078015A"/>
    <w:rsid w:val="00780BC2"/>
    <w:rsid w:val="00780E66"/>
    <w:rsid w:val="00781037"/>
    <w:rsid w:val="00781645"/>
    <w:rsid w:val="00782210"/>
    <w:rsid w:val="0078276F"/>
    <w:rsid w:val="007829CA"/>
    <w:rsid w:val="00782B6C"/>
    <w:rsid w:val="00782DCB"/>
    <w:rsid w:val="007830E6"/>
    <w:rsid w:val="007831BD"/>
    <w:rsid w:val="007832B2"/>
    <w:rsid w:val="00783BF0"/>
    <w:rsid w:val="00784199"/>
    <w:rsid w:val="007843DA"/>
    <w:rsid w:val="00784407"/>
    <w:rsid w:val="007846D2"/>
    <w:rsid w:val="007847A4"/>
    <w:rsid w:val="007849E1"/>
    <w:rsid w:val="00784C0A"/>
    <w:rsid w:val="00784CA0"/>
    <w:rsid w:val="00785553"/>
    <w:rsid w:val="00785947"/>
    <w:rsid w:val="0078684A"/>
    <w:rsid w:val="00786EBA"/>
    <w:rsid w:val="00787E5B"/>
    <w:rsid w:val="0079021B"/>
    <w:rsid w:val="00790352"/>
    <w:rsid w:val="007905F4"/>
    <w:rsid w:val="00790EF5"/>
    <w:rsid w:val="00790F50"/>
    <w:rsid w:val="0079101A"/>
    <w:rsid w:val="0079179C"/>
    <w:rsid w:val="007919B2"/>
    <w:rsid w:val="00791E3A"/>
    <w:rsid w:val="00792FF7"/>
    <w:rsid w:val="00793563"/>
    <w:rsid w:val="0079368E"/>
    <w:rsid w:val="00793BD0"/>
    <w:rsid w:val="00793C3A"/>
    <w:rsid w:val="0079429D"/>
    <w:rsid w:val="00794441"/>
    <w:rsid w:val="007944FE"/>
    <w:rsid w:val="00794948"/>
    <w:rsid w:val="00794B40"/>
    <w:rsid w:val="0079556F"/>
    <w:rsid w:val="00795966"/>
    <w:rsid w:val="00795A01"/>
    <w:rsid w:val="00795D79"/>
    <w:rsid w:val="0079678C"/>
    <w:rsid w:val="0079724E"/>
    <w:rsid w:val="007973E5"/>
    <w:rsid w:val="0079798E"/>
    <w:rsid w:val="00797A07"/>
    <w:rsid w:val="00797C38"/>
    <w:rsid w:val="00797CC6"/>
    <w:rsid w:val="007A02AB"/>
    <w:rsid w:val="007A0345"/>
    <w:rsid w:val="007A06FE"/>
    <w:rsid w:val="007A0FAE"/>
    <w:rsid w:val="007A1079"/>
    <w:rsid w:val="007A133F"/>
    <w:rsid w:val="007A1AB0"/>
    <w:rsid w:val="007A1D32"/>
    <w:rsid w:val="007A24B5"/>
    <w:rsid w:val="007A26CF"/>
    <w:rsid w:val="007A2927"/>
    <w:rsid w:val="007A2DC0"/>
    <w:rsid w:val="007A318B"/>
    <w:rsid w:val="007A3303"/>
    <w:rsid w:val="007A3362"/>
    <w:rsid w:val="007A3CD7"/>
    <w:rsid w:val="007A3F81"/>
    <w:rsid w:val="007A40C2"/>
    <w:rsid w:val="007A4503"/>
    <w:rsid w:val="007A47A8"/>
    <w:rsid w:val="007A4ABD"/>
    <w:rsid w:val="007A5494"/>
    <w:rsid w:val="007A570D"/>
    <w:rsid w:val="007A5842"/>
    <w:rsid w:val="007A61D5"/>
    <w:rsid w:val="007A6FF1"/>
    <w:rsid w:val="007A7358"/>
    <w:rsid w:val="007A795D"/>
    <w:rsid w:val="007B07C5"/>
    <w:rsid w:val="007B0EE2"/>
    <w:rsid w:val="007B0FB9"/>
    <w:rsid w:val="007B1107"/>
    <w:rsid w:val="007B1572"/>
    <w:rsid w:val="007B2677"/>
    <w:rsid w:val="007B2971"/>
    <w:rsid w:val="007B2AE5"/>
    <w:rsid w:val="007B3711"/>
    <w:rsid w:val="007B3D7D"/>
    <w:rsid w:val="007B407C"/>
    <w:rsid w:val="007B444D"/>
    <w:rsid w:val="007B49ED"/>
    <w:rsid w:val="007B4B14"/>
    <w:rsid w:val="007B4B95"/>
    <w:rsid w:val="007B4C60"/>
    <w:rsid w:val="007B4C84"/>
    <w:rsid w:val="007B4E48"/>
    <w:rsid w:val="007B4EA8"/>
    <w:rsid w:val="007B5099"/>
    <w:rsid w:val="007B5377"/>
    <w:rsid w:val="007B53DE"/>
    <w:rsid w:val="007B5C25"/>
    <w:rsid w:val="007B5FAA"/>
    <w:rsid w:val="007B6E4B"/>
    <w:rsid w:val="007B74DA"/>
    <w:rsid w:val="007B76AB"/>
    <w:rsid w:val="007B76D4"/>
    <w:rsid w:val="007B76DF"/>
    <w:rsid w:val="007B77A8"/>
    <w:rsid w:val="007B7809"/>
    <w:rsid w:val="007C00B0"/>
    <w:rsid w:val="007C0298"/>
    <w:rsid w:val="007C02AB"/>
    <w:rsid w:val="007C0387"/>
    <w:rsid w:val="007C059F"/>
    <w:rsid w:val="007C05FA"/>
    <w:rsid w:val="007C0FA4"/>
    <w:rsid w:val="007C19F6"/>
    <w:rsid w:val="007C1A1A"/>
    <w:rsid w:val="007C1D62"/>
    <w:rsid w:val="007C20B5"/>
    <w:rsid w:val="007C21D4"/>
    <w:rsid w:val="007C25D2"/>
    <w:rsid w:val="007C26E1"/>
    <w:rsid w:val="007C2924"/>
    <w:rsid w:val="007C3023"/>
    <w:rsid w:val="007C3044"/>
    <w:rsid w:val="007C33C4"/>
    <w:rsid w:val="007C367A"/>
    <w:rsid w:val="007C3866"/>
    <w:rsid w:val="007C39B7"/>
    <w:rsid w:val="007C41C9"/>
    <w:rsid w:val="007C45E0"/>
    <w:rsid w:val="007C4E22"/>
    <w:rsid w:val="007C589D"/>
    <w:rsid w:val="007C5BAA"/>
    <w:rsid w:val="007C5C6B"/>
    <w:rsid w:val="007C63F8"/>
    <w:rsid w:val="007C6C50"/>
    <w:rsid w:val="007C6EC5"/>
    <w:rsid w:val="007C712C"/>
    <w:rsid w:val="007C7393"/>
    <w:rsid w:val="007C7782"/>
    <w:rsid w:val="007C7AE7"/>
    <w:rsid w:val="007C7FDA"/>
    <w:rsid w:val="007D0005"/>
    <w:rsid w:val="007D185E"/>
    <w:rsid w:val="007D1B98"/>
    <w:rsid w:val="007D1F51"/>
    <w:rsid w:val="007D262F"/>
    <w:rsid w:val="007D2C6E"/>
    <w:rsid w:val="007D332A"/>
    <w:rsid w:val="007D3812"/>
    <w:rsid w:val="007D3B73"/>
    <w:rsid w:val="007D406B"/>
    <w:rsid w:val="007D43A6"/>
    <w:rsid w:val="007D499D"/>
    <w:rsid w:val="007D49A1"/>
    <w:rsid w:val="007D55BB"/>
    <w:rsid w:val="007D592B"/>
    <w:rsid w:val="007D5AA6"/>
    <w:rsid w:val="007D62D0"/>
    <w:rsid w:val="007D79E7"/>
    <w:rsid w:val="007D7A91"/>
    <w:rsid w:val="007E03E0"/>
    <w:rsid w:val="007E04E8"/>
    <w:rsid w:val="007E06D9"/>
    <w:rsid w:val="007E07DA"/>
    <w:rsid w:val="007E0942"/>
    <w:rsid w:val="007E0DB5"/>
    <w:rsid w:val="007E0E25"/>
    <w:rsid w:val="007E12CA"/>
    <w:rsid w:val="007E1847"/>
    <w:rsid w:val="007E196B"/>
    <w:rsid w:val="007E2454"/>
    <w:rsid w:val="007E2463"/>
    <w:rsid w:val="007E2CF6"/>
    <w:rsid w:val="007E3781"/>
    <w:rsid w:val="007E37FC"/>
    <w:rsid w:val="007E385E"/>
    <w:rsid w:val="007E3CEF"/>
    <w:rsid w:val="007E40EE"/>
    <w:rsid w:val="007E42EE"/>
    <w:rsid w:val="007E4AD9"/>
    <w:rsid w:val="007E4F74"/>
    <w:rsid w:val="007E5C37"/>
    <w:rsid w:val="007E5C8F"/>
    <w:rsid w:val="007E6266"/>
    <w:rsid w:val="007E635D"/>
    <w:rsid w:val="007E6418"/>
    <w:rsid w:val="007E6456"/>
    <w:rsid w:val="007E688E"/>
    <w:rsid w:val="007E6950"/>
    <w:rsid w:val="007E6F7F"/>
    <w:rsid w:val="007F0658"/>
    <w:rsid w:val="007F0B75"/>
    <w:rsid w:val="007F0C6C"/>
    <w:rsid w:val="007F1118"/>
    <w:rsid w:val="007F136B"/>
    <w:rsid w:val="007F13B4"/>
    <w:rsid w:val="007F1A8B"/>
    <w:rsid w:val="007F2690"/>
    <w:rsid w:val="007F2C31"/>
    <w:rsid w:val="007F31CD"/>
    <w:rsid w:val="007F3AAB"/>
    <w:rsid w:val="007F3B66"/>
    <w:rsid w:val="007F3C6F"/>
    <w:rsid w:val="007F4027"/>
    <w:rsid w:val="007F4726"/>
    <w:rsid w:val="007F4920"/>
    <w:rsid w:val="007F4B15"/>
    <w:rsid w:val="007F4E9F"/>
    <w:rsid w:val="007F50F9"/>
    <w:rsid w:val="007F52DA"/>
    <w:rsid w:val="007F5414"/>
    <w:rsid w:val="007F55B1"/>
    <w:rsid w:val="007F56EE"/>
    <w:rsid w:val="007F5C85"/>
    <w:rsid w:val="007F5E72"/>
    <w:rsid w:val="007F61AC"/>
    <w:rsid w:val="007F621D"/>
    <w:rsid w:val="007F6933"/>
    <w:rsid w:val="007F6C6B"/>
    <w:rsid w:val="007F6E1C"/>
    <w:rsid w:val="007F6F36"/>
    <w:rsid w:val="007F78C5"/>
    <w:rsid w:val="007F7A2E"/>
    <w:rsid w:val="007F7D46"/>
    <w:rsid w:val="00800368"/>
    <w:rsid w:val="008004BE"/>
    <w:rsid w:val="00800930"/>
    <w:rsid w:val="00801148"/>
    <w:rsid w:val="0080156A"/>
    <w:rsid w:val="00801FCB"/>
    <w:rsid w:val="0080228D"/>
    <w:rsid w:val="008033E5"/>
    <w:rsid w:val="00803E04"/>
    <w:rsid w:val="00803E4F"/>
    <w:rsid w:val="00803F50"/>
    <w:rsid w:val="008040CB"/>
    <w:rsid w:val="00804185"/>
    <w:rsid w:val="00804226"/>
    <w:rsid w:val="00804A1E"/>
    <w:rsid w:val="00804C68"/>
    <w:rsid w:val="00804DBE"/>
    <w:rsid w:val="00805330"/>
    <w:rsid w:val="00805861"/>
    <w:rsid w:val="00805E8C"/>
    <w:rsid w:val="00806158"/>
    <w:rsid w:val="00806F59"/>
    <w:rsid w:val="008072F7"/>
    <w:rsid w:val="00807505"/>
    <w:rsid w:val="008079D6"/>
    <w:rsid w:val="0081032B"/>
    <w:rsid w:val="00810B53"/>
    <w:rsid w:val="00810B80"/>
    <w:rsid w:val="00810D8C"/>
    <w:rsid w:val="00811943"/>
    <w:rsid w:val="00811B7B"/>
    <w:rsid w:val="0081201B"/>
    <w:rsid w:val="00812123"/>
    <w:rsid w:val="0081296A"/>
    <w:rsid w:val="00812EDC"/>
    <w:rsid w:val="00812FC2"/>
    <w:rsid w:val="00813346"/>
    <w:rsid w:val="0081407D"/>
    <w:rsid w:val="00814263"/>
    <w:rsid w:val="00814351"/>
    <w:rsid w:val="00814DDF"/>
    <w:rsid w:val="00815400"/>
    <w:rsid w:val="00815534"/>
    <w:rsid w:val="008158A8"/>
    <w:rsid w:val="0081592A"/>
    <w:rsid w:val="0081632C"/>
    <w:rsid w:val="00816907"/>
    <w:rsid w:val="00816962"/>
    <w:rsid w:val="00816F6C"/>
    <w:rsid w:val="00817238"/>
    <w:rsid w:val="008173BC"/>
    <w:rsid w:val="008175A7"/>
    <w:rsid w:val="00817E5F"/>
    <w:rsid w:val="00820188"/>
    <w:rsid w:val="0082030C"/>
    <w:rsid w:val="008205E1"/>
    <w:rsid w:val="0082097F"/>
    <w:rsid w:val="0082190F"/>
    <w:rsid w:val="0082234E"/>
    <w:rsid w:val="00822421"/>
    <w:rsid w:val="00822732"/>
    <w:rsid w:val="008227F7"/>
    <w:rsid w:val="00822986"/>
    <w:rsid w:val="00822C58"/>
    <w:rsid w:val="00823145"/>
    <w:rsid w:val="008235DD"/>
    <w:rsid w:val="00824327"/>
    <w:rsid w:val="00824653"/>
    <w:rsid w:val="00824958"/>
    <w:rsid w:val="00824A17"/>
    <w:rsid w:val="00824DE1"/>
    <w:rsid w:val="0082537F"/>
    <w:rsid w:val="0082546A"/>
    <w:rsid w:val="008254EB"/>
    <w:rsid w:val="00825600"/>
    <w:rsid w:val="008256AF"/>
    <w:rsid w:val="00825822"/>
    <w:rsid w:val="00825C75"/>
    <w:rsid w:val="00825CD5"/>
    <w:rsid w:val="008260C3"/>
    <w:rsid w:val="00826D60"/>
    <w:rsid w:val="0082718C"/>
    <w:rsid w:val="008300C9"/>
    <w:rsid w:val="00830C1A"/>
    <w:rsid w:val="00830EB2"/>
    <w:rsid w:val="008311B8"/>
    <w:rsid w:val="00831441"/>
    <w:rsid w:val="008317C1"/>
    <w:rsid w:val="008319D4"/>
    <w:rsid w:val="00831B06"/>
    <w:rsid w:val="00832152"/>
    <w:rsid w:val="008321D5"/>
    <w:rsid w:val="008325C5"/>
    <w:rsid w:val="0083289B"/>
    <w:rsid w:val="00832DCF"/>
    <w:rsid w:val="00832FEE"/>
    <w:rsid w:val="0083337E"/>
    <w:rsid w:val="008333E5"/>
    <w:rsid w:val="00833A7B"/>
    <w:rsid w:val="00833C9E"/>
    <w:rsid w:val="00833E45"/>
    <w:rsid w:val="00834243"/>
    <w:rsid w:val="008345EB"/>
    <w:rsid w:val="00834687"/>
    <w:rsid w:val="0083484C"/>
    <w:rsid w:val="00834B0D"/>
    <w:rsid w:val="00835350"/>
    <w:rsid w:val="0083553B"/>
    <w:rsid w:val="0083568B"/>
    <w:rsid w:val="00835714"/>
    <w:rsid w:val="0083571B"/>
    <w:rsid w:val="00835AB7"/>
    <w:rsid w:val="00835BB3"/>
    <w:rsid w:val="00835DC4"/>
    <w:rsid w:val="00835DCB"/>
    <w:rsid w:val="0083689D"/>
    <w:rsid w:val="00836A0B"/>
    <w:rsid w:val="00836EE1"/>
    <w:rsid w:val="008371D1"/>
    <w:rsid w:val="00837587"/>
    <w:rsid w:val="008378EC"/>
    <w:rsid w:val="008400D4"/>
    <w:rsid w:val="0084010C"/>
    <w:rsid w:val="0084043C"/>
    <w:rsid w:val="008404AE"/>
    <w:rsid w:val="008409A9"/>
    <w:rsid w:val="00841887"/>
    <w:rsid w:val="00841EDF"/>
    <w:rsid w:val="00841FA2"/>
    <w:rsid w:val="0084218F"/>
    <w:rsid w:val="008422BC"/>
    <w:rsid w:val="008431A2"/>
    <w:rsid w:val="00843414"/>
    <w:rsid w:val="00843CFD"/>
    <w:rsid w:val="00843F7F"/>
    <w:rsid w:val="00844440"/>
    <w:rsid w:val="008446BB"/>
    <w:rsid w:val="008448B9"/>
    <w:rsid w:val="00846444"/>
    <w:rsid w:val="008466B3"/>
    <w:rsid w:val="008466D4"/>
    <w:rsid w:val="008468AE"/>
    <w:rsid w:val="008468B0"/>
    <w:rsid w:val="00846F0C"/>
    <w:rsid w:val="00846F20"/>
    <w:rsid w:val="008471E0"/>
    <w:rsid w:val="00847493"/>
    <w:rsid w:val="008479A2"/>
    <w:rsid w:val="00850F8C"/>
    <w:rsid w:val="008511D0"/>
    <w:rsid w:val="008522C8"/>
    <w:rsid w:val="00852478"/>
    <w:rsid w:val="008525FD"/>
    <w:rsid w:val="00852C46"/>
    <w:rsid w:val="0085321D"/>
    <w:rsid w:val="008534C7"/>
    <w:rsid w:val="008537BE"/>
    <w:rsid w:val="00853C6F"/>
    <w:rsid w:val="00854341"/>
    <w:rsid w:val="008548EF"/>
    <w:rsid w:val="00854A5B"/>
    <w:rsid w:val="00855689"/>
    <w:rsid w:val="00856713"/>
    <w:rsid w:val="00856E16"/>
    <w:rsid w:val="00856E34"/>
    <w:rsid w:val="008573F3"/>
    <w:rsid w:val="008576C5"/>
    <w:rsid w:val="00857969"/>
    <w:rsid w:val="00860DFB"/>
    <w:rsid w:val="00860EC9"/>
    <w:rsid w:val="00860FF0"/>
    <w:rsid w:val="008610C0"/>
    <w:rsid w:val="00861279"/>
    <w:rsid w:val="008612C8"/>
    <w:rsid w:val="008613D5"/>
    <w:rsid w:val="008616AB"/>
    <w:rsid w:val="00861722"/>
    <w:rsid w:val="008622F0"/>
    <w:rsid w:val="008625F1"/>
    <w:rsid w:val="00862B9A"/>
    <w:rsid w:val="0086319A"/>
    <w:rsid w:val="008631A0"/>
    <w:rsid w:val="00863740"/>
    <w:rsid w:val="008637A2"/>
    <w:rsid w:val="00863B04"/>
    <w:rsid w:val="00864090"/>
    <w:rsid w:val="00864805"/>
    <w:rsid w:val="008648B9"/>
    <w:rsid w:val="0086494E"/>
    <w:rsid w:val="00864E39"/>
    <w:rsid w:val="008650D1"/>
    <w:rsid w:val="0086581C"/>
    <w:rsid w:val="00865A90"/>
    <w:rsid w:val="00865B5B"/>
    <w:rsid w:val="0086605F"/>
    <w:rsid w:val="00866C69"/>
    <w:rsid w:val="00866E62"/>
    <w:rsid w:val="00866FF2"/>
    <w:rsid w:val="00867427"/>
    <w:rsid w:val="008674F5"/>
    <w:rsid w:val="008679CA"/>
    <w:rsid w:val="008679DA"/>
    <w:rsid w:val="00867CDC"/>
    <w:rsid w:val="008707E2"/>
    <w:rsid w:val="0087086A"/>
    <w:rsid w:val="00870882"/>
    <w:rsid w:val="00870DCF"/>
    <w:rsid w:val="0087110B"/>
    <w:rsid w:val="00871835"/>
    <w:rsid w:val="00871AEB"/>
    <w:rsid w:val="008729BF"/>
    <w:rsid w:val="00872A3E"/>
    <w:rsid w:val="00872F23"/>
    <w:rsid w:val="008740EE"/>
    <w:rsid w:val="00874254"/>
    <w:rsid w:val="00875899"/>
    <w:rsid w:val="00875F3A"/>
    <w:rsid w:val="0087640F"/>
    <w:rsid w:val="00876723"/>
    <w:rsid w:val="0087681E"/>
    <w:rsid w:val="00876D7B"/>
    <w:rsid w:val="00876E03"/>
    <w:rsid w:val="008775A9"/>
    <w:rsid w:val="008775BB"/>
    <w:rsid w:val="00877883"/>
    <w:rsid w:val="00877B41"/>
    <w:rsid w:val="00877BCF"/>
    <w:rsid w:val="00877D7D"/>
    <w:rsid w:val="00877F38"/>
    <w:rsid w:val="008800EC"/>
    <w:rsid w:val="008802D3"/>
    <w:rsid w:val="008804D7"/>
    <w:rsid w:val="00880897"/>
    <w:rsid w:val="00880C7A"/>
    <w:rsid w:val="00880D6E"/>
    <w:rsid w:val="00881985"/>
    <w:rsid w:val="00882259"/>
    <w:rsid w:val="00882BFD"/>
    <w:rsid w:val="00882CC4"/>
    <w:rsid w:val="00882F80"/>
    <w:rsid w:val="00883241"/>
    <w:rsid w:val="008835E6"/>
    <w:rsid w:val="00883C63"/>
    <w:rsid w:val="00884395"/>
    <w:rsid w:val="008844AC"/>
    <w:rsid w:val="0088462A"/>
    <w:rsid w:val="00884DE3"/>
    <w:rsid w:val="00884EA9"/>
    <w:rsid w:val="00885427"/>
    <w:rsid w:val="008859B2"/>
    <w:rsid w:val="00885B43"/>
    <w:rsid w:val="00885C4F"/>
    <w:rsid w:val="00886214"/>
    <w:rsid w:val="0088647B"/>
    <w:rsid w:val="0088664F"/>
    <w:rsid w:val="00886C86"/>
    <w:rsid w:val="00886EBE"/>
    <w:rsid w:val="00887085"/>
    <w:rsid w:val="00887B7D"/>
    <w:rsid w:val="008901B5"/>
    <w:rsid w:val="008902DF"/>
    <w:rsid w:val="00890467"/>
    <w:rsid w:val="008904CD"/>
    <w:rsid w:val="0089083F"/>
    <w:rsid w:val="00890B17"/>
    <w:rsid w:val="00890C48"/>
    <w:rsid w:val="00890E1E"/>
    <w:rsid w:val="0089118C"/>
    <w:rsid w:val="008919AA"/>
    <w:rsid w:val="00891E9A"/>
    <w:rsid w:val="00892159"/>
    <w:rsid w:val="0089273D"/>
    <w:rsid w:val="00892AB6"/>
    <w:rsid w:val="00892E71"/>
    <w:rsid w:val="00892EB1"/>
    <w:rsid w:val="00893089"/>
    <w:rsid w:val="0089327C"/>
    <w:rsid w:val="00893358"/>
    <w:rsid w:val="00893A05"/>
    <w:rsid w:val="00893DC5"/>
    <w:rsid w:val="008940ED"/>
    <w:rsid w:val="00894572"/>
    <w:rsid w:val="00895355"/>
    <w:rsid w:val="008957DB"/>
    <w:rsid w:val="0089582A"/>
    <w:rsid w:val="0089604E"/>
    <w:rsid w:val="008961A5"/>
    <w:rsid w:val="00896738"/>
    <w:rsid w:val="008971FA"/>
    <w:rsid w:val="00897312"/>
    <w:rsid w:val="00897A35"/>
    <w:rsid w:val="00897AAD"/>
    <w:rsid w:val="00897FDB"/>
    <w:rsid w:val="008A0D42"/>
    <w:rsid w:val="008A1007"/>
    <w:rsid w:val="008A12A7"/>
    <w:rsid w:val="008A1673"/>
    <w:rsid w:val="008A177B"/>
    <w:rsid w:val="008A1823"/>
    <w:rsid w:val="008A1EA7"/>
    <w:rsid w:val="008A1F12"/>
    <w:rsid w:val="008A1F18"/>
    <w:rsid w:val="008A20CA"/>
    <w:rsid w:val="008A227B"/>
    <w:rsid w:val="008A291E"/>
    <w:rsid w:val="008A3118"/>
    <w:rsid w:val="008A3480"/>
    <w:rsid w:val="008A3B75"/>
    <w:rsid w:val="008A3F74"/>
    <w:rsid w:val="008A3F83"/>
    <w:rsid w:val="008A45F4"/>
    <w:rsid w:val="008A4CCA"/>
    <w:rsid w:val="008A54B1"/>
    <w:rsid w:val="008A55DC"/>
    <w:rsid w:val="008A57AB"/>
    <w:rsid w:val="008A5F7E"/>
    <w:rsid w:val="008A62A6"/>
    <w:rsid w:val="008A69C5"/>
    <w:rsid w:val="008A752A"/>
    <w:rsid w:val="008A7890"/>
    <w:rsid w:val="008A7D5E"/>
    <w:rsid w:val="008A7E2D"/>
    <w:rsid w:val="008B1111"/>
    <w:rsid w:val="008B114A"/>
    <w:rsid w:val="008B1228"/>
    <w:rsid w:val="008B138A"/>
    <w:rsid w:val="008B13D7"/>
    <w:rsid w:val="008B13F7"/>
    <w:rsid w:val="008B171F"/>
    <w:rsid w:val="008B1B9E"/>
    <w:rsid w:val="008B1FF3"/>
    <w:rsid w:val="008B232A"/>
    <w:rsid w:val="008B235D"/>
    <w:rsid w:val="008B2D59"/>
    <w:rsid w:val="008B2E91"/>
    <w:rsid w:val="008B3B1D"/>
    <w:rsid w:val="008B3B64"/>
    <w:rsid w:val="008B3F52"/>
    <w:rsid w:val="008B405B"/>
    <w:rsid w:val="008B4869"/>
    <w:rsid w:val="008B5023"/>
    <w:rsid w:val="008B50DA"/>
    <w:rsid w:val="008B53C5"/>
    <w:rsid w:val="008B5680"/>
    <w:rsid w:val="008B5A66"/>
    <w:rsid w:val="008B608C"/>
    <w:rsid w:val="008B60F8"/>
    <w:rsid w:val="008B612A"/>
    <w:rsid w:val="008B6BEA"/>
    <w:rsid w:val="008B6D5A"/>
    <w:rsid w:val="008B7DCF"/>
    <w:rsid w:val="008B7DF7"/>
    <w:rsid w:val="008B7E0B"/>
    <w:rsid w:val="008B7F68"/>
    <w:rsid w:val="008C001D"/>
    <w:rsid w:val="008C030C"/>
    <w:rsid w:val="008C0476"/>
    <w:rsid w:val="008C0DF1"/>
    <w:rsid w:val="008C151F"/>
    <w:rsid w:val="008C22C3"/>
    <w:rsid w:val="008C335D"/>
    <w:rsid w:val="008C36BA"/>
    <w:rsid w:val="008C4051"/>
    <w:rsid w:val="008C4164"/>
    <w:rsid w:val="008C435D"/>
    <w:rsid w:val="008C484C"/>
    <w:rsid w:val="008C4F13"/>
    <w:rsid w:val="008C57F1"/>
    <w:rsid w:val="008C5913"/>
    <w:rsid w:val="008C5A27"/>
    <w:rsid w:val="008C5AAD"/>
    <w:rsid w:val="008C65E9"/>
    <w:rsid w:val="008C68B4"/>
    <w:rsid w:val="008C725E"/>
    <w:rsid w:val="008C7AA4"/>
    <w:rsid w:val="008C7F71"/>
    <w:rsid w:val="008D008E"/>
    <w:rsid w:val="008D0225"/>
    <w:rsid w:val="008D097B"/>
    <w:rsid w:val="008D0D87"/>
    <w:rsid w:val="008D0EC6"/>
    <w:rsid w:val="008D11CD"/>
    <w:rsid w:val="008D1322"/>
    <w:rsid w:val="008D138C"/>
    <w:rsid w:val="008D162D"/>
    <w:rsid w:val="008D1693"/>
    <w:rsid w:val="008D2069"/>
    <w:rsid w:val="008D213A"/>
    <w:rsid w:val="008D289F"/>
    <w:rsid w:val="008D3203"/>
    <w:rsid w:val="008D339F"/>
    <w:rsid w:val="008D35AE"/>
    <w:rsid w:val="008D38AD"/>
    <w:rsid w:val="008D3F96"/>
    <w:rsid w:val="008D4489"/>
    <w:rsid w:val="008D4FAB"/>
    <w:rsid w:val="008D5345"/>
    <w:rsid w:val="008D5615"/>
    <w:rsid w:val="008D57CB"/>
    <w:rsid w:val="008D5890"/>
    <w:rsid w:val="008D5F55"/>
    <w:rsid w:val="008D6681"/>
    <w:rsid w:val="008D689F"/>
    <w:rsid w:val="008D6CA6"/>
    <w:rsid w:val="008D76B1"/>
    <w:rsid w:val="008D7C6E"/>
    <w:rsid w:val="008D7EB0"/>
    <w:rsid w:val="008E005C"/>
    <w:rsid w:val="008E0BCF"/>
    <w:rsid w:val="008E0CB9"/>
    <w:rsid w:val="008E10E2"/>
    <w:rsid w:val="008E14C8"/>
    <w:rsid w:val="008E156F"/>
    <w:rsid w:val="008E1642"/>
    <w:rsid w:val="008E189C"/>
    <w:rsid w:val="008E1D27"/>
    <w:rsid w:val="008E280A"/>
    <w:rsid w:val="008E29C5"/>
    <w:rsid w:val="008E2D1E"/>
    <w:rsid w:val="008E3596"/>
    <w:rsid w:val="008E3610"/>
    <w:rsid w:val="008E3662"/>
    <w:rsid w:val="008E4315"/>
    <w:rsid w:val="008E4423"/>
    <w:rsid w:val="008E476D"/>
    <w:rsid w:val="008E4FCF"/>
    <w:rsid w:val="008E509E"/>
    <w:rsid w:val="008E5101"/>
    <w:rsid w:val="008E520F"/>
    <w:rsid w:val="008E533A"/>
    <w:rsid w:val="008E5615"/>
    <w:rsid w:val="008E57AE"/>
    <w:rsid w:val="008E5A73"/>
    <w:rsid w:val="008E5D86"/>
    <w:rsid w:val="008E5E4D"/>
    <w:rsid w:val="008E6292"/>
    <w:rsid w:val="008E648D"/>
    <w:rsid w:val="008E67EF"/>
    <w:rsid w:val="008E6C66"/>
    <w:rsid w:val="008E7B51"/>
    <w:rsid w:val="008F02B3"/>
    <w:rsid w:val="008F0740"/>
    <w:rsid w:val="008F0CD3"/>
    <w:rsid w:val="008F0F4A"/>
    <w:rsid w:val="008F0FD8"/>
    <w:rsid w:val="008F183C"/>
    <w:rsid w:val="008F1942"/>
    <w:rsid w:val="008F1FA0"/>
    <w:rsid w:val="008F2108"/>
    <w:rsid w:val="008F2304"/>
    <w:rsid w:val="008F23EB"/>
    <w:rsid w:val="008F25CC"/>
    <w:rsid w:val="008F2744"/>
    <w:rsid w:val="008F2BA6"/>
    <w:rsid w:val="008F2D02"/>
    <w:rsid w:val="008F2E79"/>
    <w:rsid w:val="008F2FDB"/>
    <w:rsid w:val="008F3083"/>
    <w:rsid w:val="008F322F"/>
    <w:rsid w:val="008F3541"/>
    <w:rsid w:val="008F3A9E"/>
    <w:rsid w:val="008F3F31"/>
    <w:rsid w:val="008F4031"/>
    <w:rsid w:val="008F412E"/>
    <w:rsid w:val="008F41EA"/>
    <w:rsid w:val="008F4533"/>
    <w:rsid w:val="008F46F6"/>
    <w:rsid w:val="008F4A2C"/>
    <w:rsid w:val="008F56FE"/>
    <w:rsid w:val="008F5830"/>
    <w:rsid w:val="008F5DC8"/>
    <w:rsid w:val="008F5F15"/>
    <w:rsid w:val="008F60A1"/>
    <w:rsid w:val="008F6585"/>
    <w:rsid w:val="008F6C45"/>
    <w:rsid w:val="008F72EA"/>
    <w:rsid w:val="008F75C3"/>
    <w:rsid w:val="008F7677"/>
    <w:rsid w:val="008F7BE7"/>
    <w:rsid w:val="008F7D22"/>
    <w:rsid w:val="009000D0"/>
    <w:rsid w:val="0090051A"/>
    <w:rsid w:val="0090087F"/>
    <w:rsid w:val="00900A78"/>
    <w:rsid w:val="00900F15"/>
    <w:rsid w:val="00900FDA"/>
    <w:rsid w:val="009015C7"/>
    <w:rsid w:val="00901E27"/>
    <w:rsid w:val="00902102"/>
    <w:rsid w:val="00902315"/>
    <w:rsid w:val="00902AAE"/>
    <w:rsid w:val="009033FC"/>
    <w:rsid w:val="00903C6B"/>
    <w:rsid w:val="00903DDC"/>
    <w:rsid w:val="0090406C"/>
    <w:rsid w:val="0090412F"/>
    <w:rsid w:val="009043FF"/>
    <w:rsid w:val="00904F5D"/>
    <w:rsid w:val="00905600"/>
    <w:rsid w:val="009059A1"/>
    <w:rsid w:val="00905B60"/>
    <w:rsid w:val="00905FA3"/>
    <w:rsid w:val="009070AD"/>
    <w:rsid w:val="00907FDE"/>
    <w:rsid w:val="00910362"/>
    <w:rsid w:val="00910BDC"/>
    <w:rsid w:val="00910E52"/>
    <w:rsid w:val="00910EE7"/>
    <w:rsid w:val="009115C2"/>
    <w:rsid w:val="00911600"/>
    <w:rsid w:val="00911711"/>
    <w:rsid w:val="00911746"/>
    <w:rsid w:val="00911A50"/>
    <w:rsid w:val="00911CB1"/>
    <w:rsid w:val="009123EC"/>
    <w:rsid w:val="00912CA5"/>
    <w:rsid w:val="00912CFF"/>
    <w:rsid w:val="00912E06"/>
    <w:rsid w:val="009135AD"/>
    <w:rsid w:val="00913752"/>
    <w:rsid w:val="009137D1"/>
    <w:rsid w:val="00913AC5"/>
    <w:rsid w:val="00913DFF"/>
    <w:rsid w:val="009141B8"/>
    <w:rsid w:val="0091431D"/>
    <w:rsid w:val="00914C0C"/>
    <w:rsid w:val="00915199"/>
    <w:rsid w:val="0091523C"/>
    <w:rsid w:val="009152EA"/>
    <w:rsid w:val="00915585"/>
    <w:rsid w:val="00915C27"/>
    <w:rsid w:val="00915C37"/>
    <w:rsid w:val="00916405"/>
    <w:rsid w:val="00916FE9"/>
    <w:rsid w:val="00917089"/>
    <w:rsid w:val="0091743C"/>
    <w:rsid w:val="00917BAD"/>
    <w:rsid w:val="00917E28"/>
    <w:rsid w:val="009203DD"/>
    <w:rsid w:val="0092179D"/>
    <w:rsid w:val="0092218D"/>
    <w:rsid w:val="00922405"/>
    <w:rsid w:val="00922D75"/>
    <w:rsid w:val="00922D86"/>
    <w:rsid w:val="00922DAA"/>
    <w:rsid w:val="009231F8"/>
    <w:rsid w:val="009239C3"/>
    <w:rsid w:val="00923FA1"/>
    <w:rsid w:val="00924140"/>
    <w:rsid w:val="0092417F"/>
    <w:rsid w:val="0092424C"/>
    <w:rsid w:val="00924460"/>
    <w:rsid w:val="00924524"/>
    <w:rsid w:val="009246E8"/>
    <w:rsid w:val="00924809"/>
    <w:rsid w:val="00924F1C"/>
    <w:rsid w:val="0092554D"/>
    <w:rsid w:val="009259DF"/>
    <w:rsid w:val="00925A58"/>
    <w:rsid w:val="00925AA5"/>
    <w:rsid w:val="009264A4"/>
    <w:rsid w:val="009267A9"/>
    <w:rsid w:val="009268CA"/>
    <w:rsid w:val="00926CDB"/>
    <w:rsid w:val="00926F65"/>
    <w:rsid w:val="00930317"/>
    <w:rsid w:val="0093034A"/>
    <w:rsid w:val="0093124F"/>
    <w:rsid w:val="00931470"/>
    <w:rsid w:val="00931730"/>
    <w:rsid w:val="009319C0"/>
    <w:rsid w:val="00931EA2"/>
    <w:rsid w:val="0093229F"/>
    <w:rsid w:val="009326CC"/>
    <w:rsid w:val="0093292A"/>
    <w:rsid w:val="00932975"/>
    <w:rsid w:val="00932FF5"/>
    <w:rsid w:val="0093479B"/>
    <w:rsid w:val="00934BDD"/>
    <w:rsid w:val="009352EF"/>
    <w:rsid w:val="0093540D"/>
    <w:rsid w:val="00936665"/>
    <w:rsid w:val="00936889"/>
    <w:rsid w:val="00937D59"/>
    <w:rsid w:val="00937E1F"/>
    <w:rsid w:val="00937EC3"/>
    <w:rsid w:val="009400C4"/>
    <w:rsid w:val="0094019D"/>
    <w:rsid w:val="009402D9"/>
    <w:rsid w:val="009403E9"/>
    <w:rsid w:val="00940C64"/>
    <w:rsid w:val="00940DD5"/>
    <w:rsid w:val="00940F42"/>
    <w:rsid w:val="00941614"/>
    <w:rsid w:val="00941D0C"/>
    <w:rsid w:val="0094217A"/>
    <w:rsid w:val="00942C11"/>
    <w:rsid w:val="00942D27"/>
    <w:rsid w:val="00942EA3"/>
    <w:rsid w:val="0094351F"/>
    <w:rsid w:val="00943A4C"/>
    <w:rsid w:val="00943A98"/>
    <w:rsid w:val="00943AA0"/>
    <w:rsid w:val="00943C2E"/>
    <w:rsid w:val="00944B30"/>
    <w:rsid w:val="00944CC7"/>
    <w:rsid w:val="00944CDD"/>
    <w:rsid w:val="00944EDB"/>
    <w:rsid w:val="00945022"/>
    <w:rsid w:val="00945126"/>
    <w:rsid w:val="0094661E"/>
    <w:rsid w:val="00946A90"/>
    <w:rsid w:val="00946AE7"/>
    <w:rsid w:val="00947E0B"/>
    <w:rsid w:val="00950B39"/>
    <w:rsid w:val="00950DCF"/>
    <w:rsid w:val="00951399"/>
    <w:rsid w:val="00951690"/>
    <w:rsid w:val="00951AF3"/>
    <w:rsid w:val="00951BD4"/>
    <w:rsid w:val="00952011"/>
    <w:rsid w:val="00952210"/>
    <w:rsid w:val="009523B3"/>
    <w:rsid w:val="00952543"/>
    <w:rsid w:val="00952724"/>
    <w:rsid w:val="00952F3B"/>
    <w:rsid w:val="00953046"/>
    <w:rsid w:val="00953725"/>
    <w:rsid w:val="00953947"/>
    <w:rsid w:val="00953E8B"/>
    <w:rsid w:val="009541FD"/>
    <w:rsid w:val="009547F8"/>
    <w:rsid w:val="00954AB9"/>
    <w:rsid w:val="00955662"/>
    <w:rsid w:val="009558F8"/>
    <w:rsid w:val="00955A64"/>
    <w:rsid w:val="00955C18"/>
    <w:rsid w:val="00956067"/>
    <w:rsid w:val="00957250"/>
    <w:rsid w:val="00957795"/>
    <w:rsid w:val="0095787F"/>
    <w:rsid w:val="00957CD8"/>
    <w:rsid w:val="00957D6D"/>
    <w:rsid w:val="00960015"/>
    <w:rsid w:val="0096099A"/>
    <w:rsid w:val="00960FAE"/>
    <w:rsid w:val="009610A1"/>
    <w:rsid w:val="00961543"/>
    <w:rsid w:val="00961E8B"/>
    <w:rsid w:val="009628E9"/>
    <w:rsid w:val="00962D4C"/>
    <w:rsid w:val="00962E74"/>
    <w:rsid w:val="00963316"/>
    <w:rsid w:val="00963450"/>
    <w:rsid w:val="0096375B"/>
    <w:rsid w:val="00963CA5"/>
    <w:rsid w:val="00963FD5"/>
    <w:rsid w:val="009642E8"/>
    <w:rsid w:val="00964A51"/>
    <w:rsid w:val="00964EC0"/>
    <w:rsid w:val="009651D1"/>
    <w:rsid w:val="0096520F"/>
    <w:rsid w:val="00965223"/>
    <w:rsid w:val="0096543A"/>
    <w:rsid w:val="00965629"/>
    <w:rsid w:val="00965B73"/>
    <w:rsid w:val="00966608"/>
    <w:rsid w:val="00966655"/>
    <w:rsid w:val="0096665E"/>
    <w:rsid w:val="00966ADA"/>
    <w:rsid w:val="00966C03"/>
    <w:rsid w:val="00966C55"/>
    <w:rsid w:val="009673D7"/>
    <w:rsid w:val="009673FF"/>
    <w:rsid w:val="0096740A"/>
    <w:rsid w:val="009676F8"/>
    <w:rsid w:val="009679E8"/>
    <w:rsid w:val="00967DBB"/>
    <w:rsid w:val="00967E16"/>
    <w:rsid w:val="00967E27"/>
    <w:rsid w:val="0097024E"/>
    <w:rsid w:val="00970388"/>
    <w:rsid w:val="009703F5"/>
    <w:rsid w:val="0097080A"/>
    <w:rsid w:val="009709B7"/>
    <w:rsid w:val="00970AF4"/>
    <w:rsid w:val="009715D1"/>
    <w:rsid w:val="00971CCB"/>
    <w:rsid w:val="00971FAE"/>
    <w:rsid w:val="00972182"/>
    <w:rsid w:val="009722C9"/>
    <w:rsid w:val="0097254B"/>
    <w:rsid w:val="0097273F"/>
    <w:rsid w:val="009729D4"/>
    <w:rsid w:val="00973307"/>
    <w:rsid w:val="00973A10"/>
    <w:rsid w:val="00973ED3"/>
    <w:rsid w:val="0097452A"/>
    <w:rsid w:val="00974C32"/>
    <w:rsid w:val="009753F3"/>
    <w:rsid w:val="009758A3"/>
    <w:rsid w:val="00975A80"/>
    <w:rsid w:val="00975B59"/>
    <w:rsid w:val="00975E05"/>
    <w:rsid w:val="00975F54"/>
    <w:rsid w:val="00975F9D"/>
    <w:rsid w:val="009763C9"/>
    <w:rsid w:val="00976C37"/>
    <w:rsid w:val="00976FBD"/>
    <w:rsid w:val="00977B62"/>
    <w:rsid w:val="009800BF"/>
    <w:rsid w:val="009800EB"/>
    <w:rsid w:val="009801F1"/>
    <w:rsid w:val="009802F8"/>
    <w:rsid w:val="00980759"/>
    <w:rsid w:val="0098077C"/>
    <w:rsid w:val="00980A7B"/>
    <w:rsid w:val="00980A82"/>
    <w:rsid w:val="00980D2E"/>
    <w:rsid w:val="00980F82"/>
    <w:rsid w:val="0098126F"/>
    <w:rsid w:val="00981741"/>
    <w:rsid w:val="009817B0"/>
    <w:rsid w:val="00981826"/>
    <w:rsid w:val="00981C6C"/>
    <w:rsid w:val="00981E65"/>
    <w:rsid w:val="009821CE"/>
    <w:rsid w:val="00982414"/>
    <w:rsid w:val="009827D9"/>
    <w:rsid w:val="00982A12"/>
    <w:rsid w:val="00982F6C"/>
    <w:rsid w:val="00983D71"/>
    <w:rsid w:val="00983FF4"/>
    <w:rsid w:val="009840F8"/>
    <w:rsid w:val="00984499"/>
    <w:rsid w:val="0098469F"/>
    <w:rsid w:val="009847D1"/>
    <w:rsid w:val="009850B7"/>
    <w:rsid w:val="00985E65"/>
    <w:rsid w:val="00986406"/>
    <w:rsid w:val="00986A39"/>
    <w:rsid w:val="00986BC9"/>
    <w:rsid w:val="00987022"/>
    <w:rsid w:val="00987D58"/>
    <w:rsid w:val="00987E69"/>
    <w:rsid w:val="0099006E"/>
    <w:rsid w:val="00990681"/>
    <w:rsid w:val="009906FD"/>
    <w:rsid w:val="00991386"/>
    <w:rsid w:val="00991698"/>
    <w:rsid w:val="00992253"/>
    <w:rsid w:val="00992C4F"/>
    <w:rsid w:val="00992DA8"/>
    <w:rsid w:val="0099309F"/>
    <w:rsid w:val="0099314B"/>
    <w:rsid w:val="00993C1C"/>
    <w:rsid w:val="00993DCD"/>
    <w:rsid w:val="009945EE"/>
    <w:rsid w:val="009945FF"/>
    <w:rsid w:val="00994628"/>
    <w:rsid w:val="00994FEE"/>
    <w:rsid w:val="00995379"/>
    <w:rsid w:val="00995A0E"/>
    <w:rsid w:val="00995A5D"/>
    <w:rsid w:val="00996513"/>
    <w:rsid w:val="009965D4"/>
    <w:rsid w:val="009968FE"/>
    <w:rsid w:val="00996AE0"/>
    <w:rsid w:val="00996C49"/>
    <w:rsid w:val="00996EC8"/>
    <w:rsid w:val="0099749C"/>
    <w:rsid w:val="00997750"/>
    <w:rsid w:val="009977E2"/>
    <w:rsid w:val="00997F4E"/>
    <w:rsid w:val="009A0009"/>
    <w:rsid w:val="009A023F"/>
    <w:rsid w:val="009A0358"/>
    <w:rsid w:val="009A05B7"/>
    <w:rsid w:val="009A05D1"/>
    <w:rsid w:val="009A0860"/>
    <w:rsid w:val="009A0D26"/>
    <w:rsid w:val="009A1333"/>
    <w:rsid w:val="009A1C05"/>
    <w:rsid w:val="009A1E7A"/>
    <w:rsid w:val="009A1EE2"/>
    <w:rsid w:val="009A1FC9"/>
    <w:rsid w:val="009A2634"/>
    <w:rsid w:val="009A277C"/>
    <w:rsid w:val="009A2849"/>
    <w:rsid w:val="009A32D8"/>
    <w:rsid w:val="009A335C"/>
    <w:rsid w:val="009A3CE2"/>
    <w:rsid w:val="009A3F6C"/>
    <w:rsid w:val="009A4078"/>
    <w:rsid w:val="009A445B"/>
    <w:rsid w:val="009A4AF8"/>
    <w:rsid w:val="009A4B8D"/>
    <w:rsid w:val="009A5053"/>
    <w:rsid w:val="009A5CBA"/>
    <w:rsid w:val="009A5ECC"/>
    <w:rsid w:val="009A5FE2"/>
    <w:rsid w:val="009A61BD"/>
    <w:rsid w:val="009A658F"/>
    <w:rsid w:val="009A6BF9"/>
    <w:rsid w:val="009A74C9"/>
    <w:rsid w:val="009A7A85"/>
    <w:rsid w:val="009A7B19"/>
    <w:rsid w:val="009A7D82"/>
    <w:rsid w:val="009B0144"/>
    <w:rsid w:val="009B02A4"/>
    <w:rsid w:val="009B0F3D"/>
    <w:rsid w:val="009B0FE1"/>
    <w:rsid w:val="009B10DB"/>
    <w:rsid w:val="009B15CA"/>
    <w:rsid w:val="009B1848"/>
    <w:rsid w:val="009B199E"/>
    <w:rsid w:val="009B1C1A"/>
    <w:rsid w:val="009B23B2"/>
    <w:rsid w:val="009B25CE"/>
    <w:rsid w:val="009B27C2"/>
    <w:rsid w:val="009B29EF"/>
    <w:rsid w:val="009B2B1A"/>
    <w:rsid w:val="009B2CAB"/>
    <w:rsid w:val="009B2E62"/>
    <w:rsid w:val="009B311F"/>
    <w:rsid w:val="009B3CFE"/>
    <w:rsid w:val="009B3E5E"/>
    <w:rsid w:val="009B4070"/>
    <w:rsid w:val="009B4535"/>
    <w:rsid w:val="009B4C84"/>
    <w:rsid w:val="009B4F6A"/>
    <w:rsid w:val="009B56AF"/>
    <w:rsid w:val="009B580E"/>
    <w:rsid w:val="009B59FE"/>
    <w:rsid w:val="009B5E36"/>
    <w:rsid w:val="009B5EA4"/>
    <w:rsid w:val="009B5EBA"/>
    <w:rsid w:val="009B6622"/>
    <w:rsid w:val="009B6B31"/>
    <w:rsid w:val="009B6EBD"/>
    <w:rsid w:val="009B6F84"/>
    <w:rsid w:val="009B788E"/>
    <w:rsid w:val="009B7A0A"/>
    <w:rsid w:val="009B7D24"/>
    <w:rsid w:val="009B7EAA"/>
    <w:rsid w:val="009C008C"/>
    <w:rsid w:val="009C0152"/>
    <w:rsid w:val="009C1090"/>
    <w:rsid w:val="009C11E7"/>
    <w:rsid w:val="009C18A2"/>
    <w:rsid w:val="009C2CC8"/>
    <w:rsid w:val="009C3B78"/>
    <w:rsid w:val="009C4668"/>
    <w:rsid w:val="009C4992"/>
    <w:rsid w:val="009C4A64"/>
    <w:rsid w:val="009C5035"/>
    <w:rsid w:val="009C6000"/>
    <w:rsid w:val="009C6648"/>
    <w:rsid w:val="009C666D"/>
    <w:rsid w:val="009C6C12"/>
    <w:rsid w:val="009C6D7C"/>
    <w:rsid w:val="009C724E"/>
    <w:rsid w:val="009C7693"/>
    <w:rsid w:val="009C7860"/>
    <w:rsid w:val="009C7F03"/>
    <w:rsid w:val="009D00B6"/>
    <w:rsid w:val="009D03B4"/>
    <w:rsid w:val="009D0D5C"/>
    <w:rsid w:val="009D132B"/>
    <w:rsid w:val="009D1480"/>
    <w:rsid w:val="009D14E9"/>
    <w:rsid w:val="009D1593"/>
    <w:rsid w:val="009D1790"/>
    <w:rsid w:val="009D1EEC"/>
    <w:rsid w:val="009D2044"/>
    <w:rsid w:val="009D217F"/>
    <w:rsid w:val="009D3045"/>
    <w:rsid w:val="009D3169"/>
    <w:rsid w:val="009D3415"/>
    <w:rsid w:val="009D3448"/>
    <w:rsid w:val="009D386D"/>
    <w:rsid w:val="009D3B10"/>
    <w:rsid w:val="009D3F2A"/>
    <w:rsid w:val="009D47D3"/>
    <w:rsid w:val="009D4C2E"/>
    <w:rsid w:val="009D5224"/>
    <w:rsid w:val="009D54FF"/>
    <w:rsid w:val="009D5C87"/>
    <w:rsid w:val="009D6282"/>
    <w:rsid w:val="009D65DB"/>
    <w:rsid w:val="009D6D59"/>
    <w:rsid w:val="009D79B6"/>
    <w:rsid w:val="009E0509"/>
    <w:rsid w:val="009E0609"/>
    <w:rsid w:val="009E0776"/>
    <w:rsid w:val="009E0B13"/>
    <w:rsid w:val="009E0DE0"/>
    <w:rsid w:val="009E1210"/>
    <w:rsid w:val="009E1295"/>
    <w:rsid w:val="009E171B"/>
    <w:rsid w:val="009E18B7"/>
    <w:rsid w:val="009E1D7D"/>
    <w:rsid w:val="009E2BAB"/>
    <w:rsid w:val="009E2D15"/>
    <w:rsid w:val="009E3464"/>
    <w:rsid w:val="009E354E"/>
    <w:rsid w:val="009E46AF"/>
    <w:rsid w:val="009E538A"/>
    <w:rsid w:val="009E5588"/>
    <w:rsid w:val="009E56CE"/>
    <w:rsid w:val="009E570D"/>
    <w:rsid w:val="009E5C07"/>
    <w:rsid w:val="009E5D05"/>
    <w:rsid w:val="009E6164"/>
    <w:rsid w:val="009E6196"/>
    <w:rsid w:val="009E68B8"/>
    <w:rsid w:val="009E6D36"/>
    <w:rsid w:val="009E6D4F"/>
    <w:rsid w:val="009E6D82"/>
    <w:rsid w:val="009E707A"/>
    <w:rsid w:val="009E70D1"/>
    <w:rsid w:val="009E7225"/>
    <w:rsid w:val="009E7D42"/>
    <w:rsid w:val="009F00A8"/>
    <w:rsid w:val="009F0A80"/>
    <w:rsid w:val="009F0D69"/>
    <w:rsid w:val="009F0FFE"/>
    <w:rsid w:val="009F1FF0"/>
    <w:rsid w:val="009F257B"/>
    <w:rsid w:val="009F2B8F"/>
    <w:rsid w:val="009F2DCC"/>
    <w:rsid w:val="009F2EF2"/>
    <w:rsid w:val="009F3040"/>
    <w:rsid w:val="009F37B7"/>
    <w:rsid w:val="009F45A8"/>
    <w:rsid w:val="009F45EC"/>
    <w:rsid w:val="009F4905"/>
    <w:rsid w:val="009F4C08"/>
    <w:rsid w:val="009F531B"/>
    <w:rsid w:val="009F547D"/>
    <w:rsid w:val="009F5505"/>
    <w:rsid w:val="009F563C"/>
    <w:rsid w:val="009F5694"/>
    <w:rsid w:val="009F5F85"/>
    <w:rsid w:val="009F61CD"/>
    <w:rsid w:val="009F64E9"/>
    <w:rsid w:val="009F66CB"/>
    <w:rsid w:val="009F6848"/>
    <w:rsid w:val="009F69D3"/>
    <w:rsid w:val="009F6E0A"/>
    <w:rsid w:val="009F6E8C"/>
    <w:rsid w:val="009F7174"/>
    <w:rsid w:val="009F72A1"/>
    <w:rsid w:val="009F7321"/>
    <w:rsid w:val="009F78B9"/>
    <w:rsid w:val="00A00130"/>
    <w:rsid w:val="00A00798"/>
    <w:rsid w:val="00A007EF"/>
    <w:rsid w:val="00A008FE"/>
    <w:rsid w:val="00A00AAF"/>
    <w:rsid w:val="00A015E8"/>
    <w:rsid w:val="00A01AD7"/>
    <w:rsid w:val="00A01E1F"/>
    <w:rsid w:val="00A02149"/>
    <w:rsid w:val="00A02544"/>
    <w:rsid w:val="00A032A4"/>
    <w:rsid w:val="00A0407C"/>
    <w:rsid w:val="00A04647"/>
    <w:rsid w:val="00A05180"/>
    <w:rsid w:val="00A05A5C"/>
    <w:rsid w:val="00A05DD2"/>
    <w:rsid w:val="00A065EF"/>
    <w:rsid w:val="00A071FC"/>
    <w:rsid w:val="00A07796"/>
    <w:rsid w:val="00A07BFC"/>
    <w:rsid w:val="00A07D47"/>
    <w:rsid w:val="00A07E8B"/>
    <w:rsid w:val="00A1026F"/>
    <w:rsid w:val="00A104A4"/>
    <w:rsid w:val="00A10C5F"/>
    <w:rsid w:val="00A10E2A"/>
    <w:rsid w:val="00A11467"/>
    <w:rsid w:val="00A11D7F"/>
    <w:rsid w:val="00A12079"/>
    <w:rsid w:val="00A122BB"/>
    <w:rsid w:val="00A124FD"/>
    <w:rsid w:val="00A12B5D"/>
    <w:rsid w:val="00A12B64"/>
    <w:rsid w:val="00A12EC7"/>
    <w:rsid w:val="00A12F62"/>
    <w:rsid w:val="00A13BFF"/>
    <w:rsid w:val="00A14405"/>
    <w:rsid w:val="00A14793"/>
    <w:rsid w:val="00A14A43"/>
    <w:rsid w:val="00A14AB7"/>
    <w:rsid w:val="00A14F9B"/>
    <w:rsid w:val="00A14FE9"/>
    <w:rsid w:val="00A1555E"/>
    <w:rsid w:val="00A16691"/>
    <w:rsid w:val="00A16CFB"/>
    <w:rsid w:val="00A170BA"/>
    <w:rsid w:val="00A1714E"/>
    <w:rsid w:val="00A1753C"/>
    <w:rsid w:val="00A177C4"/>
    <w:rsid w:val="00A20696"/>
    <w:rsid w:val="00A20826"/>
    <w:rsid w:val="00A20883"/>
    <w:rsid w:val="00A20BFD"/>
    <w:rsid w:val="00A20C7A"/>
    <w:rsid w:val="00A20D52"/>
    <w:rsid w:val="00A2136F"/>
    <w:rsid w:val="00A2167F"/>
    <w:rsid w:val="00A217ED"/>
    <w:rsid w:val="00A21862"/>
    <w:rsid w:val="00A21F2C"/>
    <w:rsid w:val="00A22544"/>
    <w:rsid w:val="00A22580"/>
    <w:rsid w:val="00A22742"/>
    <w:rsid w:val="00A22D41"/>
    <w:rsid w:val="00A22ECA"/>
    <w:rsid w:val="00A23235"/>
    <w:rsid w:val="00A2388F"/>
    <w:rsid w:val="00A23DBF"/>
    <w:rsid w:val="00A23EDD"/>
    <w:rsid w:val="00A23FE2"/>
    <w:rsid w:val="00A24029"/>
    <w:rsid w:val="00A24130"/>
    <w:rsid w:val="00A242D7"/>
    <w:rsid w:val="00A2450F"/>
    <w:rsid w:val="00A2483B"/>
    <w:rsid w:val="00A25AF9"/>
    <w:rsid w:val="00A25EAA"/>
    <w:rsid w:val="00A25EAF"/>
    <w:rsid w:val="00A2611F"/>
    <w:rsid w:val="00A26190"/>
    <w:rsid w:val="00A2656E"/>
    <w:rsid w:val="00A269B3"/>
    <w:rsid w:val="00A27096"/>
    <w:rsid w:val="00A274B7"/>
    <w:rsid w:val="00A27567"/>
    <w:rsid w:val="00A278F9"/>
    <w:rsid w:val="00A27947"/>
    <w:rsid w:val="00A3066E"/>
    <w:rsid w:val="00A3082B"/>
    <w:rsid w:val="00A30B5B"/>
    <w:rsid w:val="00A30F20"/>
    <w:rsid w:val="00A3105D"/>
    <w:rsid w:val="00A31163"/>
    <w:rsid w:val="00A31184"/>
    <w:rsid w:val="00A31338"/>
    <w:rsid w:val="00A31619"/>
    <w:rsid w:val="00A317A2"/>
    <w:rsid w:val="00A31A18"/>
    <w:rsid w:val="00A31D3C"/>
    <w:rsid w:val="00A31FE8"/>
    <w:rsid w:val="00A32EDF"/>
    <w:rsid w:val="00A33158"/>
    <w:rsid w:val="00A334B1"/>
    <w:rsid w:val="00A3376F"/>
    <w:rsid w:val="00A34224"/>
    <w:rsid w:val="00A34A54"/>
    <w:rsid w:val="00A34BBA"/>
    <w:rsid w:val="00A34D57"/>
    <w:rsid w:val="00A35551"/>
    <w:rsid w:val="00A35CE3"/>
    <w:rsid w:val="00A364D4"/>
    <w:rsid w:val="00A36A8B"/>
    <w:rsid w:val="00A37233"/>
    <w:rsid w:val="00A3749B"/>
    <w:rsid w:val="00A375FD"/>
    <w:rsid w:val="00A37D87"/>
    <w:rsid w:val="00A4070A"/>
    <w:rsid w:val="00A40717"/>
    <w:rsid w:val="00A40C11"/>
    <w:rsid w:val="00A41139"/>
    <w:rsid w:val="00A4179B"/>
    <w:rsid w:val="00A4220E"/>
    <w:rsid w:val="00A42D10"/>
    <w:rsid w:val="00A438C6"/>
    <w:rsid w:val="00A441BA"/>
    <w:rsid w:val="00A44507"/>
    <w:rsid w:val="00A4474E"/>
    <w:rsid w:val="00A447E6"/>
    <w:rsid w:val="00A448CF"/>
    <w:rsid w:val="00A44A11"/>
    <w:rsid w:val="00A44A22"/>
    <w:rsid w:val="00A4511E"/>
    <w:rsid w:val="00A45B95"/>
    <w:rsid w:val="00A46258"/>
    <w:rsid w:val="00A46B44"/>
    <w:rsid w:val="00A46FC5"/>
    <w:rsid w:val="00A4795B"/>
    <w:rsid w:val="00A47B28"/>
    <w:rsid w:val="00A47C37"/>
    <w:rsid w:val="00A503A6"/>
    <w:rsid w:val="00A50997"/>
    <w:rsid w:val="00A50BE3"/>
    <w:rsid w:val="00A50D88"/>
    <w:rsid w:val="00A51097"/>
    <w:rsid w:val="00A512DF"/>
    <w:rsid w:val="00A516AF"/>
    <w:rsid w:val="00A51868"/>
    <w:rsid w:val="00A5192B"/>
    <w:rsid w:val="00A519A2"/>
    <w:rsid w:val="00A51D7C"/>
    <w:rsid w:val="00A51F66"/>
    <w:rsid w:val="00A52122"/>
    <w:rsid w:val="00A525F9"/>
    <w:rsid w:val="00A52E38"/>
    <w:rsid w:val="00A52EF5"/>
    <w:rsid w:val="00A52FC6"/>
    <w:rsid w:val="00A538FB"/>
    <w:rsid w:val="00A540FC"/>
    <w:rsid w:val="00A54142"/>
    <w:rsid w:val="00A55BA6"/>
    <w:rsid w:val="00A5609E"/>
    <w:rsid w:val="00A563AC"/>
    <w:rsid w:val="00A56748"/>
    <w:rsid w:val="00A56923"/>
    <w:rsid w:val="00A56949"/>
    <w:rsid w:val="00A56AD0"/>
    <w:rsid w:val="00A56CDD"/>
    <w:rsid w:val="00A57144"/>
    <w:rsid w:val="00A601C3"/>
    <w:rsid w:val="00A6022D"/>
    <w:rsid w:val="00A60575"/>
    <w:rsid w:val="00A61D3B"/>
    <w:rsid w:val="00A6262C"/>
    <w:rsid w:val="00A62821"/>
    <w:rsid w:val="00A62E42"/>
    <w:rsid w:val="00A62EAD"/>
    <w:rsid w:val="00A6304F"/>
    <w:rsid w:val="00A631EA"/>
    <w:rsid w:val="00A644E3"/>
    <w:rsid w:val="00A64A71"/>
    <w:rsid w:val="00A64E8D"/>
    <w:rsid w:val="00A64F6D"/>
    <w:rsid w:val="00A651A0"/>
    <w:rsid w:val="00A6534C"/>
    <w:rsid w:val="00A661DE"/>
    <w:rsid w:val="00A6680F"/>
    <w:rsid w:val="00A6698E"/>
    <w:rsid w:val="00A670C6"/>
    <w:rsid w:val="00A67A81"/>
    <w:rsid w:val="00A70383"/>
    <w:rsid w:val="00A71311"/>
    <w:rsid w:val="00A71777"/>
    <w:rsid w:val="00A71876"/>
    <w:rsid w:val="00A71C04"/>
    <w:rsid w:val="00A71EFD"/>
    <w:rsid w:val="00A720E2"/>
    <w:rsid w:val="00A72302"/>
    <w:rsid w:val="00A72960"/>
    <w:rsid w:val="00A72C97"/>
    <w:rsid w:val="00A72D8F"/>
    <w:rsid w:val="00A73153"/>
    <w:rsid w:val="00A732C3"/>
    <w:rsid w:val="00A736E8"/>
    <w:rsid w:val="00A73CB2"/>
    <w:rsid w:val="00A746F9"/>
    <w:rsid w:val="00A74D6B"/>
    <w:rsid w:val="00A75349"/>
    <w:rsid w:val="00A755B0"/>
    <w:rsid w:val="00A756AE"/>
    <w:rsid w:val="00A75C69"/>
    <w:rsid w:val="00A75E1E"/>
    <w:rsid w:val="00A75E54"/>
    <w:rsid w:val="00A7629F"/>
    <w:rsid w:val="00A763B4"/>
    <w:rsid w:val="00A7653E"/>
    <w:rsid w:val="00A765EF"/>
    <w:rsid w:val="00A769BB"/>
    <w:rsid w:val="00A8004A"/>
    <w:rsid w:val="00A8030F"/>
    <w:rsid w:val="00A80CCA"/>
    <w:rsid w:val="00A80DA9"/>
    <w:rsid w:val="00A8129D"/>
    <w:rsid w:val="00A817F5"/>
    <w:rsid w:val="00A819C1"/>
    <w:rsid w:val="00A81C96"/>
    <w:rsid w:val="00A8201D"/>
    <w:rsid w:val="00A820FE"/>
    <w:rsid w:val="00A823D6"/>
    <w:rsid w:val="00A8243F"/>
    <w:rsid w:val="00A82F13"/>
    <w:rsid w:val="00A8308B"/>
    <w:rsid w:val="00A832F0"/>
    <w:rsid w:val="00A83BE7"/>
    <w:rsid w:val="00A83D2C"/>
    <w:rsid w:val="00A84CA0"/>
    <w:rsid w:val="00A8562A"/>
    <w:rsid w:val="00A8577E"/>
    <w:rsid w:val="00A85862"/>
    <w:rsid w:val="00A85BA7"/>
    <w:rsid w:val="00A85C4C"/>
    <w:rsid w:val="00A85E07"/>
    <w:rsid w:val="00A867C6"/>
    <w:rsid w:val="00A86B37"/>
    <w:rsid w:val="00A8713F"/>
    <w:rsid w:val="00A87223"/>
    <w:rsid w:val="00A87586"/>
    <w:rsid w:val="00A87F6E"/>
    <w:rsid w:val="00A902B3"/>
    <w:rsid w:val="00A9036B"/>
    <w:rsid w:val="00A904B8"/>
    <w:rsid w:val="00A90547"/>
    <w:rsid w:val="00A90694"/>
    <w:rsid w:val="00A9195F"/>
    <w:rsid w:val="00A92173"/>
    <w:rsid w:val="00A92415"/>
    <w:rsid w:val="00A929DE"/>
    <w:rsid w:val="00A92C54"/>
    <w:rsid w:val="00A92E4E"/>
    <w:rsid w:val="00A930D7"/>
    <w:rsid w:val="00A9314B"/>
    <w:rsid w:val="00A93401"/>
    <w:rsid w:val="00A9352A"/>
    <w:rsid w:val="00A935EB"/>
    <w:rsid w:val="00A93B6A"/>
    <w:rsid w:val="00A94A0F"/>
    <w:rsid w:val="00A94B4F"/>
    <w:rsid w:val="00A94C9B"/>
    <w:rsid w:val="00A94CC7"/>
    <w:rsid w:val="00A9516B"/>
    <w:rsid w:val="00A952C7"/>
    <w:rsid w:val="00A952F3"/>
    <w:rsid w:val="00A955BB"/>
    <w:rsid w:val="00A9569C"/>
    <w:rsid w:val="00A95881"/>
    <w:rsid w:val="00A95C78"/>
    <w:rsid w:val="00A962E2"/>
    <w:rsid w:val="00A96E8E"/>
    <w:rsid w:val="00A97569"/>
    <w:rsid w:val="00A97B4A"/>
    <w:rsid w:val="00A97D8C"/>
    <w:rsid w:val="00AA0326"/>
    <w:rsid w:val="00AA0EB3"/>
    <w:rsid w:val="00AA1274"/>
    <w:rsid w:val="00AA1476"/>
    <w:rsid w:val="00AA1F7D"/>
    <w:rsid w:val="00AA251B"/>
    <w:rsid w:val="00AA29F6"/>
    <w:rsid w:val="00AA2C33"/>
    <w:rsid w:val="00AA425C"/>
    <w:rsid w:val="00AA4361"/>
    <w:rsid w:val="00AA49DF"/>
    <w:rsid w:val="00AA4C8B"/>
    <w:rsid w:val="00AA4D6E"/>
    <w:rsid w:val="00AA53FE"/>
    <w:rsid w:val="00AA56A2"/>
    <w:rsid w:val="00AA5920"/>
    <w:rsid w:val="00AA5A2F"/>
    <w:rsid w:val="00AA5AE3"/>
    <w:rsid w:val="00AA5CEA"/>
    <w:rsid w:val="00AA64D4"/>
    <w:rsid w:val="00AA6929"/>
    <w:rsid w:val="00AA6BA2"/>
    <w:rsid w:val="00AA6F08"/>
    <w:rsid w:val="00AA7190"/>
    <w:rsid w:val="00AA74CF"/>
    <w:rsid w:val="00AA7CB2"/>
    <w:rsid w:val="00AB0427"/>
    <w:rsid w:val="00AB0866"/>
    <w:rsid w:val="00AB0D54"/>
    <w:rsid w:val="00AB0E8E"/>
    <w:rsid w:val="00AB104B"/>
    <w:rsid w:val="00AB10E7"/>
    <w:rsid w:val="00AB18FA"/>
    <w:rsid w:val="00AB1B33"/>
    <w:rsid w:val="00AB2178"/>
    <w:rsid w:val="00AB2777"/>
    <w:rsid w:val="00AB2B5A"/>
    <w:rsid w:val="00AB31FB"/>
    <w:rsid w:val="00AB36EB"/>
    <w:rsid w:val="00AB3700"/>
    <w:rsid w:val="00AB3D00"/>
    <w:rsid w:val="00AB3DFF"/>
    <w:rsid w:val="00AB3FA8"/>
    <w:rsid w:val="00AB4311"/>
    <w:rsid w:val="00AB4399"/>
    <w:rsid w:val="00AB4717"/>
    <w:rsid w:val="00AB48B5"/>
    <w:rsid w:val="00AB4C18"/>
    <w:rsid w:val="00AB55E0"/>
    <w:rsid w:val="00AB5AD7"/>
    <w:rsid w:val="00AB5B0C"/>
    <w:rsid w:val="00AB5E58"/>
    <w:rsid w:val="00AB6252"/>
    <w:rsid w:val="00AB6A4F"/>
    <w:rsid w:val="00AB6AE0"/>
    <w:rsid w:val="00AB6B17"/>
    <w:rsid w:val="00AB6CB4"/>
    <w:rsid w:val="00AB6F15"/>
    <w:rsid w:val="00AB783F"/>
    <w:rsid w:val="00AB7BFA"/>
    <w:rsid w:val="00AB7CB1"/>
    <w:rsid w:val="00AC11ED"/>
    <w:rsid w:val="00AC140B"/>
    <w:rsid w:val="00AC14C8"/>
    <w:rsid w:val="00AC1609"/>
    <w:rsid w:val="00AC21DA"/>
    <w:rsid w:val="00AC24B9"/>
    <w:rsid w:val="00AC25B0"/>
    <w:rsid w:val="00AC2685"/>
    <w:rsid w:val="00AC2D22"/>
    <w:rsid w:val="00AC3196"/>
    <w:rsid w:val="00AC31DC"/>
    <w:rsid w:val="00AC3875"/>
    <w:rsid w:val="00AC38D3"/>
    <w:rsid w:val="00AC3A24"/>
    <w:rsid w:val="00AC3AEC"/>
    <w:rsid w:val="00AC3DA2"/>
    <w:rsid w:val="00AC3EE7"/>
    <w:rsid w:val="00AC425E"/>
    <w:rsid w:val="00AC4675"/>
    <w:rsid w:val="00AC4F4E"/>
    <w:rsid w:val="00AC50A8"/>
    <w:rsid w:val="00AC566F"/>
    <w:rsid w:val="00AC591F"/>
    <w:rsid w:val="00AC5ABC"/>
    <w:rsid w:val="00AC623C"/>
    <w:rsid w:val="00AC689F"/>
    <w:rsid w:val="00AC6A7D"/>
    <w:rsid w:val="00AC78B1"/>
    <w:rsid w:val="00AD0620"/>
    <w:rsid w:val="00AD0631"/>
    <w:rsid w:val="00AD1293"/>
    <w:rsid w:val="00AD1784"/>
    <w:rsid w:val="00AD18E5"/>
    <w:rsid w:val="00AD2021"/>
    <w:rsid w:val="00AD23D9"/>
    <w:rsid w:val="00AD2512"/>
    <w:rsid w:val="00AD264A"/>
    <w:rsid w:val="00AD2B42"/>
    <w:rsid w:val="00AD35BF"/>
    <w:rsid w:val="00AD4FC7"/>
    <w:rsid w:val="00AD5481"/>
    <w:rsid w:val="00AD582A"/>
    <w:rsid w:val="00AD5A85"/>
    <w:rsid w:val="00AD5C90"/>
    <w:rsid w:val="00AD5ED9"/>
    <w:rsid w:val="00AD5FAE"/>
    <w:rsid w:val="00AD62A1"/>
    <w:rsid w:val="00AD651D"/>
    <w:rsid w:val="00AD672F"/>
    <w:rsid w:val="00AD6AE7"/>
    <w:rsid w:val="00AD706C"/>
    <w:rsid w:val="00AD749C"/>
    <w:rsid w:val="00AD76B3"/>
    <w:rsid w:val="00AD7FC5"/>
    <w:rsid w:val="00AE0155"/>
    <w:rsid w:val="00AE02E7"/>
    <w:rsid w:val="00AE0592"/>
    <w:rsid w:val="00AE0914"/>
    <w:rsid w:val="00AE0A78"/>
    <w:rsid w:val="00AE1291"/>
    <w:rsid w:val="00AE161A"/>
    <w:rsid w:val="00AE17E8"/>
    <w:rsid w:val="00AE18AE"/>
    <w:rsid w:val="00AE1C1E"/>
    <w:rsid w:val="00AE1FF2"/>
    <w:rsid w:val="00AE24FC"/>
    <w:rsid w:val="00AE269E"/>
    <w:rsid w:val="00AE2F90"/>
    <w:rsid w:val="00AE3256"/>
    <w:rsid w:val="00AE3343"/>
    <w:rsid w:val="00AE37DD"/>
    <w:rsid w:val="00AE3ED6"/>
    <w:rsid w:val="00AE4175"/>
    <w:rsid w:val="00AE4393"/>
    <w:rsid w:val="00AE43DA"/>
    <w:rsid w:val="00AE45F6"/>
    <w:rsid w:val="00AE473D"/>
    <w:rsid w:val="00AE4C18"/>
    <w:rsid w:val="00AE5335"/>
    <w:rsid w:val="00AE5A50"/>
    <w:rsid w:val="00AE5D4F"/>
    <w:rsid w:val="00AE5F33"/>
    <w:rsid w:val="00AE5FB3"/>
    <w:rsid w:val="00AE6DD8"/>
    <w:rsid w:val="00AE7953"/>
    <w:rsid w:val="00AE7B15"/>
    <w:rsid w:val="00AE7C58"/>
    <w:rsid w:val="00AF0116"/>
    <w:rsid w:val="00AF04F7"/>
    <w:rsid w:val="00AF08AD"/>
    <w:rsid w:val="00AF0ABE"/>
    <w:rsid w:val="00AF111E"/>
    <w:rsid w:val="00AF14C0"/>
    <w:rsid w:val="00AF23DF"/>
    <w:rsid w:val="00AF258E"/>
    <w:rsid w:val="00AF2A6B"/>
    <w:rsid w:val="00AF3565"/>
    <w:rsid w:val="00AF3803"/>
    <w:rsid w:val="00AF3D36"/>
    <w:rsid w:val="00AF436B"/>
    <w:rsid w:val="00AF4431"/>
    <w:rsid w:val="00AF4968"/>
    <w:rsid w:val="00AF4C14"/>
    <w:rsid w:val="00AF5332"/>
    <w:rsid w:val="00AF551A"/>
    <w:rsid w:val="00AF555F"/>
    <w:rsid w:val="00AF5B52"/>
    <w:rsid w:val="00AF5F6A"/>
    <w:rsid w:val="00AF5F9E"/>
    <w:rsid w:val="00AF6536"/>
    <w:rsid w:val="00AF730B"/>
    <w:rsid w:val="00AF78CC"/>
    <w:rsid w:val="00B0039E"/>
    <w:rsid w:val="00B0062E"/>
    <w:rsid w:val="00B00870"/>
    <w:rsid w:val="00B00F21"/>
    <w:rsid w:val="00B01056"/>
    <w:rsid w:val="00B01075"/>
    <w:rsid w:val="00B014C0"/>
    <w:rsid w:val="00B0153A"/>
    <w:rsid w:val="00B01E32"/>
    <w:rsid w:val="00B0297B"/>
    <w:rsid w:val="00B02999"/>
    <w:rsid w:val="00B02D0B"/>
    <w:rsid w:val="00B03357"/>
    <w:rsid w:val="00B03390"/>
    <w:rsid w:val="00B03B7B"/>
    <w:rsid w:val="00B03BDB"/>
    <w:rsid w:val="00B03DD6"/>
    <w:rsid w:val="00B0429C"/>
    <w:rsid w:val="00B042B7"/>
    <w:rsid w:val="00B043FC"/>
    <w:rsid w:val="00B046BF"/>
    <w:rsid w:val="00B04B67"/>
    <w:rsid w:val="00B04D54"/>
    <w:rsid w:val="00B059BB"/>
    <w:rsid w:val="00B059F0"/>
    <w:rsid w:val="00B05DA7"/>
    <w:rsid w:val="00B06BB0"/>
    <w:rsid w:val="00B06FAF"/>
    <w:rsid w:val="00B070F4"/>
    <w:rsid w:val="00B10012"/>
    <w:rsid w:val="00B10914"/>
    <w:rsid w:val="00B10A0E"/>
    <w:rsid w:val="00B11E9A"/>
    <w:rsid w:val="00B126FA"/>
    <w:rsid w:val="00B1288D"/>
    <w:rsid w:val="00B12CE1"/>
    <w:rsid w:val="00B12D03"/>
    <w:rsid w:val="00B13340"/>
    <w:rsid w:val="00B13707"/>
    <w:rsid w:val="00B13881"/>
    <w:rsid w:val="00B13C6E"/>
    <w:rsid w:val="00B13E04"/>
    <w:rsid w:val="00B14551"/>
    <w:rsid w:val="00B14F06"/>
    <w:rsid w:val="00B14F46"/>
    <w:rsid w:val="00B1566F"/>
    <w:rsid w:val="00B157D7"/>
    <w:rsid w:val="00B15869"/>
    <w:rsid w:val="00B15E54"/>
    <w:rsid w:val="00B16BFD"/>
    <w:rsid w:val="00B17008"/>
    <w:rsid w:val="00B1707A"/>
    <w:rsid w:val="00B171BC"/>
    <w:rsid w:val="00B17DFC"/>
    <w:rsid w:val="00B17F6D"/>
    <w:rsid w:val="00B2022F"/>
    <w:rsid w:val="00B20457"/>
    <w:rsid w:val="00B20BE0"/>
    <w:rsid w:val="00B20EC1"/>
    <w:rsid w:val="00B2223E"/>
    <w:rsid w:val="00B22412"/>
    <w:rsid w:val="00B22A6F"/>
    <w:rsid w:val="00B22A89"/>
    <w:rsid w:val="00B22CC4"/>
    <w:rsid w:val="00B22EB1"/>
    <w:rsid w:val="00B2302B"/>
    <w:rsid w:val="00B234F7"/>
    <w:rsid w:val="00B23631"/>
    <w:rsid w:val="00B23C90"/>
    <w:rsid w:val="00B23E10"/>
    <w:rsid w:val="00B24AA5"/>
    <w:rsid w:val="00B24E07"/>
    <w:rsid w:val="00B251C8"/>
    <w:rsid w:val="00B252FA"/>
    <w:rsid w:val="00B258D3"/>
    <w:rsid w:val="00B25C1B"/>
    <w:rsid w:val="00B25DB5"/>
    <w:rsid w:val="00B25FAF"/>
    <w:rsid w:val="00B26067"/>
    <w:rsid w:val="00B265D1"/>
    <w:rsid w:val="00B265F7"/>
    <w:rsid w:val="00B274E6"/>
    <w:rsid w:val="00B27CBB"/>
    <w:rsid w:val="00B30758"/>
    <w:rsid w:val="00B30A34"/>
    <w:rsid w:val="00B30BA6"/>
    <w:rsid w:val="00B30E8D"/>
    <w:rsid w:val="00B318B5"/>
    <w:rsid w:val="00B31AC9"/>
    <w:rsid w:val="00B31BC3"/>
    <w:rsid w:val="00B320E7"/>
    <w:rsid w:val="00B327F3"/>
    <w:rsid w:val="00B329D9"/>
    <w:rsid w:val="00B32B54"/>
    <w:rsid w:val="00B32B56"/>
    <w:rsid w:val="00B32DF1"/>
    <w:rsid w:val="00B32FEA"/>
    <w:rsid w:val="00B3375B"/>
    <w:rsid w:val="00B33A88"/>
    <w:rsid w:val="00B33C23"/>
    <w:rsid w:val="00B33C25"/>
    <w:rsid w:val="00B3414E"/>
    <w:rsid w:val="00B3460C"/>
    <w:rsid w:val="00B352B6"/>
    <w:rsid w:val="00B3544B"/>
    <w:rsid w:val="00B35522"/>
    <w:rsid w:val="00B3583B"/>
    <w:rsid w:val="00B35F6A"/>
    <w:rsid w:val="00B36096"/>
    <w:rsid w:val="00B36132"/>
    <w:rsid w:val="00B3626D"/>
    <w:rsid w:val="00B36529"/>
    <w:rsid w:val="00B368D4"/>
    <w:rsid w:val="00B3693E"/>
    <w:rsid w:val="00B36985"/>
    <w:rsid w:val="00B36A16"/>
    <w:rsid w:val="00B36BE6"/>
    <w:rsid w:val="00B36F3E"/>
    <w:rsid w:val="00B37875"/>
    <w:rsid w:val="00B37881"/>
    <w:rsid w:val="00B37A8F"/>
    <w:rsid w:val="00B37B70"/>
    <w:rsid w:val="00B37C5C"/>
    <w:rsid w:val="00B40109"/>
    <w:rsid w:val="00B403FC"/>
    <w:rsid w:val="00B4058A"/>
    <w:rsid w:val="00B40592"/>
    <w:rsid w:val="00B4077E"/>
    <w:rsid w:val="00B407AA"/>
    <w:rsid w:val="00B40A00"/>
    <w:rsid w:val="00B40AB1"/>
    <w:rsid w:val="00B41110"/>
    <w:rsid w:val="00B415EF"/>
    <w:rsid w:val="00B416A9"/>
    <w:rsid w:val="00B4173A"/>
    <w:rsid w:val="00B4197A"/>
    <w:rsid w:val="00B42068"/>
    <w:rsid w:val="00B420E4"/>
    <w:rsid w:val="00B4218A"/>
    <w:rsid w:val="00B423F2"/>
    <w:rsid w:val="00B42479"/>
    <w:rsid w:val="00B42AA9"/>
    <w:rsid w:val="00B43194"/>
    <w:rsid w:val="00B4365B"/>
    <w:rsid w:val="00B43C5A"/>
    <w:rsid w:val="00B43D64"/>
    <w:rsid w:val="00B43EA4"/>
    <w:rsid w:val="00B44102"/>
    <w:rsid w:val="00B4433A"/>
    <w:rsid w:val="00B447BB"/>
    <w:rsid w:val="00B44D6A"/>
    <w:rsid w:val="00B44DF1"/>
    <w:rsid w:val="00B451FE"/>
    <w:rsid w:val="00B45569"/>
    <w:rsid w:val="00B45637"/>
    <w:rsid w:val="00B45CC4"/>
    <w:rsid w:val="00B45E22"/>
    <w:rsid w:val="00B45F76"/>
    <w:rsid w:val="00B465BE"/>
    <w:rsid w:val="00B4699F"/>
    <w:rsid w:val="00B46EFB"/>
    <w:rsid w:val="00B46F23"/>
    <w:rsid w:val="00B474D7"/>
    <w:rsid w:val="00B479D1"/>
    <w:rsid w:val="00B50076"/>
    <w:rsid w:val="00B501A5"/>
    <w:rsid w:val="00B50540"/>
    <w:rsid w:val="00B50AD8"/>
    <w:rsid w:val="00B5141A"/>
    <w:rsid w:val="00B515B4"/>
    <w:rsid w:val="00B53067"/>
    <w:rsid w:val="00B5316C"/>
    <w:rsid w:val="00B53718"/>
    <w:rsid w:val="00B539C6"/>
    <w:rsid w:val="00B53A4E"/>
    <w:rsid w:val="00B53C35"/>
    <w:rsid w:val="00B541AB"/>
    <w:rsid w:val="00B54758"/>
    <w:rsid w:val="00B547A0"/>
    <w:rsid w:val="00B551FB"/>
    <w:rsid w:val="00B556D0"/>
    <w:rsid w:val="00B5608D"/>
    <w:rsid w:val="00B56240"/>
    <w:rsid w:val="00B5625B"/>
    <w:rsid w:val="00B563F8"/>
    <w:rsid w:val="00B56829"/>
    <w:rsid w:val="00B56834"/>
    <w:rsid w:val="00B5693E"/>
    <w:rsid w:val="00B56B86"/>
    <w:rsid w:val="00B56F70"/>
    <w:rsid w:val="00B57657"/>
    <w:rsid w:val="00B57B22"/>
    <w:rsid w:val="00B60242"/>
    <w:rsid w:val="00B609B2"/>
    <w:rsid w:val="00B60E8A"/>
    <w:rsid w:val="00B61092"/>
    <w:rsid w:val="00B612E9"/>
    <w:rsid w:val="00B61512"/>
    <w:rsid w:val="00B61520"/>
    <w:rsid w:val="00B61D56"/>
    <w:rsid w:val="00B61DEC"/>
    <w:rsid w:val="00B621D2"/>
    <w:rsid w:val="00B622A9"/>
    <w:rsid w:val="00B6238F"/>
    <w:rsid w:val="00B625EF"/>
    <w:rsid w:val="00B62A6F"/>
    <w:rsid w:val="00B62D37"/>
    <w:rsid w:val="00B630FD"/>
    <w:rsid w:val="00B634BC"/>
    <w:rsid w:val="00B63805"/>
    <w:rsid w:val="00B63C98"/>
    <w:rsid w:val="00B64081"/>
    <w:rsid w:val="00B64F16"/>
    <w:rsid w:val="00B65255"/>
    <w:rsid w:val="00B6530B"/>
    <w:rsid w:val="00B65324"/>
    <w:rsid w:val="00B65347"/>
    <w:rsid w:val="00B65489"/>
    <w:rsid w:val="00B65DE1"/>
    <w:rsid w:val="00B665B7"/>
    <w:rsid w:val="00B66633"/>
    <w:rsid w:val="00B66639"/>
    <w:rsid w:val="00B66B9D"/>
    <w:rsid w:val="00B6719F"/>
    <w:rsid w:val="00B67533"/>
    <w:rsid w:val="00B675BA"/>
    <w:rsid w:val="00B679A6"/>
    <w:rsid w:val="00B702E6"/>
    <w:rsid w:val="00B70D32"/>
    <w:rsid w:val="00B70E04"/>
    <w:rsid w:val="00B70E7B"/>
    <w:rsid w:val="00B712A1"/>
    <w:rsid w:val="00B7234E"/>
    <w:rsid w:val="00B72634"/>
    <w:rsid w:val="00B72906"/>
    <w:rsid w:val="00B72AA2"/>
    <w:rsid w:val="00B72BBF"/>
    <w:rsid w:val="00B72FBA"/>
    <w:rsid w:val="00B7309A"/>
    <w:rsid w:val="00B730C5"/>
    <w:rsid w:val="00B73401"/>
    <w:rsid w:val="00B736E4"/>
    <w:rsid w:val="00B73B09"/>
    <w:rsid w:val="00B7474D"/>
    <w:rsid w:val="00B748F5"/>
    <w:rsid w:val="00B74C3A"/>
    <w:rsid w:val="00B75028"/>
    <w:rsid w:val="00B758EB"/>
    <w:rsid w:val="00B75F4E"/>
    <w:rsid w:val="00B765CC"/>
    <w:rsid w:val="00B768E8"/>
    <w:rsid w:val="00B7695D"/>
    <w:rsid w:val="00B7698A"/>
    <w:rsid w:val="00B76FC2"/>
    <w:rsid w:val="00B77008"/>
    <w:rsid w:val="00B77643"/>
    <w:rsid w:val="00B77B2C"/>
    <w:rsid w:val="00B80649"/>
    <w:rsid w:val="00B80FA2"/>
    <w:rsid w:val="00B8150A"/>
    <w:rsid w:val="00B81529"/>
    <w:rsid w:val="00B8187F"/>
    <w:rsid w:val="00B81BC1"/>
    <w:rsid w:val="00B82364"/>
    <w:rsid w:val="00B82C82"/>
    <w:rsid w:val="00B832D6"/>
    <w:rsid w:val="00B833F2"/>
    <w:rsid w:val="00B8365F"/>
    <w:rsid w:val="00B837A6"/>
    <w:rsid w:val="00B83ED7"/>
    <w:rsid w:val="00B84024"/>
    <w:rsid w:val="00B840ED"/>
    <w:rsid w:val="00B841E5"/>
    <w:rsid w:val="00B842E2"/>
    <w:rsid w:val="00B84EA3"/>
    <w:rsid w:val="00B85572"/>
    <w:rsid w:val="00B867E8"/>
    <w:rsid w:val="00B86A86"/>
    <w:rsid w:val="00B875B0"/>
    <w:rsid w:val="00B8774F"/>
    <w:rsid w:val="00B87927"/>
    <w:rsid w:val="00B90AE2"/>
    <w:rsid w:val="00B90F71"/>
    <w:rsid w:val="00B9189E"/>
    <w:rsid w:val="00B92912"/>
    <w:rsid w:val="00B9304D"/>
    <w:rsid w:val="00B9318B"/>
    <w:rsid w:val="00B9373F"/>
    <w:rsid w:val="00B93CE5"/>
    <w:rsid w:val="00B93D80"/>
    <w:rsid w:val="00B93DC1"/>
    <w:rsid w:val="00B94082"/>
    <w:rsid w:val="00B94B57"/>
    <w:rsid w:val="00B95656"/>
    <w:rsid w:val="00B956EE"/>
    <w:rsid w:val="00B95A73"/>
    <w:rsid w:val="00B95CD5"/>
    <w:rsid w:val="00B95E60"/>
    <w:rsid w:val="00B96705"/>
    <w:rsid w:val="00B96B18"/>
    <w:rsid w:val="00B9778A"/>
    <w:rsid w:val="00B97FC0"/>
    <w:rsid w:val="00BA00A2"/>
    <w:rsid w:val="00BA078D"/>
    <w:rsid w:val="00BA0C07"/>
    <w:rsid w:val="00BA1474"/>
    <w:rsid w:val="00BA15F8"/>
    <w:rsid w:val="00BA1E22"/>
    <w:rsid w:val="00BA219A"/>
    <w:rsid w:val="00BA312D"/>
    <w:rsid w:val="00BA3E30"/>
    <w:rsid w:val="00BA3F33"/>
    <w:rsid w:val="00BA453D"/>
    <w:rsid w:val="00BA4572"/>
    <w:rsid w:val="00BA4900"/>
    <w:rsid w:val="00BA4E29"/>
    <w:rsid w:val="00BA56AC"/>
    <w:rsid w:val="00BA58F5"/>
    <w:rsid w:val="00BA5A48"/>
    <w:rsid w:val="00BA5A4D"/>
    <w:rsid w:val="00BA6118"/>
    <w:rsid w:val="00BA6692"/>
    <w:rsid w:val="00BA6834"/>
    <w:rsid w:val="00BA6F8E"/>
    <w:rsid w:val="00BA7675"/>
    <w:rsid w:val="00BA78DA"/>
    <w:rsid w:val="00BA799E"/>
    <w:rsid w:val="00BA79FB"/>
    <w:rsid w:val="00BA7EE8"/>
    <w:rsid w:val="00BB01B1"/>
    <w:rsid w:val="00BB02BA"/>
    <w:rsid w:val="00BB0698"/>
    <w:rsid w:val="00BB0DE4"/>
    <w:rsid w:val="00BB1323"/>
    <w:rsid w:val="00BB14E7"/>
    <w:rsid w:val="00BB16AA"/>
    <w:rsid w:val="00BB18C8"/>
    <w:rsid w:val="00BB2222"/>
    <w:rsid w:val="00BB22DD"/>
    <w:rsid w:val="00BB2397"/>
    <w:rsid w:val="00BB2773"/>
    <w:rsid w:val="00BB37AB"/>
    <w:rsid w:val="00BB3873"/>
    <w:rsid w:val="00BB39C6"/>
    <w:rsid w:val="00BB3C86"/>
    <w:rsid w:val="00BB40D5"/>
    <w:rsid w:val="00BB555D"/>
    <w:rsid w:val="00BB5582"/>
    <w:rsid w:val="00BB55B2"/>
    <w:rsid w:val="00BB5C8B"/>
    <w:rsid w:val="00BB5C9E"/>
    <w:rsid w:val="00BB5F71"/>
    <w:rsid w:val="00BB65A2"/>
    <w:rsid w:val="00BB6E39"/>
    <w:rsid w:val="00BB6EB2"/>
    <w:rsid w:val="00BB731F"/>
    <w:rsid w:val="00BB73AA"/>
    <w:rsid w:val="00BB745A"/>
    <w:rsid w:val="00BB7CF7"/>
    <w:rsid w:val="00BC013F"/>
    <w:rsid w:val="00BC03F5"/>
    <w:rsid w:val="00BC046A"/>
    <w:rsid w:val="00BC0B4E"/>
    <w:rsid w:val="00BC0FF5"/>
    <w:rsid w:val="00BC10AB"/>
    <w:rsid w:val="00BC10E7"/>
    <w:rsid w:val="00BC1160"/>
    <w:rsid w:val="00BC1708"/>
    <w:rsid w:val="00BC189E"/>
    <w:rsid w:val="00BC18FA"/>
    <w:rsid w:val="00BC1E48"/>
    <w:rsid w:val="00BC20EC"/>
    <w:rsid w:val="00BC298B"/>
    <w:rsid w:val="00BC2ED4"/>
    <w:rsid w:val="00BC392A"/>
    <w:rsid w:val="00BC397B"/>
    <w:rsid w:val="00BC3CDA"/>
    <w:rsid w:val="00BC409E"/>
    <w:rsid w:val="00BC482B"/>
    <w:rsid w:val="00BC48D5"/>
    <w:rsid w:val="00BC492B"/>
    <w:rsid w:val="00BC4A5F"/>
    <w:rsid w:val="00BC4C76"/>
    <w:rsid w:val="00BC56E4"/>
    <w:rsid w:val="00BC583E"/>
    <w:rsid w:val="00BC587B"/>
    <w:rsid w:val="00BC5A03"/>
    <w:rsid w:val="00BC63F9"/>
    <w:rsid w:val="00BC65A9"/>
    <w:rsid w:val="00BC67DA"/>
    <w:rsid w:val="00BC6E1E"/>
    <w:rsid w:val="00BC775A"/>
    <w:rsid w:val="00BD03E6"/>
    <w:rsid w:val="00BD055F"/>
    <w:rsid w:val="00BD0CA0"/>
    <w:rsid w:val="00BD107A"/>
    <w:rsid w:val="00BD1355"/>
    <w:rsid w:val="00BD169E"/>
    <w:rsid w:val="00BD19F8"/>
    <w:rsid w:val="00BD204B"/>
    <w:rsid w:val="00BD248B"/>
    <w:rsid w:val="00BD26AA"/>
    <w:rsid w:val="00BD33A9"/>
    <w:rsid w:val="00BD443B"/>
    <w:rsid w:val="00BD454F"/>
    <w:rsid w:val="00BD5BF6"/>
    <w:rsid w:val="00BD5C05"/>
    <w:rsid w:val="00BD6178"/>
    <w:rsid w:val="00BD630A"/>
    <w:rsid w:val="00BD6344"/>
    <w:rsid w:val="00BD63D7"/>
    <w:rsid w:val="00BD6529"/>
    <w:rsid w:val="00BD67FF"/>
    <w:rsid w:val="00BD68D4"/>
    <w:rsid w:val="00BD69F8"/>
    <w:rsid w:val="00BD7770"/>
    <w:rsid w:val="00BD7D0A"/>
    <w:rsid w:val="00BE04F9"/>
    <w:rsid w:val="00BE090B"/>
    <w:rsid w:val="00BE0DF9"/>
    <w:rsid w:val="00BE1480"/>
    <w:rsid w:val="00BE195D"/>
    <w:rsid w:val="00BE1EF4"/>
    <w:rsid w:val="00BE21B6"/>
    <w:rsid w:val="00BE2319"/>
    <w:rsid w:val="00BE2659"/>
    <w:rsid w:val="00BE28DD"/>
    <w:rsid w:val="00BE3104"/>
    <w:rsid w:val="00BE4192"/>
    <w:rsid w:val="00BE4507"/>
    <w:rsid w:val="00BE4A9F"/>
    <w:rsid w:val="00BE5869"/>
    <w:rsid w:val="00BE5B28"/>
    <w:rsid w:val="00BE6473"/>
    <w:rsid w:val="00BE6517"/>
    <w:rsid w:val="00BE6625"/>
    <w:rsid w:val="00BE66DE"/>
    <w:rsid w:val="00BE6892"/>
    <w:rsid w:val="00BE737D"/>
    <w:rsid w:val="00BE7BC5"/>
    <w:rsid w:val="00BE7C17"/>
    <w:rsid w:val="00BF06F3"/>
    <w:rsid w:val="00BF09F2"/>
    <w:rsid w:val="00BF0EA4"/>
    <w:rsid w:val="00BF1182"/>
    <w:rsid w:val="00BF1FB0"/>
    <w:rsid w:val="00BF2509"/>
    <w:rsid w:val="00BF2645"/>
    <w:rsid w:val="00BF2A6C"/>
    <w:rsid w:val="00BF3382"/>
    <w:rsid w:val="00BF3872"/>
    <w:rsid w:val="00BF38F7"/>
    <w:rsid w:val="00BF3F5F"/>
    <w:rsid w:val="00BF419A"/>
    <w:rsid w:val="00BF447F"/>
    <w:rsid w:val="00BF4515"/>
    <w:rsid w:val="00BF4A1E"/>
    <w:rsid w:val="00BF4AD6"/>
    <w:rsid w:val="00BF4D0E"/>
    <w:rsid w:val="00BF4F80"/>
    <w:rsid w:val="00BF4F90"/>
    <w:rsid w:val="00BF5105"/>
    <w:rsid w:val="00BF59AE"/>
    <w:rsid w:val="00BF5C03"/>
    <w:rsid w:val="00BF6C8B"/>
    <w:rsid w:val="00BF734E"/>
    <w:rsid w:val="00BF7627"/>
    <w:rsid w:val="00BF77E1"/>
    <w:rsid w:val="00BF7978"/>
    <w:rsid w:val="00C00C05"/>
    <w:rsid w:val="00C00D29"/>
    <w:rsid w:val="00C01253"/>
    <w:rsid w:val="00C01486"/>
    <w:rsid w:val="00C0180A"/>
    <w:rsid w:val="00C01A54"/>
    <w:rsid w:val="00C01A7D"/>
    <w:rsid w:val="00C01B81"/>
    <w:rsid w:val="00C01DCC"/>
    <w:rsid w:val="00C01F4D"/>
    <w:rsid w:val="00C024D8"/>
    <w:rsid w:val="00C0286F"/>
    <w:rsid w:val="00C031E9"/>
    <w:rsid w:val="00C03366"/>
    <w:rsid w:val="00C0398D"/>
    <w:rsid w:val="00C03B56"/>
    <w:rsid w:val="00C03F21"/>
    <w:rsid w:val="00C040F9"/>
    <w:rsid w:val="00C04168"/>
    <w:rsid w:val="00C04871"/>
    <w:rsid w:val="00C04BCC"/>
    <w:rsid w:val="00C05ADD"/>
    <w:rsid w:val="00C06CCA"/>
    <w:rsid w:val="00C07850"/>
    <w:rsid w:val="00C0786F"/>
    <w:rsid w:val="00C07B01"/>
    <w:rsid w:val="00C07BA6"/>
    <w:rsid w:val="00C07C3B"/>
    <w:rsid w:val="00C07EE9"/>
    <w:rsid w:val="00C07FB0"/>
    <w:rsid w:val="00C10262"/>
    <w:rsid w:val="00C1027D"/>
    <w:rsid w:val="00C1033C"/>
    <w:rsid w:val="00C10586"/>
    <w:rsid w:val="00C10FEE"/>
    <w:rsid w:val="00C1113B"/>
    <w:rsid w:val="00C1143D"/>
    <w:rsid w:val="00C11497"/>
    <w:rsid w:val="00C114F5"/>
    <w:rsid w:val="00C118C6"/>
    <w:rsid w:val="00C1192D"/>
    <w:rsid w:val="00C11B63"/>
    <w:rsid w:val="00C11E7F"/>
    <w:rsid w:val="00C1228E"/>
    <w:rsid w:val="00C122EE"/>
    <w:rsid w:val="00C1245C"/>
    <w:rsid w:val="00C13777"/>
    <w:rsid w:val="00C1383C"/>
    <w:rsid w:val="00C1386F"/>
    <w:rsid w:val="00C13DDE"/>
    <w:rsid w:val="00C13E3F"/>
    <w:rsid w:val="00C140E6"/>
    <w:rsid w:val="00C144F4"/>
    <w:rsid w:val="00C14583"/>
    <w:rsid w:val="00C14F4B"/>
    <w:rsid w:val="00C153D6"/>
    <w:rsid w:val="00C156FE"/>
    <w:rsid w:val="00C15F05"/>
    <w:rsid w:val="00C163F7"/>
    <w:rsid w:val="00C16610"/>
    <w:rsid w:val="00C16611"/>
    <w:rsid w:val="00C16AF5"/>
    <w:rsid w:val="00C175CB"/>
    <w:rsid w:val="00C178DB"/>
    <w:rsid w:val="00C17A77"/>
    <w:rsid w:val="00C202B3"/>
    <w:rsid w:val="00C2071E"/>
    <w:rsid w:val="00C20AF5"/>
    <w:rsid w:val="00C210FD"/>
    <w:rsid w:val="00C211C5"/>
    <w:rsid w:val="00C21858"/>
    <w:rsid w:val="00C21D30"/>
    <w:rsid w:val="00C21EE0"/>
    <w:rsid w:val="00C21F20"/>
    <w:rsid w:val="00C222E2"/>
    <w:rsid w:val="00C22533"/>
    <w:rsid w:val="00C225B8"/>
    <w:rsid w:val="00C22BC9"/>
    <w:rsid w:val="00C22C86"/>
    <w:rsid w:val="00C22C9C"/>
    <w:rsid w:val="00C22F4D"/>
    <w:rsid w:val="00C243E6"/>
    <w:rsid w:val="00C24785"/>
    <w:rsid w:val="00C24D6D"/>
    <w:rsid w:val="00C24E8F"/>
    <w:rsid w:val="00C25036"/>
    <w:rsid w:val="00C25142"/>
    <w:rsid w:val="00C25F4B"/>
    <w:rsid w:val="00C2794B"/>
    <w:rsid w:val="00C27B9A"/>
    <w:rsid w:val="00C27C83"/>
    <w:rsid w:val="00C30297"/>
    <w:rsid w:val="00C3076F"/>
    <w:rsid w:val="00C30C3A"/>
    <w:rsid w:val="00C31096"/>
    <w:rsid w:val="00C316B9"/>
    <w:rsid w:val="00C31AA0"/>
    <w:rsid w:val="00C31C22"/>
    <w:rsid w:val="00C3241A"/>
    <w:rsid w:val="00C325BA"/>
    <w:rsid w:val="00C32A82"/>
    <w:rsid w:val="00C330E3"/>
    <w:rsid w:val="00C33494"/>
    <w:rsid w:val="00C334C3"/>
    <w:rsid w:val="00C33D21"/>
    <w:rsid w:val="00C33D28"/>
    <w:rsid w:val="00C343B4"/>
    <w:rsid w:val="00C34561"/>
    <w:rsid w:val="00C34581"/>
    <w:rsid w:val="00C347D2"/>
    <w:rsid w:val="00C34E4B"/>
    <w:rsid w:val="00C352CF"/>
    <w:rsid w:val="00C35BA1"/>
    <w:rsid w:val="00C35C84"/>
    <w:rsid w:val="00C362E8"/>
    <w:rsid w:val="00C36506"/>
    <w:rsid w:val="00C3656D"/>
    <w:rsid w:val="00C36744"/>
    <w:rsid w:val="00C36B0F"/>
    <w:rsid w:val="00C36CC0"/>
    <w:rsid w:val="00C36D39"/>
    <w:rsid w:val="00C36EEA"/>
    <w:rsid w:val="00C37219"/>
    <w:rsid w:val="00C37271"/>
    <w:rsid w:val="00C37670"/>
    <w:rsid w:val="00C37695"/>
    <w:rsid w:val="00C37D4D"/>
    <w:rsid w:val="00C40438"/>
    <w:rsid w:val="00C40772"/>
    <w:rsid w:val="00C409C5"/>
    <w:rsid w:val="00C40EFF"/>
    <w:rsid w:val="00C42174"/>
    <w:rsid w:val="00C42827"/>
    <w:rsid w:val="00C42E80"/>
    <w:rsid w:val="00C437D2"/>
    <w:rsid w:val="00C439CB"/>
    <w:rsid w:val="00C43D35"/>
    <w:rsid w:val="00C43E6C"/>
    <w:rsid w:val="00C441DD"/>
    <w:rsid w:val="00C44967"/>
    <w:rsid w:val="00C44D2B"/>
    <w:rsid w:val="00C44DE3"/>
    <w:rsid w:val="00C451D9"/>
    <w:rsid w:val="00C457DE"/>
    <w:rsid w:val="00C4608C"/>
    <w:rsid w:val="00C463E3"/>
    <w:rsid w:val="00C465F6"/>
    <w:rsid w:val="00C4668C"/>
    <w:rsid w:val="00C46B2C"/>
    <w:rsid w:val="00C46B59"/>
    <w:rsid w:val="00C47048"/>
    <w:rsid w:val="00C4738D"/>
    <w:rsid w:val="00C47773"/>
    <w:rsid w:val="00C47CC1"/>
    <w:rsid w:val="00C502C7"/>
    <w:rsid w:val="00C503D5"/>
    <w:rsid w:val="00C50F12"/>
    <w:rsid w:val="00C51506"/>
    <w:rsid w:val="00C51910"/>
    <w:rsid w:val="00C51B4C"/>
    <w:rsid w:val="00C51C44"/>
    <w:rsid w:val="00C51C4D"/>
    <w:rsid w:val="00C51D15"/>
    <w:rsid w:val="00C51D2F"/>
    <w:rsid w:val="00C51FA9"/>
    <w:rsid w:val="00C52140"/>
    <w:rsid w:val="00C5233D"/>
    <w:rsid w:val="00C52599"/>
    <w:rsid w:val="00C52792"/>
    <w:rsid w:val="00C54076"/>
    <w:rsid w:val="00C543B8"/>
    <w:rsid w:val="00C546B0"/>
    <w:rsid w:val="00C55010"/>
    <w:rsid w:val="00C55DBC"/>
    <w:rsid w:val="00C56166"/>
    <w:rsid w:val="00C56257"/>
    <w:rsid w:val="00C56F7D"/>
    <w:rsid w:val="00C578B9"/>
    <w:rsid w:val="00C5799B"/>
    <w:rsid w:val="00C57D3D"/>
    <w:rsid w:val="00C602C2"/>
    <w:rsid w:val="00C60319"/>
    <w:rsid w:val="00C608C8"/>
    <w:rsid w:val="00C619E3"/>
    <w:rsid w:val="00C61F5F"/>
    <w:rsid w:val="00C6223F"/>
    <w:rsid w:val="00C622F9"/>
    <w:rsid w:val="00C62AD7"/>
    <w:rsid w:val="00C62DF3"/>
    <w:rsid w:val="00C6333F"/>
    <w:rsid w:val="00C635B4"/>
    <w:rsid w:val="00C639AE"/>
    <w:rsid w:val="00C63C54"/>
    <w:rsid w:val="00C63D80"/>
    <w:rsid w:val="00C63FC2"/>
    <w:rsid w:val="00C64993"/>
    <w:rsid w:val="00C64D22"/>
    <w:rsid w:val="00C64D95"/>
    <w:rsid w:val="00C65430"/>
    <w:rsid w:val="00C65869"/>
    <w:rsid w:val="00C661D1"/>
    <w:rsid w:val="00C66550"/>
    <w:rsid w:val="00C66F7F"/>
    <w:rsid w:val="00C6736A"/>
    <w:rsid w:val="00C673D6"/>
    <w:rsid w:val="00C67515"/>
    <w:rsid w:val="00C67843"/>
    <w:rsid w:val="00C70282"/>
    <w:rsid w:val="00C704F8"/>
    <w:rsid w:val="00C70BEB"/>
    <w:rsid w:val="00C70CFD"/>
    <w:rsid w:val="00C719AF"/>
    <w:rsid w:val="00C719E4"/>
    <w:rsid w:val="00C71B6E"/>
    <w:rsid w:val="00C72133"/>
    <w:rsid w:val="00C72159"/>
    <w:rsid w:val="00C72318"/>
    <w:rsid w:val="00C7236A"/>
    <w:rsid w:val="00C724E6"/>
    <w:rsid w:val="00C72738"/>
    <w:rsid w:val="00C72AAD"/>
    <w:rsid w:val="00C72C6B"/>
    <w:rsid w:val="00C7306A"/>
    <w:rsid w:val="00C73A5A"/>
    <w:rsid w:val="00C73CF6"/>
    <w:rsid w:val="00C73D75"/>
    <w:rsid w:val="00C7437B"/>
    <w:rsid w:val="00C747A5"/>
    <w:rsid w:val="00C7492D"/>
    <w:rsid w:val="00C75055"/>
    <w:rsid w:val="00C75458"/>
    <w:rsid w:val="00C7549B"/>
    <w:rsid w:val="00C754ED"/>
    <w:rsid w:val="00C7581F"/>
    <w:rsid w:val="00C75B21"/>
    <w:rsid w:val="00C76826"/>
    <w:rsid w:val="00C76ED9"/>
    <w:rsid w:val="00C774BF"/>
    <w:rsid w:val="00C77899"/>
    <w:rsid w:val="00C80812"/>
    <w:rsid w:val="00C80924"/>
    <w:rsid w:val="00C80EC0"/>
    <w:rsid w:val="00C81173"/>
    <w:rsid w:val="00C8144E"/>
    <w:rsid w:val="00C816A1"/>
    <w:rsid w:val="00C81C1B"/>
    <w:rsid w:val="00C81D19"/>
    <w:rsid w:val="00C82CF2"/>
    <w:rsid w:val="00C830E7"/>
    <w:rsid w:val="00C83206"/>
    <w:rsid w:val="00C83236"/>
    <w:rsid w:val="00C8336E"/>
    <w:rsid w:val="00C834E4"/>
    <w:rsid w:val="00C83552"/>
    <w:rsid w:val="00C83561"/>
    <w:rsid w:val="00C8368C"/>
    <w:rsid w:val="00C838C7"/>
    <w:rsid w:val="00C840F7"/>
    <w:rsid w:val="00C8421C"/>
    <w:rsid w:val="00C84499"/>
    <w:rsid w:val="00C844A7"/>
    <w:rsid w:val="00C844DA"/>
    <w:rsid w:val="00C84D79"/>
    <w:rsid w:val="00C84D9D"/>
    <w:rsid w:val="00C84E66"/>
    <w:rsid w:val="00C84F36"/>
    <w:rsid w:val="00C852D3"/>
    <w:rsid w:val="00C85314"/>
    <w:rsid w:val="00C8565E"/>
    <w:rsid w:val="00C85F65"/>
    <w:rsid w:val="00C86970"/>
    <w:rsid w:val="00C87024"/>
    <w:rsid w:val="00C87193"/>
    <w:rsid w:val="00C87997"/>
    <w:rsid w:val="00C903DF"/>
    <w:rsid w:val="00C90BD4"/>
    <w:rsid w:val="00C90D50"/>
    <w:rsid w:val="00C90F5A"/>
    <w:rsid w:val="00C9113E"/>
    <w:rsid w:val="00C91646"/>
    <w:rsid w:val="00C91B3C"/>
    <w:rsid w:val="00C91B5E"/>
    <w:rsid w:val="00C91FB5"/>
    <w:rsid w:val="00C920F5"/>
    <w:rsid w:val="00C92205"/>
    <w:rsid w:val="00C925C6"/>
    <w:rsid w:val="00C92884"/>
    <w:rsid w:val="00C92A12"/>
    <w:rsid w:val="00C93322"/>
    <w:rsid w:val="00C936F5"/>
    <w:rsid w:val="00C93A6F"/>
    <w:rsid w:val="00C93A82"/>
    <w:rsid w:val="00C94149"/>
    <w:rsid w:val="00C948E9"/>
    <w:rsid w:val="00C94A13"/>
    <w:rsid w:val="00C9591C"/>
    <w:rsid w:val="00C95961"/>
    <w:rsid w:val="00C95C2B"/>
    <w:rsid w:val="00C963D1"/>
    <w:rsid w:val="00C965B5"/>
    <w:rsid w:val="00C96E49"/>
    <w:rsid w:val="00C970AA"/>
    <w:rsid w:val="00C97A1D"/>
    <w:rsid w:val="00C97A69"/>
    <w:rsid w:val="00C97BCF"/>
    <w:rsid w:val="00C97E97"/>
    <w:rsid w:val="00CA0072"/>
    <w:rsid w:val="00CA0116"/>
    <w:rsid w:val="00CA02CF"/>
    <w:rsid w:val="00CA0944"/>
    <w:rsid w:val="00CA0ED0"/>
    <w:rsid w:val="00CA0FD9"/>
    <w:rsid w:val="00CA1077"/>
    <w:rsid w:val="00CA1087"/>
    <w:rsid w:val="00CA1C20"/>
    <w:rsid w:val="00CA1C6E"/>
    <w:rsid w:val="00CA20DA"/>
    <w:rsid w:val="00CA236C"/>
    <w:rsid w:val="00CA2927"/>
    <w:rsid w:val="00CA31F0"/>
    <w:rsid w:val="00CA363A"/>
    <w:rsid w:val="00CA3AA6"/>
    <w:rsid w:val="00CA3BD8"/>
    <w:rsid w:val="00CA3CD3"/>
    <w:rsid w:val="00CA3E65"/>
    <w:rsid w:val="00CA4798"/>
    <w:rsid w:val="00CA4BC0"/>
    <w:rsid w:val="00CA4DD7"/>
    <w:rsid w:val="00CA530F"/>
    <w:rsid w:val="00CA5673"/>
    <w:rsid w:val="00CA56DD"/>
    <w:rsid w:val="00CA5CA8"/>
    <w:rsid w:val="00CA5FCF"/>
    <w:rsid w:val="00CA64D3"/>
    <w:rsid w:val="00CA6C99"/>
    <w:rsid w:val="00CA7830"/>
    <w:rsid w:val="00CA7931"/>
    <w:rsid w:val="00CA7F5C"/>
    <w:rsid w:val="00CA7FFE"/>
    <w:rsid w:val="00CB0133"/>
    <w:rsid w:val="00CB0157"/>
    <w:rsid w:val="00CB0251"/>
    <w:rsid w:val="00CB08E5"/>
    <w:rsid w:val="00CB0C8A"/>
    <w:rsid w:val="00CB0F4A"/>
    <w:rsid w:val="00CB0FB6"/>
    <w:rsid w:val="00CB11EE"/>
    <w:rsid w:val="00CB1347"/>
    <w:rsid w:val="00CB13E7"/>
    <w:rsid w:val="00CB1407"/>
    <w:rsid w:val="00CB1FF0"/>
    <w:rsid w:val="00CB20B7"/>
    <w:rsid w:val="00CB20BF"/>
    <w:rsid w:val="00CB2C18"/>
    <w:rsid w:val="00CB2CCA"/>
    <w:rsid w:val="00CB39E3"/>
    <w:rsid w:val="00CB401C"/>
    <w:rsid w:val="00CB433E"/>
    <w:rsid w:val="00CB5205"/>
    <w:rsid w:val="00CB520E"/>
    <w:rsid w:val="00CB53DA"/>
    <w:rsid w:val="00CB553F"/>
    <w:rsid w:val="00CB57F0"/>
    <w:rsid w:val="00CB5899"/>
    <w:rsid w:val="00CB5DB0"/>
    <w:rsid w:val="00CB61EE"/>
    <w:rsid w:val="00CB6322"/>
    <w:rsid w:val="00CB697F"/>
    <w:rsid w:val="00CB6A76"/>
    <w:rsid w:val="00CB6A98"/>
    <w:rsid w:val="00CB6DE1"/>
    <w:rsid w:val="00CB7126"/>
    <w:rsid w:val="00CB74A0"/>
    <w:rsid w:val="00CC0108"/>
    <w:rsid w:val="00CC02F7"/>
    <w:rsid w:val="00CC0306"/>
    <w:rsid w:val="00CC05BD"/>
    <w:rsid w:val="00CC0EB3"/>
    <w:rsid w:val="00CC1073"/>
    <w:rsid w:val="00CC1928"/>
    <w:rsid w:val="00CC1B3A"/>
    <w:rsid w:val="00CC1C25"/>
    <w:rsid w:val="00CC2100"/>
    <w:rsid w:val="00CC223A"/>
    <w:rsid w:val="00CC22F4"/>
    <w:rsid w:val="00CC2C1E"/>
    <w:rsid w:val="00CC369E"/>
    <w:rsid w:val="00CC36C9"/>
    <w:rsid w:val="00CC3C5B"/>
    <w:rsid w:val="00CC4841"/>
    <w:rsid w:val="00CC492D"/>
    <w:rsid w:val="00CC4AA9"/>
    <w:rsid w:val="00CC4B5D"/>
    <w:rsid w:val="00CC4DD2"/>
    <w:rsid w:val="00CC4DF6"/>
    <w:rsid w:val="00CC5150"/>
    <w:rsid w:val="00CC53AC"/>
    <w:rsid w:val="00CC559D"/>
    <w:rsid w:val="00CC5DE9"/>
    <w:rsid w:val="00CC63FF"/>
    <w:rsid w:val="00CC6442"/>
    <w:rsid w:val="00CC66DE"/>
    <w:rsid w:val="00CC66EC"/>
    <w:rsid w:val="00CC6B5B"/>
    <w:rsid w:val="00CC7092"/>
    <w:rsid w:val="00CC7724"/>
    <w:rsid w:val="00CC77CE"/>
    <w:rsid w:val="00CC78BA"/>
    <w:rsid w:val="00CC7A3A"/>
    <w:rsid w:val="00CC7B11"/>
    <w:rsid w:val="00CC7E1D"/>
    <w:rsid w:val="00CD0D36"/>
    <w:rsid w:val="00CD0F1B"/>
    <w:rsid w:val="00CD1F59"/>
    <w:rsid w:val="00CD2B9A"/>
    <w:rsid w:val="00CD2BEE"/>
    <w:rsid w:val="00CD2E28"/>
    <w:rsid w:val="00CD3BFB"/>
    <w:rsid w:val="00CD3F00"/>
    <w:rsid w:val="00CD3F64"/>
    <w:rsid w:val="00CD42EF"/>
    <w:rsid w:val="00CD4568"/>
    <w:rsid w:val="00CD4AE4"/>
    <w:rsid w:val="00CD51C3"/>
    <w:rsid w:val="00CD5745"/>
    <w:rsid w:val="00CD5D93"/>
    <w:rsid w:val="00CD5EB1"/>
    <w:rsid w:val="00CD6351"/>
    <w:rsid w:val="00CD63AC"/>
    <w:rsid w:val="00CD654B"/>
    <w:rsid w:val="00CD677C"/>
    <w:rsid w:val="00CD67FE"/>
    <w:rsid w:val="00CD69F5"/>
    <w:rsid w:val="00CD7107"/>
    <w:rsid w:val="00CD7374"/>
    <w:rsid w:val="00CD78A5"/>
    <w:rsid w:val="00CD7A85"/>
    <w:rsid w:val="00CD7A9E"/>
    <w:rsid w:val="00CE0B0F"/>
    <w:rsid w:val="00CE0EC2"/>
    <w:rsid w:val="00CE11C4"/>
    <w:rsid w:val="00CE16B1"/>
    <w:rsid w:val="00CE1FA2"/>
    <w:rsid w:val="00CE2190"/>
    <w:rsid w:val="00CE223E"/>
    <w:rsid w:val="00CE2352"/>
    <w:rsid w:val="00CE24C2"/>
    <w:rsid w:val="00CE26CC"/>
    <w:rsid w:val="00CE29CC"/>
    <w:rsid w:val="00CE2ABA"/>
    <w:rsid w:val="00CE2F4A"/>
    <w:rsid w:val="00CE35C5"/>
    <w:rsid w:val="00CE3B54"/>
    <w:rsid w:val="00CE3D3C"/>
    <w:rsid w:val="00CE3F09"/>
    <w:rsid w:val="00CE4319"/>
    <w:rsid w:val="00CE462C"/>
    <w:rsid w:val="00CE487F"/>
    <w:rsid w:val="00CE48A6"/>
    <w:rsid w:val="00CE4CB8"/>
    <w:rsid w:val="00CE4D28"/>
    <w:rsid w:val="00CE4FF7"/>
    <w:rsid w:val="00CE5254"/>
    <w:rsid w:val="00CE535C"/>
    <w:rsid w:val="00CE53E3"/>
    <w:rsid w:val="00CE5624"/>
    <w:rsid w:val="00CE5BFC"/>
    <w:rsid w:val="00CE5D0E"/>
    <w:rsid w:val="00CE5D2C"/>
    <w:rsid w:val="00CE62EA"/>
    <w:rsid w:val="00CE744A"/>
    <w:rsid w:val="00CE76FD"/>
    <w:rsid w:val="00CE7BA0"/>
    <w:rsid w:val="00CF06B1"/>
    <w:rsid w:val="00CF07B8"/>
    <w:rsid w:val="00CF0A12"/>
    <w:rsid w:val="00CF0CDB"/>
    <w:rsid w:val="00CF1B03"/>
    <w:rsid w:val="00CF2085"/>
    <w:rsid w:val="00CF2093"/>
    <w:rsid w:val="00CF22E9"/>
    <w:rsid w:val="00CF251E"/>
    <w:rsid w:val="00CF25DB"/>
    <w:rsid w:val="00CF2ABF"/>
    <w:rsid w:val="00CF2AD0"/>
    <w:rsid w:val="00CF2FAC"/>
    <w:rsid w:val="00CF3201"/>
    <w:rsid w:val="00CF3207"/>
    <w:rsid w:val="00CF366F"/>
    <w:rsid w:val="00CF36F0"/>
    <w:rsid w:val="00CF3AEE"/>
    <w:rsid w:val="00CF3C56"/>
    <w:rsid w:val="00CF3E30"/>
    <w:rsid w:val="00CF3F0D"/>
    <w:rsid w:val="00CF4725"/>
    <w:rsid w:val="00CF4806"/>
    <w:rsid w:val="00CF4892"/>
    <w:rsid w:val="00CF4FB5"/>
    <w:rsid w:val="00CF50C2"/>
    <w:rsid w:val="00CF574B"/>
    <w:rsid w:val="00CF5EC2"/>
    <w:rsid w:val="00CF753A"/>
    <w:rsid w:val="00CF785F"/>
    <w:rsid w:val="00CF7B38"/>
    <w:rsid w:val="00CF7C2A"/>
    <w:rsid w:val="00CF7C79"/>
    <w:rsid w:val="00CF7FDD"/>
    <w:rsid w:val="00D007E4"/>
    <w:rsid w:val="00D0090E"/>
    <w:rsid w:val="00D01018"/>
    <w:rsid w:val="00D0116C"/>
    <w:rsid w:val="00D01278"/>
    <w:rsid w:val="00D01470"/>
    <w:rsid w:val="00D017EB"/>
    <w:rsid w:val="00D01E7F"/>
    <w:rsid w:val="00D022CE"/>
    <w:rsid w:val="00D02557"/>
    <w:rsid w:val="00D0295E"/>
    <w:rsid w:val="00D031C2"/>
    <w:rsid w:val="00D03345"/>
    <w:rsid w:val="00D04787"/>
    <w:rsid w:val="00D04B7C"/>
    <w:rsid w:val="00D05124"/>
    <w:rsid w:val="00D0603B"/>
    <w:rsid w:val="00D063B0"/>
    <w:rsid w:val="00D065DB"/>
    <w:rsid w:val="00D06784"/>
    <w:rsid w:val="00D070ED"/>
    <w:rsid w:val="00D071F8"/>
    <w:rsid w:val="00D07A98"/>
    <w:rsid w:val="00D1000E"/>
    <w:rsid w:val="00D101F7"/>
    <w:rsid w:val="00D102E8"/>
    <w:rsid w:val="00D103F7"/>
    <w:rsid w:val="00D1073F"/>
    <w:rsid w:val="00D1096E"/>
    <w:rsid w:val="00D10A0E"/>
    <w:rsid w:val="00D10EAA"/>
    <w:rsid w:val="00D11446"/>
    <w:rsid w:val="00D1147C"/>
    <w:rsid w:val="00D1213D"/>
    <w:rsid w:val="00D12352"/>
    <w:rsid w:val="00D12487"/>
    <w:rsid w:val="00D12A96"/>
    <w:rsid w:val="00D12D92"/>
    <w:rsid w:val="00D13009"/>
    <w:rsid w:val="00D13AA2"/>
    <w:rsid w:val="00D13F9A"/>
    <w:rsid w:val="00D1420E"/>
    <w:rsid w:val="00D1447D"/>
    <w:rsid w:val="00D145F5"/>
    <w:rsid w:val="00D152EE"/>
    <w:rsid w:val="00D1579B"/>
    <w:rsid w:val="00D1590E"/>
    <w:rsid w:val="00D15D87"/>
    <w:rsid w:val="00D1611B"/>
    <w:rsid w:val="00D1692C"/>
    <w:rsid w:val="00D17153"/>
    <w:rsid w:val="00D17250"/>
    <w:rsid w:val="00D172BE"/>
    <w:rsid w:val="00D173D7"/>
    <w:rsid w:val="00D1781B"/>
    <w:rsid w:val="00D20098"/>
    <w:rsid w:val="00D200F9"/>
    <w:rsid w:val="00D20C7C"/>
    <w:rsid w:val="00D214F5"/>
    <w:rsid w:val="00D21755"/>
    <w:rsid w:val="00D21E04"/>
    <w:rsid w:val="00D224FE"/>
    <w:rsid w:val="00D22939"/>
    <w:rsid w:val="00D23086"/>
    <w:rsid w:val="00D23760"/>
    <w:rsid w:val="00D242F7"/>
    <w:rsid w:val="00D245AE"/>
    <w:rsid w:val="00D24669"/>
    <w:rsid w:val="00D24D89"/>
    <w:rsid w:val="00D25199"/>
    <w:rsid w:val="00D25B36"/>
    <w:rsid w:val="00D25B56"/>
    <w:rsid w:val="00D2639F"/>
    <w:rsid w:val="00D26973"/>
    <w:rsid w:val="00D26BA0"/>
    <w:rsid w:val="00D272AC"/>
    <w:rsid w:val="00D27432"/>
    <w:rsid w:val="00D2744E"/>
    <w:rsid w:val="00D278D8"/>
    <w:rsid w:val="00D27CC1"/>
    <w:rsid w:val="00D27CD6"/>
    <w:rsid w:val="00D27EF6"/>
    <w:rsid w:val="00D30057"/>
    <w:rsid w:val="00D30A94"/>
    <w:rsid w:val="00D30B19"/>
    <w:rsid w:val="00D310E4"/>
    <w:rsid w:val="00D313DB"/>
    <w:rsid w:val="00D3159D"/>
    <w:rsid w:val="00D31892"/>
    <w:rsid w:val="00D32041"/>
    <w:rsid w:val="00D322AC"/>
    <w:rsid w:val="00D32609"/>
    <w:rsid w:val="00D32924"/>
    <w:rsid w:val="00D32D09"/>
    <w:rsid w:val="00D33112"/>
    <w:rsid w:val="00D333A0"/>
    <w:rsid w:val="00D335F5"/>
    <w:rsid w:val="00D33B00"/>
    <w:rsid w:val="00D33E85"/>
    <w:rsid w:val="00D34BC4"/>
    <w:rsid w:val="00D35276"/>
    <w:rsid w:val="00D355B6"/>
    <w:rsid w:val="00D355F0"/>
    <w:rsid w:val="00D35B74"/>
    <w:rsid w:val="00D35CC6"/>
    <w:rsid w:val="00D35D36"/>
    <w:rsid w:val="00D360DA"/>
    <w:rsid w:val="00D36442"/>
    <w:rsid w:val="00D3674B"/>
    <w:rsid w:val="00D367C9"/>
    <w:rsid w:val="00D36B75"/>
    <w:rsid w:val="00D36CCF"/>
    <w:rsid w:val="00D37B17"/>
    <w:rsid w:val="00D40956"/>
    <w:rsid w:val="00D4115E"/>
    <w:rsid w:val="00D41682"/>
    <w:rsid w:val="00D41720"/>
    <w:rsid w:val="00D41857"/>
    <w:rsid w:val="00D41B2D"/>
    <w:rsid w:val="00D41BDA"/>
    <w:rsid w:val="00D41CC5"/>
    <w:rsid w:val="00D42B8A"/>
    <w:rsid w:val="00D42E5A"/>
    <w:rsid w:val="00D42FF6"/>
    <w:rsid w:val="00D43489"/>
    <w:rsid w:val="00D43A48"/>
    <w:rsid w:val="00D43AC8"/>
    <w:rsid w:val="00D43FF3"/>
    <w:rsid w:val="00D4474D"/>
    <w:rsid w:val="00D448B2"/>
    <w:rsid w:val="00D44E98"/>
    <w:rsid w:val="00D461A9"/>
    <w:rsid w:val="00D4621A"/>
    <w:rsid w:val="00D465BF"/>
    <w:rsid w:val="00D46977"/>
    <w:rsid w:val="00D46A93"/>
    <w:rsid w:val="00D46F16"/>
    <w:rsid w:val="00D476A8"/>
    <w:rsid w:val="00D47AB8"/>
    <w:rsid w:val="00D47CCB"/>
    <w:rsid w:val="00D50142"/>
    <w:rsid w:val="00D50281"/>
    <w:rsid w:val="00D502CE"/>
    <w:rsid w:val="00D50642"/>
    <w:rsid w:val="00D50E7D"/>
    <w:rsid w:val="00D51A0D"/>
    <w:rsid w:val="00D51FAC"/>
    <w:rsid w:val="00D52345"/>
    <w:rsid w:val="00D5248F"/>
    <w:rsid w:val="00D52531"/>
    <w:rsid w:val="00D525C3"/>
    <w:rsid w:val="00D52B65"/>
    <w:rsid w:val="00D5352B"/>
    <w:rsid w:val="00D53E16"/>
    <w:rsid w:val="00D54066"/>
    <w:rsid w:val="00D55170"/>
    <w:rsid w:val="00D5534F"/>
    <w:rsid w:val="00D55473"/>
    <w:rsid w:val="00D554B3"/>
    <w:rsid w:val="00D558F2"/>
    <w:rsid w:val="00D55A32"/>
    <w:rsid w:val="00D56113"/>
    <w:rsid w:val="00D56BCC"/>
    <w:rsid w:val="00D56FDF"/>
    <w:rsid w:val="00D573D2"/>
    <w:rsid w:val="00D575B3"/>
    <w:rsid w:val="00D575F0"/>
    <w:rsid w:val="00D5773D"/>
    <w:rsid w:val="00D5787E"/>
    <w:rsid w:val="00D579BF"/>
    <w:rsid w:val="00D57E6E"/>
    <w:rsid w:val="00D6082E"/>
    <w:rsid w:val="00D61141"/>
    <w:rsid w:val="00D616F7"/>
    <w:rsid w:val="00D61995"/>
    <w:rsid w:val="00D61A4D"/>
    <w:rsid w:val="00D61CF3"/>
    <w:rsid w:val="00D6207D"/>
    <w:rsid w:val="00D62A7E"/>
    <w:rsid w:val="00D62ABC"/>
    <w:rsid w:val="00D62BC5"/>
    <w:rsid w:val="00D62C8A"/>
    <w:rsid w:val="00D630D4"/>
    <w:rsid w:val="00D63594"/>
    <w:rsid w:val="00D637D9"/>
    <w:rsid w:val="00D63D03"/>
    <w:rsid w:val="00D63F3D"/>
    <w:rsid w:val="00D642AE"/>
    <w:rsid w:val="00D644AB"/>
    <w:rsid w:val="00D64B6F"/>
    <w:rsid w:val="00D653E2"/>
    <w:rsid w:val="00D653FB"/>
    <w:rsid w:val="00D656FA"/>
    <w:rsid w:val="00D658F7"/>
    <w:rsid w:val="00D65B94"/>
    <w:rsid w:val="00D65D56"/>
    <w:rsid w:val="00D65EC1"/>
    <w:rsid w:val="00D66022"/>
    <w:rsid w:val="00D66053"/>
    <w:rsid w:val="00D665F0"/>
    <w:rsid w:val="00D66A17"/>
    <w:rsid w:val="00D66BA8"/>
    <w:rsid w:val="00D66C1F"/>
    <w:rsid w:val="00D66EA9"/>
    <w:rsid w:val="00D71321"/>
    <w:rsid w:val="00D713F1"/>
    <w:rsid w:val="00D71499"/>
    <w:rsid w:val="00D72149"/>
    <w:rsid w:val="00D72DEA"/>
    <w:rsid w:val="00D73385"/>
    <w:rsid w:val="00D7394F"/>
    <w:rsid w:val="00D74249"/>
    <w:rsid w:val="00D7450D"/>
    <w:rsid w:val="00D745CE"/>
    <w:rsid w:val="00D74F71"/>
    <w:rsid w:val="00D754E5"/>
    <w:rsid w:val="00D756B7"/>
    <w:rsid w:val="00D75854"/>
    <w:rsid w:val="00D7592F"/>
    <w:rsid w:val="00D75B53"/>
    <w:rsid w:val="00D76135"/>
    <w:rsid w:val="00D7618A"/>
    <w:rsid w:val="00D762E5"/>
    <w:rsid w:val="00D76D99"/>
    <w:rsid w:val="00D76E7B"/>
    <w:rsid w:val="00D76EFD"/>
    <w:rsid w:val="00D76F02"/>
    <w:rsid w:val="00D77DC4"/>
    <w:rsid w:val="00D77F9E"/>
    <w:rsid w:val="00D80A1A"/>
    <w:rsid w:val="00D80C4D"/>
    <w:rsid w:val="00D81322"/>
    <w:rsid w:val="00D81E73"/>
    <w:rsid w:val="00D81F15"/>
    <w:rsid w:val="00D82099"/>
    <w:rsid w:val="00D82233"/>
    <w:rsid w:val="00D826DC"/>
    <w:rsid w:val="00D82869"/>
    <w:rsid w:val="00D82AA4"/>
    <w:rsid w:val="00D82B1B"/>
    <w:rsid w:val="00D82C1A"/>
    <w:rsid w:val="00D82CAC"/>
    <w:rsid w:val="00D82D73"/>
    <w:rsid w:val="00D833D9"/>
    <w:rsid w:val="00D833EA"/>
    <w:rsid w:val="00D83973"/>
    <w:rsid w:val="00D83BD9"/>
    <w:rsid w:val="00D83DDA"/>
    <w:rsid w:val="00D84043"/>
    <w:rsid w:val="00D84682"/>
    <w:rsid w:val="00D85456"/>
    <w:rsid w:val="00D85D20"/>
    <w:rsid w:val="00D8634C"/>
    <w:rsid w:val="00D8672E"/>
    <w:rsid w:val="00D86A30"/>
    <w:rsid w:val="00D86EAC"/>
    <w:rsid w:val="00D87573"/>
    <w:rsid w:val="00D87A01"/>
    <w:rsid w:val="00D87DEE"/>
    <w:rsid w:val="00D900EF"/>
    <w:rsid w:val="00D90582"/>
    <w:rsid w:val="00D90986"/>
    <w:rsid w:val="00D911B3"/>
    <w:rsid w:val="00D911DC"/>
    <w:rsid w:val="00D91277"/>
    <w:rsid w:val="00D91742"/>
    <w:rsid w:val="00D91C0C"/>
    <w:rsid w:val="00D92216"/>
    <w:rsid w:val="00D93654"/>
    <w:rsid w:val="00D941E9"/>
    <w:rsid w:val="00D9460A"/>
    <w:rsid w:val="00D948D6"/>
    <w:rsid w:val="00D94DCF"/>
    <w:rsid w:val="00D94EAE"/>
    <w:rsid w:val="00D95142"/>
    <w:rsid w:val="00D952BA"/>
    <w:rsid w:val="00D960D2"/>
    <w:rsid w:val="00D96293"/>
    <w:rsid w:val="00D966C0"/>
    <w:rsid w:val="00D96AC2"/>
    <w:rsid w:val="00D96D2F"/>
    <w:rsid w:val="00D96E58"/>
    <w:rsid w:val="00D97079"/>
    <w:rsid w:val="00D9711D"/>
    <w:rsid w:val="00D97AEB"/>
    <w:rsid w:val="00D97CCE"/>
    <w:rsid w:val="00D97D9E"/>
    <w:rsid w:val="00DA00C9"/>
    <w:rsid w:val="00DA04A3"/>
    <w:rsid w:val="00DA05FB"/>
    <w:rsid w:val="00DA1096"/>
    <w:rsid w:val="00DA1515"/>
    <w:rsid w:val="00DA159F"/>
    <w:rsid w:val="00DA1ED9"/>
    <w:rsid w:val="00DA36B3"/>
    <w:rsid w:val="00DA3982"/>
    <w:rsid w:val="00DA3E7A"/>
    <w:rsid w:val="00DA437F"/>
    <w:rsid w:val="00DA4481"/>
    <w:rsid w:val="00DA4B11"/>
    <w:rsid w:val="00DA4B25"/>
    <w:rsid w:val="00DA4E50"/>
    <w:rsid w:val="00DA585E"/>
    <w:rsid w:val="00DA586F"/>
    <w:rsid w:val="00DA5B5A"/>
    <w:rsid w:val="00DA611A"/>
    <w:rsid w:val="00DA614A"/>
    <w:rsid w:val="00DA65DC"/>
    <w:rsid w:val="00DA66AF"/>
    <w:rsid w:val="00DA6714"/>
    <w:rsid w:val="00DA694F"/>
    <w:rsid w:val="00DA6D36"/>
    <w:rsid w:val="00DA73C6"/>
    <w:rsid w:val="00DA740C"/>
    <w:rsid w:val="00DA75A1"/>
    <w:rsid w:val="00DA773D"/>
    <w:rsid w:val="00DB02AC"/>
    <w:rsid w:val="00DB02D4"/>
    <w:rsid w:val="00DB0409"/>
    <w:rsid w:val="00DB04D8"/>
    <w:rsid w:val="00DB07D9"/>
    <w:rsid w:val="00DB08DA"/>
    <w:rsid w:val="00DB0CBA"/>
    <w:rsid w:val="00DB0CEF"/>
    <w:rsid w:val="00DB0F01"/>
    <w:rsid w:val="00DB106F"/>
    <w:rsid w:val="00DB1F8D"/>
    <w:rsid w:val="00DB223C"/>
    <w:rsid w:val="00DB2DDA"/>
    <w:rsid w:val="00DB31CC"/>
    <w:rsid w:val="00DB3331"/>
    <w:rsid w:val="00DB39CC"/>
    <w:rsid w:val="00DB4077"/>
    <w:rsid w:val="00DB450E"/>
    <w:rsid w:val="00DB45F5"/>
    <w:rsid w:val="00DB46BB"/>
    <w:rsid w:val="00DB472A"/>
    <w:rsid w:val="00DB48A0"/>
    <w:rsid w:val="00DB502C"/>
    <w:rsid w:val="00DB520F"/>
    <w:rsid w:val="00DB526D"/>
    <w:rsid w:val="00DB528A"/>
    <w:rsid w:val="00DB575C"/>
    <w:rsid w:val="00DB59B9"/>
    <w:rsid w:val="00DB5B22"/>
    <w:rsid w:val="00DB5B97"/>
    <w:rsid w:val="00DB5CF3"/>
    <w:rsid w:val="00DB5F19"/>
    <w:rsid w:val="00DB641C"/>
    <w:rsid w:val="00DB691E"/>
    <w:rsid w:val="00DB6B1C"/>
    <w:rsid w:val="00DB6DF5"/>
    <w:rsid w:val="00DB6EE6"/>
    <w:rsid w:val="00DB716D"/>
    <w:rsid w:val="00DB7E99"/>
    <w:rsid w:val="00DB7F09"/>
    <w:rsid w:val="00DB7FA9"/>
    <w:rsid w:val="00DC00E8"/>
    <w:rsid w:val="00DC010A"/>
    <w:rsid w:val="00DC031D"/>
    <w:rsid w:val="00DC04D6"/>
    <w:rsid w:val="00DC0F1B"/>
    <w:rsid w:val="00DC11CA"/>
    <w:rsid w:val="00DC12EF"/>
    <w:rsid w:val="00DC17C0"/>
    <w:rsid w:val="00DC19E7"/>
    <w:rsid w:val="00DC1A66"/>
    <w:rsid w:val="00DC1ABD"/>
    <w:rsid w:val="00DC1C56"/>
    <w:rsid w:val="00DC1CFB"/>
    <w:rsid w:val="00DC2262"/>
    <w:rsid w:val="00DC25BC"/>
    <w:rsid w:val="00DC2C76"/>
    <w:rsid w:val="00DC2D84"/>
    <w:rsid w:val="00DC2F70"/>
    <w:rsid w:val="00DC2FC9"/>
    <w:rsid w:val="00DC3378"/>
    <w:rsid w:val="00DC3511"/>
    <w:rsid w:val="00DC3A98"/>
    <w:rsid w:val="00DC3CD2"/>
    <w:rsid w:val="00DC3D4E"/>
    <w:rsid w:val="00DC3FFB"/>
    <w:rsid w:val="00DC4756"/>
    <w:rsid w:val="00DC522F"/>
    <w:rsid w:val="00DC5401"/>
    <w:rsid w:val="00DC56C5"/>
    <w:rsid w:val="00DC5BCA"/>
    <w:rsid w:val="00DC62CE"/>
    <w:rsid w:val="00DC6379"/>
    <w:rsid w:val="00DC63C1"/>
    <w:rsid w:val="00DC65A4"/>
    <w:rsid w:val="00DC6847"/>
    <w:rsid w:val="00DC6FB3"/>
    <w:rsid w:val="00DC6FE7"/>
    <w:rsid w:val="00DC7CBC"/>
    <w:rsid w:val="00DD051B"/>
    <w:rsid w:val="00DD083B"/>
    <w:rsid w:val="00DD083D"/>
    <w:rsid w:val="00DD0A51"/>
    <w:rsid w:val="00DD122F"/>
    <w:rsid w:val="00DD12EC"/>
    <w:rsid w:val="00DD18E3"/>
    <w:rsid w:val="00DD1D00"/>
    <w:rsid w:val="00DD2205"/>
    <w:rsid w:val="00DD2387"/>
    <w:rsid w:val="00DD284F"/>
    <w:rsid w:val="00DD2A03"/>
    <w:rsid w:val="00DD2EAB"/>
    <w:rsid w:val="00DD2FA2"/>
    <w:rsid w:val="00DD365E"/>
    <w:rsid w:val="00DD39CD"/>
    <w:rsid w:val="00DD3B6D"/>
    <w:rsid w:val="00DD3BB4"/>
    <w:rsid w:val="00DD3EC2"/>
    <w:rsid w:val="00DD4382"/>
    <w:rsid w:val="00DD4942"/>
    <w:rsid w:val="00DD4B4A"/>
    <w:rsid w:val="00DD4C2C"/>
    <w:rsid w:val="00DD4EF3"/>
    <w:rsid w:val="00DD50CC"/>
    <w:rsid w:val="00DD540A"/>
    <w:rsid w:val="00DD558D"/>
    <w:rsid w:val="00DD6372"/>
    <w:rsid w:val="00DD65B9"/>
    <w:rsid w:val="00DD662E"/>
    <w:rsid w:val="00DD6745"/>
    <w:rsid w:val="00DD68B1"/>
    <w:rsid w:val="00DD6A07"/>
    <w:rsid w:val="00DD72C6"/>
    <w:rsid w:val="00DD7533"/>
    <w:rsid w:val="00DE0101"/>
    <w:rsid w:val="00DE0208"/>
    <w:rsid w:val="00DE0355"/>
    <w:rsid w:val="00DE0431"/>
    <w:rsid w:val="00DE0434"/>
    <w:rsid w:val="00DE0528"/>
    <w:rsid w:val="00DE16C1"/>
    <w:rsid w:val="00DE1953"/>
    <w:rsid w:val="00DE1B94"/>
    <w:rsid w:val="00DE1D73"/>
    <w:rsid w:val="00DE1DDD"/>
    <w:rsid w:val="00DE1F3C"/>
    <w:rsid w:val="00DE1F64"/>
    <w:rsid w:val="00DE213D"/>
    <w:rsid w:val="00DE2222"/>
    <w:rsid w:val="00DE22D5"/>
    <w:rsid w:val="00DE27BB"/>
    <w:rsid w:val="00DE2AB0"/>
    <w:rsid w:val="00DE2EAB"/>
    <w:rsid w:val="00DE327E"/>
    <w:rsid w:val="00DE3406"/>
    <w:rsid w:val="00DE34BB"/>
    <w:rsid w:val="00DE35B3"/>
    <w:rsid w:val="00DE367D"/>
    <w:rsid w:val="00DE3BB1"/>
    <w:rsid w:val="00DE3C77"/>
    <w:rsid w:val="00DE43CC"/>
    <w:rsid w:val="00DE472C"/>
    <w:rsid w:val="00DE4A2B"/>
    <w:rsid w:val="00DE549C"/>
    <w:rsid w:val="00DE54A1"/>
    <w:rsid w:val="00DE54CF"/>
    <w:rsid w:val="00DE5575"/>
    <w:rsid w:val="00DE5981"/>
    <w:rsid w:val="00DE5F94"/>
    <w:rsid w:val="00DE621F"/>
    <w:rsid w:val="00DE6CCE"/>
    <w:rsid w:val="00DE7093"/>
    <w:rsid w:val="00DE715F"/>
    <w:rsid w:val="00DE79FE"/>
    <w:rsid w:val="00DE7A4D"/>
    <w:rsid w:val="00DE7DF8"/>
    <w:rsid w:val="00DF000B"/>
    <w:rsid w:val="00DF07D3"/>
    <w:rsid w:val="00DF0B39"/>
    <w:rsid w:val="00DF0DBD"/>
    <w:rsid w:val="00DF135A"/>
    <w:rsid w:val="00DF1406"/>
    <w:rsid w:val="00DF142B"/>
    <w:rsid w:val="00DF1E63"/>
    <w:rsid w:val="00DF2E3A"/>
    <w:rsid w:val="00DF334A"/>
    <w:rsid w:val="00DF34A8"/>
    <w:rsid w:val="00DF37B2"/>
    <w:rsid w:val="00DF3AC0"/>
    <w:rsid w:val="00DF44E6"/>
    <w:rsid w:val="00DF4994"/>
    <w:rsid w:val="00DF4C3B"/>
    <w:rsid w:val="00DF4DA9"/>
    <w:rsid w:val="00DF51AB"/>
    <w:rsid w:val="00DF590A"/>
    <w:rsid w:val="00DF654C"/>
    <w:rsid w:val="00DF6CF0"/>
    <w:rsid w:val="00DF6E99"/>
    <w:rsid w:val="00DF6F61"/>
    <w:rsid w:val="00DF7296"/>
    <w:rsid w:val="00DF73A8"/>
    <w:rsid w:val="00DF74B8"/>
    <w:rsid w:val="00DF7786"/>
    <w:rsid w:val="00DF7A25"/>
    <w:rsid w:val="00DF7B80"/>
    <w:rsid w:val="00DF7DD3"/>
    <w:rsid w:val="00E00452"/>
    <w:rsid w:val="00E00AB4"/>
    <w:rsid w:val="00E0101D"/>
    <w:rsid w:val="00E01045"/>
    <w:rsid w:val="00E0147E"/>
    <w:rsid w:val="00E01BB0"/>
    <w:rsid w:val="00E021F2"/>
    <w:rsid w:val="00E02777"/>
    <w:rsid w:val="00E02E68"/>
    <w:rsid w:val="00E02FB8"/>
    <w:rsid w:val="00E0324C"/>
    <w:rsid w:val="00E03863"/>
    <w:rsid w:val="00E0394F"/>
    <w:rsid w:val="00E03955"/>
    <w:rsid w:val="00E03E32"/>
    <w:rsid w:val="00E04136"/>
    <w:rsid w:val="00E043C3"/>
    <w:rsid w:val="00E044F6"/>
    <w:rsid w:val="00E0476F"/>
    <w:rsid w:val="00E04826"/>
    <w:rsid w:val="00E04A13"/>
    <w:rsid w:val="00E04AA2"/>
    <w:rsid w:val="00E04AF1"/>
    <w:rsid w:val="00E0516D"/>
    <w:rsid w:val="00E05BE5"/>
    <w:rsid w:val="00E06308"/>
    <w:rsid w:val="00E067E3"/>
    <w:rsid w:val="00E06917"/>
    <w:rsid w:val="00E06931"/>
    <w:rsid w:val="00E06B12"/>
    <w:rsid w:val="00E078BD"/>
    <w:rsid w:val="00E07D21"/>
    <w:rsid w:val="00E1004D"/>
    <w:rsid w:val="00E101C6"/>
    <w:rsid w:val="00E1029B"/>
    <w:rsid w:val="00E103D1"/>
    <w:rsid w:val="00E10910"/>
    <w:rsid w:val="00E109EF"/>
    <w:rsid w:val="00E10DEA"/>
    <w:rsid w:val="00E1135E"/>
    <w:rsid w:val="00E11A92"/>
    <w:rsid w:val="00E120E1"/>
    <w:rsid w:val="00E123D4"/>
    <w:rsid w:val="00E123F4"/>
    <w:rsid w:val="00E1271A"/>
    <w:rsid w:val="00E128C2"/>
    <w:rsid w:val="00E12AEE"/>
    <w:rsid w:val="00E12E71"/>
    <w:rsid w:val="00E13165"/>
    <w:rsid w:val="00E13475"/>
    <w:rsid w:val="00E135C9"/>
    <w:rsid w:val="00E137BF"/>
    <w:rsid w:val="00E13978"/>
    <w:rsid w:val="00E13AAB"/>
    <w:rsid w:val="00E13E5A"/>
    <w:rsid w:val="00E14AE4"/>
    <w:rsid w:val="00E14D93"/>
    <w:rsid w:val="00E15053"/>
    <w:rsid w:val="00E15225"/>
    <w:rsid w:val="00E157CD"/>
    <w:rsid w:val="00E15842"/>
    <w:rsid w:val="00E15925"/>
    <w:rsid w:val="00E1594F"/>
    <w:rsid w:val="00E15ADD"/>
    <w:rsid w:val="00E15BCF"/>
    <w:rsid w:val="00E15F16"/>
    <w:rsid w:val="00E16257"/>
    <w:rsid w:val="00E1688D"/>
    <w:rsid w:val="00E1780A"/>
    <w:rsid w:val="00E17BDB"/>
    <w:rsid w:val="00E20365"/>
    <w:rsid w:val="00E203EF"/>
    <w:rsid w:val="00E20557"/>
    <w:rsid w:val="00E20803"/>
    <w:rsid w:val="00E20824"/>
    <w:rsid w:val="00E20C87"/>
    <w:rsid w:val="00E21058"/>
    <w:rsid w:val="00E2123C"/>
    <w:rsid w:val="00E214D1"/>
    <w:rsid w:val="00E219AB"/>
    <w:rsid w:val="00E21A37"/>
    <w:rsid w:val="00E2254E"/>
    <w:rsid w:val="00E227D9"/>
    <w:rsid w:val="00E229F8"/>
    <w:rsid w:val="00E22A2C"/>
    <w:rsid w:val="00E22A63"/>
    <w:rsid w:val="00E22D51"/>
    <w:rsid w:val="00E22FDC"/>
    <w:rsid w:val="00E23068"/>
    <w:rsid w:val="00E233FF"/>
    <w:rsid w:val="00E235D0"/>
    <w:rsid w:val="00E237BE"/>
    <w:rsid w:val="00E23B3C"/>
    <w:rsid w:val="00E24645"/>
    <w:rsid w:val="00E24E4D"/>
    <w:rsid w:val="00E253F0"/>
    <w:rsid w:val="00E25416"/>
    <w:rsid w:val="00E25790"/>
    <w:rsid w:val="00E25908"/>
    <w:rsid w:val="00E259EA"/>
    <w:rsid w:val="00E25A3E"/>
    <w:rsid w:val="00E25F3E"/>
    <w:rsid w:val="00E261AD"/>
    <w:rsid w:val="00E267B1"/>
    <w:rsid w:val="00E268CE"/>
    <w:rsid w:val="00E26D03"/>
    <w:rsid w:val="00E26E8D"/>
    <w:rsid w:val="00E270EA"/>
    <w:rsid w:val="00E27375"/>
    <w:rsid w:val="00E27FBA"/>
    <w:rsid w:val="00E30138"/>
    <w:rsid w:val="00E30205"/>
    <w:rsid w:val="00E30356"/>
    <w:rsid w:val="00E3067D"/>
    <w:rsid w:val="00E30D31"/>
    <w:rsid w:val="00E31470"/>
    <w:rsid w:val="00E3164F"/>
    <w:rsid w:val="00E31CD3"/>
    <w:rsid w:val="00E31D4E"/>
    <w:rsid w:val="00E3213F"/>
    <w:rsid w:val="00E32164"/>
    <w:rsid w:val="00E32253"/>
    <w:rsid w:val="00E329B2"/>
    <w:rsid w:val="00E32B8B"/>
    <w:rsid w:val="00E32FE4"/>
    <w:rsid w:val="00E33BA2"/>
    <w:rsid w:val="00E3515D"/>
    <w:rsid w:val="00E35310"/>
    <w:rsid w:val="00E358E5"/>
    <w:rsid w:val="00E35D5F"/>
    <w:rsid w:val="00E35DB1"/>
    <w:rsid w:val="00E364FC"/>
    <w:rsid w:val="00E36650"/>
    <w:rsid w:val="00E367B9"/>
    <w:rsid w:val="00E36CB1"/>
    <w:rsid w:val="00E36F76"/>
    <w:rsid w:val="00E37464"/>
    <w:rsid w:val="00E378D8"/>
    <w:rsid w:val="00E37C43"/>
    <w:rsid w:val="00E37C47"/>
    <w:rsid w:val="00E40534"/>
    <w:rsid w:val="00E40759"/>
    <w:rsid w:val="00E4082D"/>
    <w:rsid w:val="00E417D4"/>
    <w:rsid w:val="00E419A7"/>
    <w:rsid w:val="00E41CAE"/>
    <w:rsid w:val="00E4223B"/>
    <w:rsid w:val="00E42486"/>
    <w:rsid w:val="00E436F0"/>
    <w:rsid w:val="00E43714"/>
    <w:rsid w:val="00E43AB2"/>
    <w:rsid w:val="00E43BE0"/>
    <w:rsid w:val="00E43D3A"/>
    <w:rsid w:val="00E43F88"/>
    <w:rsid w:val="00E4406A"/>
    <w:rsid w:val="00E440F5"/>
    <w:rsid w:val="00E44749"/>
    <w:rsid w:val="00E44937"/>
    <w:rsid w:val="00E44A8C"/>
    <w:rsid w:val="00E45D0F"/>
    <w:rsid w:val="00E462CB"/>
    <w:rsid w:val="00E4639E"/>
    <w:rsid w:val="00E4650F"/>
    <w:rsid w:val="00E467E8"/>
    <w:rsid w:val="00E46BA9"/>
    <w:rsid w:val="00E46D70"/>
    <w:rsid w:val="00E473E8"/>
    <w:rsid w:val="00E475C6"/>
    <w:rsid w:val="00E47809"/>
    <w:rsid w:val="00E4790F"/>
    <w:rsid w:val="00E47B8D"/>
    <w:rsid w:val="00E50332"/>
    <w:rsid w:val="00E50864"/>
    <w:rsid w:val="00E50E68"/>
    <w:rsid w:val="00E50E7C"/>
    <w:rsid w:val="00E5147E"/>
    <w:rsid w:val="00E51545"/>
    <w:rsid w:val="00E517E1"/>
    <w:rsid w:val="00E51D9E"/>
    <w:rsid w:val="00E5208B"/>
    <w:rsid w:val="00E52191"/>
    <w:rsid w:val="00E52B83"/>
    <w:rsid w:val="00E532B9"/>
    <w:rsid w:val="00E537D1"/>
    <w:rsid w:val="00E53857"/>
    <w:rsid w:val="00E53B57"/>
    <w:rsid w:val="00E53E38"/>
    <w:rsid w:val="00E5417C"/>
    <w:rsid w:val="00E54DD7"/>
    <w:rsid w:val="00E55BCA"/>
    <w:rsid w:val="00E564DB"/>
    <w:rsid w:val="00E567E6"/>
    <w:rsid w:val="00E56971"/>
    <w:rsid w:val="00E56B9B"/>
    <w:rsid w:val="00E56DF4"/>
    <w:rsid w:val="00E56F79"/>
    <w:rsid w:val="00E57023"/>
    <w:rsid w:val="00E5739F"/>
    <w:rsid w:val="00E57583"/>
    <w:rsid w:val="00E5776F"/>
    <w:rsid w:val="00E57868"/>
    <w:rsid w:val="00E578F5"/>
    <w:rsid w:val="00E57A2B"/>
    <w:rsid w:val="00E57FB6"/>
    <w:rsid w:val="00E57FF9"/>
    <w:rsid w:val="00E6029F"/>
    <w:rsid w:val="00E606C9"/>
    <w:rsid w:val="00E61236"/>
    <w:rsid w:val="00E61287"/>
    <w:rsid w:val="00E6135E"/>
    <w:rsid w:val="00E61484"/>
    <w:rsid w:val="00E61B32"/>
    <w:rsid w:val="00E61BBD"/>
    <w:rsid w:val="00E62079"/>
    <w:rsid w:val="00E629C3"/>
    <w:rsid w:val="00E62C8D"/>
    <w:rsid w:val="00E62DCF"/>
    <w:rsid w:val="00E62F9B"/>
    <w:rsid w:val="00E63529"/>
    <w:rsid w:val="00E6367F"/>
    <w:rsid w:val="00E636A2"/>
    <w:rsid w:val="00E63900"/>
    <w:rsid w:val="00E639B4"/>
    <w:rsid w:val="00E63B03"/>
    <w:rsid w:val="00E63EFD"/>
    <w:rsid w:val="00E64756"/>
    <w:rsid w:val="00E64A78"/>
    <w:rsid w:val="00E6512A"/>
    <w:rsid w:val="00E663E9"/>
    <w:rsid w:val="00E66973"/>
    <w:rsid w:val="00E66CB5"/>
    <w:rsid w:val="00E66CD0"/>
    <w:rsid w:val="00E66DB3"/>
    <w:rsid w:val="00E66F33"/>
    <w:rsid w:val="00E66FD8"/>
    <w:rsid w:val="00E67556"/>
    <w:rsid w:val="00E6782E"/>
    <w:rsid w:val="00E6787C"/>
    <w:rsid w:val="00E678CD"/>
    <w:rsid w:val="00E67963"/>
    <w:rsid w:val="00E67D9B"/>
    <w:rsid w:val="00E67DE4"/>
    <w:rsid w:val="00E7016E"/>
    <w:rsid w:val="00E705A6"/>
    <w:rsid w:val="00E7060C"/>
    <w:rsid w:val="00E70B1D"/>
    <w:rsid w:val="00E711D7"/>
    <w:rsid w:val="00E71F1E"/>
    <w:rsid w:val="00E72837"/>
    <w:rsid w:val="00E7294D"/>
    <w:rsid w:val="00E731CF"/>
    <w:rsid w:val="00E731F7"/>
    <w:rsid w:val="00E73232"/>
    <w:rsid w:val="00E7341B"/>
    <w:rsid w:val="00E73A7F"/>
    <w:rsid w:val="00E73FA7"/>
    <w:rsid w:val="00E740AD"/>
    <w:rsid w:val="00E74288"/>
    <w:rsid w:val="00E746FD"/>
    <w:rsid w:val="00E74A17"/>
    <w:rsid w:val="00E74CB4"/>
    <w:rsid w:val="00E74DDE"/>
    <w:rsid w:val="00E753A9"/>
    <w:rsid w:val="00E7624E"/>
    <w:rsid w:val="00E76514"/>
    <w:rsid w:val="00E76C42"/>
    <w:rsid w:val="00E776EC"/>
    <w:rsid w:val="00E7782A"/>
    <w:rsid w:val="00E779AC"/>
    <w:rsid w:val="00E80031"/>
    <w:rsid w:val="00E80840"/>
    <w:rsid w:val="00E81160"/>
    <w:rsid w:val="00E81273"/>
    <w:rsid w:val="00E815E1"/>
    <w:rsid w:val="00E8173D"/>
    <w:rsid w:val="00E81E48"/>
    <w:rsid w:val="00E838B2"/>
    <w:rsid w:val="00E8396C"/>
    <w:rsid w:val="00E83CC7"/>
    <w:rsid w:val="00E841B8"/>
    <w:rsid w:val="00E8447C"/>
    <w:rsid w:val="00E8509E"/>
    <w:rsid w:val="00E8522A"/>
    <w:rsid w:val="00E85B58"/>
    <w:rsid w:val="00E85D3D"/>
    <w:rsid w:val="00E85D42"/>
    <w:rsid w:val="00E85D8C"/>
    <w:rsid w:val="00E86193"/>
    <w:rsid w:val="00E864DF"/>
    <w:rsid w:val="00E86A8E"/>
    <w:rsid w:val="00E86B7E"/>
    <w:rsid w:val="00E86FF1"/>
    <w:rsid w:val="00E872FE"/>
    <w:rsid w:val="00E8758A"/>
    <w:rsid w:val="00E876DD"/>
    <w:rsid w:val="00E8772B"/>
    <w:rsid w:val="00E902B0"/>
    <w:rsid w:val="00E902E8"/>
    <w:rsid w:val="00E9044B"/>
    <w:rsid w:val="00E905CF"/>
    <w:rsid w:val="00E90A31"/>
    <w:rsid w:val="00E90A90"/>
    <w:rsid w:val="00E90EDB"/>
    <w:rsid w:val="00E91A88"/>
    <w:rsid w:val="00E91AE3"/>
    <w:rsid w:val="00E91D4F"/>
    <w:rsid w:val="00E9233E"/>
    <w:rsid w:val="00E92D53"/>
    <w:rsid w:val="00E93280"/>
    <w:rsid w:val="00E936E9"/>
    <w:rsid w:val="00E93D02"/>
    <w:rsid w:val="00E94414"/>
    <w:rsid w:val="00E9453B"/>
    <w:rsid w:val="00E94DC4"/>
    <w:rsid w:val="00E95BD9"/>
    <w:rsid w:val="00E95E83"/>
    <w:rsid w:val="00E95F8A"/>
    <w:rsid w:val="00E961C8"/>
    <w:rsid w:val="00E962BD"/>
    <w:rsid w:val="00E970B4"/>
    <w:rsid w:val="00E973AF"/>
    <w:rsid w:val="00E976A4"/>
    <w:rsid w:val="00E97E22"/>
    <w:rsid w:val="00EA0088"/>
    <w:rsid w:val="00EA015B"/>
    <w:rsid w:val="00EA0EE2"/>
    <w:rsid w:val="00EA0EF3"/>
    <w:rsid w:val="00EA14DC"/>
    <w:rsid w:val="00EA1521"/>
    <w:rsid w:val="00EA15D8"/>
    <w:rsid w:val="00EA1AFD"/>
    <w:rsid w:val="00EA1C21"/>
    <w:rsid w:val="00EA1C45"/>
    <w:rsid w:val="00EA20DD"/>
    <w:rsid w:val="00EA23AC"/>
    <w:rsid w:val="00EA23B8"/>
    <w:rsid w:val="00EA24E1"/>
    <w:rsid w:val="00EA2BD7"/>
    <w:rsid w:val="00EA2DE8"/>
    <w:rsid w:val="00EA2E0C"/>
    <w:rsid w:val="00EA3421"/>
    <w:rsid w:val="00EA3D7D"/>
    <w:rsid w:val="00EA3EE7"/>
    <w:rsid w:val="00EA40F5"/>
    <w:rsid w:val="00EA42C3"/>
    <w:rsid w:val="00EA4836"/>
    <w:rsid w:val="00EA48F2"/>
    <w:rsid w:val="00EA4C27"/>
    <w:rsid w:val="00EA532E"/>
    <w:rsid w:val="00EA569B"/>
    <w:rsid w:val="00EA57C5"/>
    <w:rsid w:val="00EA57CA"/>
    <w:rsid w:val="00EA6703"/>
    <w:rsid w:val="00EA6E30"/>
    <w:rsid w:val="00EA7270"/>
    <w:rsid w:val="00EA740B"/>
    <w:rsid w:val="00EA7BCE"/>
    <w:rsid w:val="00EA7BEE"/>
    <w:rsid w:val="00EA7C3D"/>
    <w:rsid w:val="00EA7C57"/>
    <w:rsid w:val="00EB007B"/>
    <w:rsid w:val="00EB05CE"/>
    <w:rsid w:val="00EB0686"/>
    <w:rsid w:val="00EB121C"/>
    <w:rsid w:val="00EB123F"/>
    <w:rsid w:val="00EB1C9C"/>
    <w:rsid w:val="00EB1E0D"/>
    <w:rsid w:val="00EB1E2E"/>
    <w:rsid w:val="00EB21A7"/>
    <w:rsid w:val="00EB2447"/>
    <w:rsid w:val="00EB2AF4"/>
    <w:rsid w:val="00EB3695"/>
    <w:rsid w:val="00EB3A85"/>
    <w:rsid w:val="00EB4072"/>
    <w:rsid w:val="00EB44A0"/>
    <w:rsid w:val="00EB491E"/>
    <w:rsid w:val="00EB4BFC"/>
    <w:rsid w:val="00EB5647"/>
    <w:rsid w:val="00EB59B7"/>
    <w:rsid w:val="00EB6559"/>
    <w:rsid w:val="00EB6749"/>
    <w:rsid w:val="00EB6878"/>
    <w:rsid w:val="00EB6C18"/>
    <w:rsid w:val="00EB704A"/>
    <w:rsid w:val="00EB7212"/>
    <w:rsid w:val="00EB78B1"/>
    <w:rsid w:val="00EB7A05"/>
    <w:rsid w:val="00EB7D69"/>
    <w:rsid w:val="00EB7E6C"/>
    <w:rsid w:val="00EC0C83"/>
    <w:rsid w:val="00EC11A9"/>
    <w:rsid w:val="00EC128C"/>
    <w:rsid w:val="00EC1847"/>
    <w:rsid w:val="00EC18DE"/>
    <w:rsid w:val="00EC1B42"/>
    <w:rsid w:val="00EC1C6A"/>
    <w:rsid w:val="00EC1E0E"/>
    <w:rsid w:val="00EC236D"/>
    <w:rsid w:val="00EC2602"/>
    <w:rsid w:val="00EC2684"/>
    <w:rsid w:val="00EC2E8B"/>
    <w:rsid w:val="00EC2FDF"/>
    <w:rsid w:val="00EC308C"/>
    <w:rsid w:val="00EC51F7"/>
    <w:rsid w:val="00EC5368"/>
    <w:rsid w:val="00EC537A"/>
    <w:rsid w:val="00EC548A"/>
    <w:rsid w:val="00EC57B3"/>
    <w:rsid w:val="00EC5C5A"/>
    <w:rsid w:val="00EC5DE7"/>
    <w:rsid w:val="00EC5FED"/>
    <w:rsid w:val="00EC6502"/>
    <w:rsid w:val="00EC6B16"/>
    <w:rsid w:val="00EC6BD6"/>
    <w:rsid w:val="00EC73A0"/>
    <w:rsid w:val="00EC73F2"/>
    <w:rsid w:val="00EC749F"/>
    <w:rsid w:val="00EC7E92"/>
    <w:rsid w:val="00EC7F4F"/>
    <w:rsid w:val="00ED0077"/>
    <w:rsid w:val="00ED0401"/>
    <w:rsid w:val="00ED067C"/>
    <w:rsid w:val="00ED0809"/>
    <w:rsid w:val="00ED0D2E"/>
    <w:rsid w:val="00ED16A9"/>
    <w:rsid w:val="00ED1789"/>
    <w:rsid w:val="00ED1AA2"/>
    <w:rsid w:val="00ED1DFF"/>
    <w:rsid w:val="00ED1E8A"/>
    <w:rsid w:val="00ED20C0"/>
    <w:rsid w:val="00ED2B10"/>
    <w:rsid w:val="00ED2D08"/>
    <w:rsid w:val="00ED2F0C"/>
    <w:rsid w:val="00ED36EF"/>
    <w:rsid w:val="00ED37B9"/>
    <w:rsid w:val="00ED3B20"/>
    <w:rsid w:val="00ED4074"/>
    <w:rsid w:val="00ED47F5"/>
    <w:rsid w:val="00ED495D"/>
    <w:rsid w:val="00ED4CD4"/>
    <w:rsid w:val="00ED52ED"/>
    <w:rsid w:val="00ED53E0"/>
    <w:rsid w:val="00ED5641"/>
    <w:rsid w:val="00ED5E0A"/>
    <w:rsid w:val="00ED5E7A"/>
    <w:rsid w:val="00ED6002"/>
    <w:rsid w:val="00ED6047"/>
    <w:rsid w:val="00ED6398"/>
    <w:rsid w:val="00ED640D"/>
    <w:rsid w:val="00ED6521"/>
    <w:rsid w:val="00ED7288"/>
    <w:rsid w:val="00ED731E"/>
    <w:rsid w:val="00ED7AA7"/>
    <w:rsid w:val="00ED7FCF"/>
    <w:rsid w:val="00ED7FE3"/>
    <w:rsid w:val="00EE024D"/>
    <w:rsid w:val="00EE0AF2"/>
    <w:rsid w:val="00EE0CAE"/>
    <w:rsid w:val="00EE1447"/>
    <w:rsid w:val="00EE1E02"/>
    <w:rsid w:val="00EE1E6B"/>
    <w:rsid w:val="00EE2777"/>
    <w:rsid w:val="00EE2F3C"/>
    <w:rsid w:val="00EE31F8"/>
    <w:rsid w:val="00EE32E9"/>
    <w:rsid w:val="00EE3457"/>
    <w:rsid w:val="00EE36B0"/>
    <w:rsid w:val="00EE3702"/>
    <w:rsid w:val="00EE3F2A"/>
    <w:rsid w:val="00EE406B"/>
    <w:rsid w:val="00EE40E4"/>
    <w:rsid w:val="00EE44D8"/>
    <w:rsid w:val="00EE473A"/>
    <w:rsid w:val="00EE49A0"/>
    <w:rsid w:val="00EE5636"/>
    <w:rsid w:val="00EE57CF"/>
    <w:rsid w:val="00EE5E05"/>
    <w:rsid w:val="00EE698A"/>
    <w:rsid w:val="00EE6BC4"/>
    <w:rsid w:val="00EE6CBC"/>
    <w:rsid w:val="00EE6DB2"/>
    <w:rsid w:val="00EE7072"/>
    <w:rsid w:val="00EE7480"/>
    <w:rsid w:val="00EE76D2"/>
    <w:rsid w:val="00EE7936"/>
    <w:rsid w:val="00EF0A12"/>
    <w:rsid w:val="00EF145E"/>
    <w:rsid w:val="00EF1780"/>
    <w:rsid w:val="00EF1CD2"/>
    <w:rsid w:val="00EF2A4B"/>
    <w:rsid w:val="00EF2BBB"/>
    <w:rsid w:val="00EF2E7F"/>
    <w:rsid w:val="00EF304F"/>
    <w:rsid w:val="00EF48A5"/>
    <w:rsid w:val="00EF4C3D"/>
    <w:rsid w:val="00EF53A7"/>
    <w:rsid w:val="00EF5795"/>
    <w:rsid w:val="00EF6AF8"/>
    <w:rsid w:val="00EF6B67"/>
    <w:rsid w:val="00EF6E31"/>
    <w:rsid w:val="00EF6F65"/>
    <w:rsid w:val="00EF708F"/>
    <w:rsid w:val="00EF730B"/>
    <w:rsid w:val="00EF74D7"/>
    <w:rsid w:val="00EF7783"/>
    <w:rsid w:val="00EF7A43"/>
    <w:rsid w:val="00EF7E0E"/>
    <w:rsid w:val="00EF7E74"/>
    <w:rsid w:val="00EF7F40"/>
    <w:rsid w:val="00F00463"/>
    <w:rsid w:val="00F0082D"/>
    <w:rsid w:val="00F00983"/>
    <w:rsid w:val="00F015AB"/>
    <w:rsid w:val="00F01E50"/>
    <w:rsid w:val="00F0202A"/>
    <w:rsid w:val="00F032AB"/>
    <w:rsid w:val="00F03319"/>
    <w:rsid w:val="00F039DE"/>
    <w:rsid w:val="00F03EE0"/>
    <w:rsid w:val="00F0528E"/>
    <w:rsid w:val="00F05788"/>
    <w:rsid w:val="00F05AA2"/>
    <w:rsid w:val="00F06F79"/>
    <w:rsid w:val="00F07978"/>
    <w:rsid w:val="00F07C90"/>
    <w:rsid w:val="00F10656"/>
    <w:rsid w:val="00F11017"/>
    <w:rsid w:val="00F11108"/>
    <w:rsid w:val="00F125C1"/>
    <w:rsid w:val="00F12DD2"/>
    <w:rsid w:val="00F13257"/>
    <w:rsid w:val="00F132AC"/>
    <w:rsid w:val="00F13398"/>
    <w:rsid w:val="00F13720"/>
    <w:rsid w:val="00F13991"/>
    <w:rsid w:val="00F13C5C"/>
    <w:rsid w:val="00F14128"/>
    <w:rsid w:val="00F146DA"/>
    <w:rsid w:val="00F14F72"/>
    <w:rsid w:val="00F15493"/>
    <w:rsid w:val="00F15958"/>
    <w:rsid w:val="00F15966"/>
    <w:rsid w:val="00F15AF0"/>
    <w:rsid w:val="00F15CB1"/>
    <w:rsid w:val="00F15D2C"/>
    <w:rsid w:val="00F16CC3"/>
    <w:rsid w:val="00F173F1"/>
    <w:rsid w:val="00F174D9"/>
    <w:rsid w:val="00F17993"/>
    <w:rsid w:val="00F17FA9"/>
    <w:rsid w:val="00F205A3"/>
    <w:rsid w:val="00F205CD"/>
    <w:rsid w:val="00F20A2B"/>
    <w:rsid w:val="00F20BE2"/>
    <w:rsid w:val="00F20DF5"/>
    <w:rsid w:val="00F20FE2"/>
    <w:rsid w:val="00F219AD"/>
    <w:rsid w:val="00F21BCA"/>
    <w:rsid w:val="00F22314"/>
    <w:rsid w:val="00F224F7"/>
    <w:rsid w:val="00F22782"/>
    <w:rsid w:val="00F228A2"/>
    <w:rsid w:val="00F229D1"/>
    <w:rsid w:val="00F233F7"/>
    <w:rsid w:val="00F23851"/>
    <w:rsid w:val="00F23E43"/>
    <w:rsid w:val="00F245BD"/>
    <w:rsid w:val="00F245EA"/>
    <w:rsid w:val="00F24AA2"/>
    <w:rsid w:val="00F24EE1"/>
    <w:rsid w:val="00F252E1"/>
    <w:rsid w:val="00F2614B"/>
    <w:rsid w:val="00F269CC"/>
    <w:rsid w:val="00F26B14"/>
    <w:rsid w:val="00F2706B"/>
    <w:rsid w:val="00F27AA2"/>
    <w:rsid w:val="00F27DA8"/>
    <w:rsid w:val="00F30341"/>
    <w:rsid w:val="00F30C72"/>
    <w:rsid w:val="00F31525"/>
    <w:rsid w:val="00F31552"/>
    <w:rsid w:val="00F315A6"/>
    <w:rsid w:val="00F32477"/>
    <w:rsid w:val="00F3256B"/>
    <w:rsid w:val="00F32A1E"/>
    <w:rsid w:val="00F32C9B"/>
    <w:rsid w:val="00F33047"/>
    <w:rsid w:val="00F33A7F"/>
    <w:rsid w:val="00F33B81"/>
    <w:rsid w:val="00F33BBD"/>
    <w:rsid w:val="00F33C66"/>
    <w:rsid w:val="00F33DB8"/>
    <w:rsid w:val="00F33F5E"/>
    <w:rsid w:val="00F340FE"/>
    <w:rsid w:val="00F34D00"/>
    <w:rsid w:val="00F3505B"/>
    <w:rsid w:val="00F3560C"/>
    <w:rsid w:val="00F361C1"/>
    <w:rsid w:val="00F3623A"/>
    <w:rsid w:val="00F36270"/>
    <w:rsid w:val="00F3653F"/>
    <w:rsid w:val="00F365C5"/>
    <w:rsid w:val="00F36AC5"/>
    <w:rsid w:val="00F36C53"/>
    <w:rsid w:val="00F3715F"/>
    <w:rsid w:val="00F37972"/>
    <w:rsid w:val="00F37B18"/>
    <w:rsid w:val="00F37B89"/>
    <w:rsid w:val="00F37C93"/>
    <w:rsid w:val="00F37F0F"/>
    <w:rsid w:val="00F40444"/>
    <w:rsid w:val="00F4097C"/>
    <w:rsid w:val="00F40E93"/>
    <w:rsid w:val="00F4144F"/>
    <w:rsid w:val="00F4194E"/>
    <w:rsid w:val="00F41957"/>
    <w:rsid w:val="00F41D52"/>
    <w:rsid w:val="00F41F5A"/>
    <w:rsid w:val="00F41F6D"/>
    <w:rsid w:val="00F422B4"/>
    <w:rsid w:val="00F425E8"/>
    <w:rsid w:val="00F42DC8"/>
    <w:rsid w:val="00F43818"/>
    <w:rsid w:val="00F43D87"/>
    <w:rsid w:val="00F4435B"/>
    <w:rsid w:val="00F44932"/>
    <w:rsid w:val="00F44A11"/>
    <w:rsid w:val="00F44DA3"/>
    <w:rsid w:val="00F44FBA"/>
    <w:rsid w:val="00F453B6"/>
    <w:rsid w:val="00F45AFA"/>
    <w:rsid w:val="00F46449"/>
    <w:rsid w:val="00F464A9"/>
    <w:rsid w:val="00F46D6B"/>
    <w:rsid w:val="00F46D6E"/>
    <w:rsid w:val="00F50352"/>
    <w:rsid w:val="00F50CF0"/>
    <w:rsid w:val="00F50FDD"/>
    <w:rsid w:val="00F5120B"/>
    <w:rsid w:val="00F51315"/>
    <w:rsid w:val="00F51BE5"/>
    <w:rsid w:val="00F5216D"/>
    <w:rsid w:val="00F5242D"/>
    <w:rsid w:val="00F5260B"/>
    <w:rsid w:val="00F52C2D"/>
    <w:rsid w:val="00F5306E"/>
    <w:rsid w:val="00F53081"/>
    <w:rsid w:val="00F53174"/>
    <w:rsid w:val="00F53242"/>
    <w:rsid w:val="00F536BC"/>
    <w:rsid w:val="00F5374D"/>
    <w:rsid w:val="00F53FFA"/>
    <w:rsid w:val="00F5427F"/>
    <w:rsid w:val="00F54340"/>
    <w:rsid w:val="00F5438E"/>
    <w:rsid w:val="00F54447"/>
    <w:rsid w:val="00F54805"/>
    <w:rsid w:val="00F54A29"/>
    <w:rsid w:val="00F54A9A"/>
    <w:rsid w:val="00F54C84"/>
    <w:rsid w:val="00F54E14"/>
    <w:rsid w:val="00F5639C"/>
    <w:rsid w:val="00F568FF"/>
    <w:rsid w:val="00F57326"/>
    <w:rsid w:val="00F57BED"/>
    <w:rsid w:val="00F57D69"/>
    <w:rsid w:val="00F60185"/>
    <w:rsid w:val="00F60198"/>
    <w:rsid w:val="00F6040A"/>
    <w:rsid w:val="00F6054B"/>
    <w:rsid w:val="00F606DF"/>
    <w:rsid w:val="00F60929"/>
    <w:rsid w:val="00F609AA"/>
    <w:rsid w:val="00F60A5E"/>
    <w:rsid w:val="00F60BBA"/>
    <w:rsid w:val="00F615F6"/>
    <w:rsid w:val="00F61FFE"/>
    <w:rsid w:val="00F62A0C"/>
    <w:rsid w:val="00F62EBF"/>
    <w:rsid w:val="00F63151"/>
    <w:rsid w:val="00F63774"/>
    <w:rsid w:val="00F63D67"/>
    <w:rsid w:val="00F64235"/>
    <w:rsid w:val="00F64532"/>
    <w:rsid w:val="00F6455B"/>
    <w:rsid w:val="00F6464E"/>
    <w:rsid w:val="00F6489E"/>
    <w:rsid w:val="00F65736"/>
    <w:rsid w:val="00F65910"/>
    <w:rsid w:val="00F65DC7"/>
    <w:rsid w:val="00F66420"/>
    <w:rsid w:val="00F66595"/>
    <w:rsid w:val="00F66674"/>
    <w:rsid w:val="00F66B0C"/>
    <w:rsid w:val="00F66B1C"/>
    <w:rsid w:val="00F66C95"/>
    <w:rsid w:val="00F66DB6"/>
    <w:rsid w:val="00F66EA8"/>
    <w:rsid w:val="00F67026"/>
    <w:rsid w:val="00F67212"/>
    <w:rsid w:val="00F6722B"/>
    <w:rsid w:val="00F672EC"/>
    <w:rsid w:val="00F673F8"/>
    <w:rsid w:val="00F6795B"/>
    <w:rsid w:val="00F679C6"/>
    <w:rsid w:val="00F705D6"/>
    <w:rsid w:val="00F70885"/>
    <w:rsid w:val="00F70C29"/>
    <w:rsid w:val="00F71551"/>
    <w:rsid w:val="00F7160F"/>
    <w:rsid w:val="00F71856"/>
    <w:rsid w:val="00F71E11"/>
    <w:rsid w:val="00F71FED"/>
    <w:rsid w:val="00F721F2"/>
    <w:rsid w:val="00F7234B"/>
    <w:rsid w:val="00F72502"/>
    <w:rsid w:val="00F7250B"/>
    <w:rsid w:val="00F72838"/>
    <w:rsid w:val="00F7289C"/>
    <w:rsid w:val="00F7360F"/>
    <w:rsid w:val="00F73628"/>
    <w:rsid w:val="00F736CC"/>
    <w:rsid w:val="00F73AD2"/>
    <w:rsid w:val="00F73BFC"/>
    <w:rsid w:val="00F73D69"/>
    <w:rsid w:val="00F74484"/>
    <w:rsid w:val="00F754ED"/>
    <w:rsid w:val="00F7599B"/>
    <w:rsid w:val="00F75A63"/>
    <w:rsid w:val="00F7613A"/>
    <w:rsid w:val="00F76669"/>
    <w:rsid w:val="00F76782"/>
    <w:rsid w:val="00F7679F"/>
    <w:rsid w:val="00F76D13"/>
    <w:rsid w:val="00F76DC7"/>
    <w:rsid w:val="00F77041"/>
    <w:rsid w:val="00F7733B"/>
    <w:rsid w:val="00F77784"/>
    <w:rsid w:val="00F77AEE"/>
    <w:rsid w:val="00F77F9E"/>
    <w:rsid w:val="00F806E9"/>
    <w:rsid w:val="00F80E11"/>
    <w:rsid w:val="00F80FBC"/>
    <w:rsid w:val="00F81453"/>
    <w:rsid w:val="00F815CB"/>
    <w:rsid w:val="00F81612"/>
    <w:rsid w:val="00F81668"/>
    <w:rsid w:val="00F81B54"/>
    <w:rsid w:val="00F81B95"/>
    <w:rsid w:val="00F822AA"/>
    <w:rsid w:val="00F8260B"/>
    <w:rsid w:val="00F82746"/>
    <w:rsid w:val="00F836F9"/>
    <w:rsid w:val="00F8372D"/>
    <w:rsid w:val="00F837CC"/>
    <w:rsid w:val="00F845D7"/>
    <w:rsid w:val="00F8475B"/>
    <w:rsid w:val="00F84C0C"/>
    <w:rsid w:val="00F85236"/>
    <w:rsid w:val="00F86867"/>
    <w:rsid w:val="00F86C90"/>
    <w:rsid w:val="00F878D1"/>
    <w:rsid w:val="00F87C6B"/>
    <w:rsid w:val="00F87F31"/>
    <w:rsid w:val="00F9008B"/>
    <w:rsid w:val="00F90247"/>
    <w:rsid w:val="00F90287"/>
    <w:rsid w:val="00F9060D"/>
    <w:rsid w:val="00F9097B"/>
    <w:rsid w:val="00F90AD2"/>
    <w:rsid w:val="00F9125B"/>
    <w:rsid w:val="00F912FD"/>
    <w:rsid w:val="00F91715"/>
    <w:rsid w:val="00F918E2"/>
    <w:rsid w:val="00F91CA5"/>
    <w:rsid w:val="00F92279"/>
    <w:rsid w:val="00F92996"/>
    <w:rsid w:val="00F9371B"/>
    <w:rsid w:val="00F938D3"/>
    <w:rsid w:val="00F93913"/>
    <w:rsid w:val="00F93C00"/>
    <w:rsid w:val="00F93CC6"/>
    <w:rsid w:val="00F93FE7"/>
    <w:rsid w:val="00F93FEB"/>
    <w:rsid w:val="00F940D2"/>
    <w:rsid w:val="00F94A80"/>
    <w:rsid w:val="00F94EEE"/>
    <w:rsid w:val="00F966EB"/>
    <w:rsid w:val="00F9759D"/>
    <w:rsid w:val="00F9769D"/>
    <w:rsid w:val="00F9778D"/>
    <w:rsid w:val="00F97B1F"/>
    <w:rsid w:val="00FA02A4"/>
    <w:rsid w:val="00FA068E"/>
    <w:rsid w:val="00FA09BC"/>
    <w:rsid w:val="00FA0A34"/>
    <w:rsid w:val="00FA0B08"/>
    <w:rsid w:val="00FA1868"/>
    <w:rsid w:val="00FA26AE"/>
    <w:rsid w:val="00FA27D6"/>
    <w:rsid w:val="00FA28F6"/>
    <w:rsid w:val="00FA2B6E"/>
    <w:rsid w:val="00FA2FB4"/>
    <w:rsid w:val="00FA33EC"/>
    <w:rsid w:val="00FA3A2D"/>
    <w:rsid w:val="00FA3A7E"/>
    <w:rsid w:val="00FA452D"/>
    <w:rsid w:val="00FA4B81"/>
    <w:rsid w:val="00FA4F39"/>
    <w:rsid w:val="00FA551D"/>
    <w:rsid w:val="00FA56E1"/>
    <w:rsid w:val="00FA5DF3"/>
    <w:rsid w:val="00FA5F80"/>
    <w:rsid w:val="00FA6049"/>
    <w:rsid w:val="00FA62C7"/>
    <w:rsid w:val="00FA6402"/>
    <w:rsid w:val="00FA646D"/>
    <w:rsid w:val="00FA6FC6"/>
    <w:rsid w:val="00FA70F1"/>
    <w:rsid w:val="00FA724D"/>
    <w:rsid w:val="00FA77E2"/>
    <w:rsid w:val="00FA787D"/>
    <w:rsid w:val="00FA78E3"/>
    <w:rsid w:val="00FA7A80"/>
    <w:rsid w:val="00FA7AA7"/>
    <w:rsid w:val="00FB01E2"/>
    <w:rsid w:val="00FB09EF"/>
    <w:rsid w:val="00FB1285"/>
    <w:rsid w:val="00FB1DB6"/>
    <w:rsid w:val="00FB2401"/>
    <w:rsid w:val="00FB24D4"/>
    <w:rsid w:val="00FB2530"/>
    <w:rsid w:val="00FB280C"/>
    <w:rsid w:val="00FB2AA3"/>
    <w:rsid w:val="00FB2AA5"/>
    <w:rsid w:val="00FB333A"/>
    <w:rsid w:val="00FB34DB"/>
    <w:rsid w:val="00FB3563"/>
    <w:rsid w:val="00FB35E0"/>
    <w:rsid w:val="00FB379D"/>
    <w:rsid w:val="00FB37A5"/>
    <w:rsid w:val="00FB37F2"/>
    <w:rsid w:val="00FB411F"/>
    <w:rsid w:val="00FB4328"/>
    <w:rsid w:val="00FB4820"/>
    <w:rsid w:val="00FB4BF1"/>
    <w:rsid w:val="00FB4D21"/>
    <w:rsid w:val="00FB5256"/>
    <w:rsid w:val="00FB5F9E"/>
    <w:rsid w:val="00FB68E9"/>
    <w:rsid w:val="00FB6CA0"/>
    <w:rsid w:val="00FB6CDD"/>
    <w:rsid w:val="00FB7133"/>
    <w:rsid w:val="00FB7177"/>
    <w:rsid w:val="00FB7186"/>
    <w:rsid w:val="00FB75FF"/>
    <w:rsid w:val="00FB762B"/>
    <w:rsid w:val="00FC0530"/>
    <w:rsid w:val="00FC0A2F"/>
    <w:rsid w:val="00FC0BAD"/>
    <w:rsid w:val="00FC123A"/>
    <w:rsid w:val="00FC13E1"/>
    <w:rsid w:val="00FC1833"/>
    <w:rsid w:val="00FC1BF0"/>
    <w:rsid w:val="00FC26C6"/>
    <w:rsid w:val="00FC26D0"/>
    <w:rsid w:val="00FC28C3"/>
    <w:rsid w:val="00FC2DC7"/>
    <w:rsid w:val="00FC2E34"/>
    <w:rsid w:val="00FC2F7B"/>
    <w:rsid w:val="00FC327D"/>
    <w:rsid w:val="00FC37B3"/>
    <w:rsid w:val="00FC38CB"/>
    <w:rsid w:val="00FC3B38"/>
    <w:rsid w:val="00FC3D16"/>
    <w:rsid w:val="00FC403F"/>
    <w:rsid w:val="00FC460D"/>
    <w:rsid w:val="00FC47D1"/>
    <w:rsid w:val="00FC4BF6"/>
    <w:rsid w:val="00FC4C01"/>
    <w:rsid w:val="00FC4D06"/>
    <w:rsid w:val="00FC579D"/>
    <w:rsid w:val="00FC5F95"/>
    <w:rsid w:val="00FC64D0"/>
    <w:rsid w:val="00FC68BE"/>
    <w:rsid w:val="00FC6ADA"/>
    <w:rsid w:val="00FC6EB4"/>
    <w:rsid w:val="00FC6F5F"/>
    <w:rsid w:val="00FC70FF"/>
    <w:rsid w:val="00FC7355"/>
    <w:rsid w:val="00FC78DD"/>
    <w:rsid w:val="00FC78DE"/>
    <w:rsid w:val="00FC7D7F"/>
    <w:rsid w:val="00FC7DDF"/>
    <w:rsid w:val="00FC7ED6"/>
    <w:rsid w:val="00FD0084"/>
    <w:rsid w:val="00FD0437"/>
    <w:rsid w:val="00FD0D32"/>
    <w:rsid w:val="00FD0F7E"/>
    <w:rsid w:val="00FD10ED"/>
    <w:rsid w:val="00FD1901"/>
    <w:rsid w:val="00FD232B"/>
    <w:rsid w:val="00FD24DA"/>
    <w:rsid w:val="00FD367B"/>
    <w:rsid w:val="00FD3A81"/>
    <w:rsid w:val="00FD400C"/>
    <w:rsid w:val="00FD4216"/>
    <w:rsid w:val="00FD466D"/>
    <w:rsid w:val="00FD4ACC"/>
    <w:rsid w:val="00FD4AD3"/>
    <w:rsid w:val="00FD4D21"/>
    <w:rsid w:val="00FD5355"/>
    <w:rsid w:val="00FD5921"/>
    <w:rsid w:val="00FD5977"/>
    <w:rsid w:val="00FD5FE2"/>
    <w:rsid w:val="00FD667A"/>
    <w:rsid w:val="00FD6D60"/>
    <w:rsid w:val="00FD755C"/>
    <w:rsid w:val="00FD770A"/>
    <w:rsid w:val="00FD7B5F"/>
    <w:rsid w:val="00FD7D76"/>
    <w:rsid w:val="00FE0BC3"/>
    <w:rsid w:val="00FE0CDD"/>
    <w:rsid w:val="00FE0D13"/>
    <w:rsid w:val="00FE12F3"/>
    <w:rsid w:val="00FE166A"/>
    <w:rsid w:val="00FE247A"/>
    <w:rsid w:val="00FE2824"/>
    <w:rsid w:val="00FE2AC6"/>
    <w:rsid w:val="00FE2CA0"/>
    <w:rsid w:val="00FE2CFB"/>
    <w:rsid w:val="00FE2DF8"/>
    <w:rsid w:val="00FE331F"/>
    <w:rsid w:val="00FE367F"/>
    <w:rsid w:val="00FE40BC"/>
    <w:rsid w:val="00FE43F0"/>
    <w:rsid w:val="00FE4475"/>
    <w:rsid w:val="00FE4B9C"/>
    <w:rsid w:val="00FE4EB7"/>
    <w:rsid w:val="00FE5130"/>
    <w:rsid w:val="00FE59EF"/>
    <w:rsid w:val="00FE65F3"/>
    <w:rsid w:val="00FE6687"/>
    <w:rsid w:val="00FE66B3"/>
    <w:rsid w:val="00FE6944"/>
    <w:rsid w:val="00FE6AEB"/>
    <w:rsid w:val="00FE731D"/>
    <w:rsid w:val="00FE7444"/>
    <w:rsid w:val="00FE7BFF"/>
    <w:rsid w:val="00FF04F0"/>
    <w:rsid w:val="00FF0F14"/>
    <w:rsid w:val="00FF1ACF"/>
    <w:rsid w:val="00FF2513"/>
    <w:rsid w:val="00FF264D"/>
    <w:rsid w:val="00FF2CDF"/>
    <w:rsid w:val="00FF2F30"/>
    <w:rsid w:val="00FF30DD"/>
    <w:rsid w:val="00FF3473"/>
    <w:rsid w:val="00FF370E"/>
    <w:rsid w:val="00FF381F"/>
    <w:rsid w:val="00FF3844"/>
    <w:rsid w:val="00FF3B04"/>
    <w:rsid w:val="00FF447A"/>
    <w:rsid w:val="00FF47EF"/>
    <w:rsid w:val="00FF484B"/>
    <w:rsid w:val="00FF4B6D"/>
    <w:rsid w:val="00FF532E"/>
    <w:rsid w:val="00FF5445"/>
    <w:rsid w:val="00FF575C"/>
    <w:rsid w:val="00FF6217"/>
    <w:rsid w:val="00FF661C"/>
    <w:rsid w:val="00FF6625"/>
    <w:rsid w:val="00FF6B99"/>
    <w:rsid w:val="00FF72FE"/>
    <w:rsid w:val="00FF7307"/>
    <w:rsid w:val="00FF7B0A"/>
    <w:rsid w:val="00FF7DAF"/>
    <w:rsid w:val="04D4DFE6"/>
    <w:rsid w:val="175C5768"/>
    <w:rsid w:val="1A67584F"/>
    <w:rsid w:val="1BE65F6B"/>
    <w:rsid w:val="1C1693E3"/>
    <w:rsid w:val="26E00589"/>
    <w:rsid w:val="2B5284C9"/>
    <w:rsid w:val="2F112B6C"/>
    <w:rsid w:val="2FB7A3A7"/>
    <w:rsid w:val="321C6226"/>
    <w:rsid w:val="338CC9CA"/>
    <w:rsid w:val="3BAC63CE"/>
    <w:rsid w:val="3E792A31"/>
    <w:rsid w:val="41A60BC0"/>
    <w:rsid w:val="443D0ED9"/>
    <w:rsid w:val="49A6ECA3"/>
    <w:rsid w:val="4A48FAFF"/>
    <w:rsid w:val="5737E7D5"/>
    <w:rsid w:val="5D47214C"/>
    <w:rsid w:val="64A827C4"/>
    <w:rsid w:val="6B6265BF"/>
    <w:rsid w:val="6F2245FB"/>
    <w:rsid w:val="70E74891"/>
    <w:rsid w:val="724D642B"/>
    <w:rsid w:val="7759AD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A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76F"/>
    <w:pPr>
      <w:spacing w:before="120" w:after="120" w:line="240" w:lineRule="auto"/>
    </w:pPr>
  </w:style>
  <w:style w:type="paragraph" w:styleId="Heading1">
    <w:name w:val="heading 1"/>
    <w:basedOn w:val="HeadingBase"/>
    <w:next w:val="Normal"/>
    <w:link w:val="Heading1Char"/>
    <w:qFormat/>
    <w:rsid w:val="005E476F"/>
    <w:pPr>
      <w:outlineLvl w:val="0"/>
    </w:pPr>
    <w:rPr>
      <w:b/>
      <w:bCs w:val="0"/>
    </w:rPr>
  </w:style>
  <w:style w:type="paragraph" w:styleId="Heading2">
    <w:name w:val="heading 2"/>
    <w:basedOn w:val="HeadingBase"/>
    <w:next w:val="Normal"/>
    <w:link w:val="Heading2Char"/>
    <w:qFormat/>
    <w:rsid w:val="005E476F"/>
    <w:pPr>
      <w:spacing w:before="360"/>
      <w:outlineLvl w:val="1"/>
    </w:pPr>
    <w:rPr>
      <w:b/>
      <w:bCs w:val="0"/>
      <w:iCs/>
      <w:color w:val="004F4D" w:themeColor="text2"/>
      <w:sz w:val="36"/>
      <w:szCs w:val="28"/>
    </w:rPr>
  </w:style>
  <w:style w:type="paragraph" w:styleId="Heading3">
    <w:name w:val="heading 3"/>
    <w:basedOn w:val="HeadingBase"/>
    <w:next w:val="Normal"/>
    <w:link w:val="Heading3Char"/>
    <w:qFormat/>
    <w:rsid w:val="005E476F"/>
    <w:pPr>
      <w:spacing w:before="240"/>
      <w:outlineLvl w:val="2"/>
    </w:pPr>
    <w:rPr>
      <w:b/>
      <w:sz w:val="28"/>
      <w:szCs w:val="26"/>
    </w:rPr>
  </w:style>
  <w:style w:type="paragraph" w:styleId="Heading4">
    <w:name w:val="heading 4"/>
    <w:basedOn w:val="Heading3"/>
    <w:next w:val="Normal"/>
    <w:link w:val="Heading4Char"/>
    <w:qFormat/>
    <w:rsid w:val="005E476F"/>
    <w:pPr>
      <w:outlineLvl w:val="3"/>
    </w:pPr>
    <w:rPr>
      <w:rFonts w:eastAsiaTheme="minorHAnsi"/>
      <w:color w:val="2C384A" w:themeColor="accent6"/>
      <w:sz w:val="22"/>
      <w:szCs w:val="22"/>
    </w:rPr>
  </w:style>
  <w:style w:type="paragraph" w:styleId="Heading5">
    <w:name w:val="heading 5"/>
    <w:basedOn w:val="HeadingBase"/>
    <w:next w:val="Normal"/>
    <w:link w:val="Heading5Char"/>
    <w:qFormat/>
    <w:rsid w:val="005E476F"/>
    <w:pPr>
      <w:outlineLvl w:val="4"/>
    </w:pPr>
    <w:rPr>
      <w:b/>
      <w:bCs w:val="0"/>
      <w:iCs/>
      <w:sz w:val="22"/>
    </w:rPr>
  </w:style>
  <w:style w:type="paragraph" w:styleId="Heading6">
    <w:name w:val="heading 6"/>
    <w:basedOn w:val="HeadingBase"/>
    <w:next w:val="Normal"/>
    <w:link w:val="Heading6Char"/>
    <w:qFormat/>
    <w:rsid w:val="005E476F"/>
    <w:pPr>
      <w:outlineLvl w:val="5"/>
    </w:pPr>
    <w:rPr>
      <w:bCs w:val="0"/>
      <w:sz w:val="22"/>
      <w:szCs w:val="22"/>
    </w:rPr>
  </w:style>
  <w:style w:type="paragraph" w:styleId="Heading7">
    <w:name w:val="heading 7"/>
    <w:basedOn w:val="Normal"/>
    <w:next w:val="Normal"/>
    <w:link w:val="Heading7Char"/>
    <w:uiPriority w:val="9"/>
    <w:unhideWhenUsed/>
    <w:qFormat/>
    <w:rsid w:val="005E476F"/>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5E476F"/>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5E476F"/>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476F"/>
    <w:rPr>
      <w:rFonts w:asciiTheme="majorHAnsi" w:eastAsia="Times New Roman" w:hAnsiTheme="majorHAnsi" w:cs="Arial"/>
      <w:b/>
      <w:color w:val="461F65" w:themeColor="accent1"/>
      <w:kern w:val="32"/>
      <w:sz w:val="48"/>
      <w:szCs w:val="36"/>
      <w:lang w:eastAsia="en-AU"/>
    </w:rPr>
  </w:style>
  <w:style w:type="character" w:customStyle="1" w:styleId="Heading2Char">
    <w:name w:val="Heading 2 Char"/>
    <w:basedOn w:val="DefaultParagraphFont"/>
    <w:link w:val="Heading2"/>
    <w:rsid w:val="005E476F"/>
    <w:rPr>
      <w:rFonts w:asciiTheme="majorHAnsi" w:eastAsia="Times New Roman" w:hAnsiTheme="majorHAnsi" w:cs="Arial"/>
      <w:b/>
      <w:iCs/>
      <w:color w:val="004F4D" w:themeColor="text2"/>
      <w:kern w:val="32"/>
      <w:sz w:val="36"/>
      <w:szCs w:val="28"/>
      <w:lang w:eastAsia="en-AU"/>
    </w:rPr>
  </w:style>
  <w:style w:type="character" w:customStyle="1" w:styleId="Heading3Char">
    <w:name w:val="Heading 3 Char"/>
    <w:basedOn w:val="DefaultParagraphFont"/>
    <w:link w:val="Heading3"/>
    <w:rsid w:val="005E476F"/>
    <w:rPr>
      <w:rFonts w:asciiTheme="majorHAnsi" w:eastAsia="Times New Roman" w:hAnsiTheme="majorHAnsi" w:cs="Arial"/>
      <w:b/>
      <w:bCs/>
      <w:color w:val="461F65" w:themeColor="accent1"/>
      <w:kern w:val="32"/>
      <w:sz w:val="28"/>
      <w:szCs w:val="26"/>
      <w:lang w:eastAsia="en-AU"/>
    </w:rPr>
  </w:style>
  <w:style w:type="character" w:customStyle="1" w:styleId="Heading4Char">
    <w:name w:val="Heading 4 Char"/>
    <w:basedOn w:val="DefaultParagraphFont"/>
    <w:link w:val="Heading4"/>
    <w:rsid w:val="005E476F"/>
    <w:rPr>
      <w:rFonts w:asciiTheme="majorHAnsi" w:hAnsiTheme="majorHAnsi" w:cs="Arial"/>
      <w:b/>
      <w:bCs/>
      <w:color w:val="2C384A" w:themeColor="accent6"/>
      <w:kern w:val="32"/>
      <w:lang w:eastAsia="en-AU"/>
    </w:rPr>
  </w:style>
  <w:style w:type="character" w:customStyle="1" w:styleId="Heading5Char">
    <w:name w:val="Heading 5 Char"/>
    <w:basedOn w:val="DefaultParagraphFont"/>
    <w:link w:val="Heading5"/>
    <w:rsid w:val="005E476F"/>
    <w:rPr>
      <w:rFonts w:asciiTheme="majorHAnsi" w:eastAsia="Times New Roman" w:hAnsiTheme="majorHAnsi" w:cs="Arial"/>
      <w:b/>
      <w:iCs/>
      <w:color w:val="461F65" w:themeColor="accent1"/>
      <w:kern w:val="32"/>
      <w:szCs w:val="36"/>
      <w:lang w:eastAsia="en-AU"/>
    </w:rPr>
  </w:style>
  <w:style w:type="character" w:customStyle="1" w:styleId="Heading6Char">
    <w:name w:val="Heading 6 Char"/>
    <w:basedOn w:val="DefaultParagraphFont"/>
    <w:link w:val="Heading6"/>
    <w:rsid w:val="005E476F"/>
    <w:rPr>
      <w:rFonts w:asciiTheme="majorHAnsi" w:eastAsia="Times New Roman" w:hAnsiTheme="majorHAnsi" w:cs="Arial"/>
      <w:color w:val="461F65" w:themeColor="accent1"/>
      <w:kern w:val="32"/>
      <w:lang w:eastAsia="en-AU"/>
    </w:rPr>
  </w:style>
  <w:style w:type="paragraph" w:customStyle="1" w:styleId="ChartGraphic">
    <w:name w:val="Chart Graphic"/>
    <w:basedOn w:val="Normal"/>
    <w:next w:val="Normal"/>
    <w:rsid w:val="005E476F"/>
    <w:pPr>
      <w:keepNext/>
      <w:spacing w:before="0" w:after="0"/>
      <w:jc w:val="center"/>
    </w:pPr>
    <w:rPr>
      <w:color w:val="2C384A" w:themeColor="accent6"/>
      <w:sz w:val="20"/>
    </w:rPr>
  </w:style>
  <w:style w:type="paragraph" w:customStyle="1" w:styleId="AlphaParagraph">
    <w:name w:val="Alpha Paragraph"/>
    <w:basedOn w:val="Normal"/>
    <w:qFormat/>
    <w:rsid w:val="005E476F"/>
    <w:pPr>
      <w:numPr>
        <w:ilvl w:val="1"/>
        <w:numId w:val="10"/>
      </w:numPr>
      <w:spacing w:before="0"/>
    </w:pPr>
  </w:style>
  <w:style w:type="paragraph" w:customStyle="1" w:styleId="BoxBullet">
    <w:name w:val="Box Bullet"/>
    <w:basedOn w:val="Normal"/>
    <w:rsid w:val="005E476F"/>
    <w:pPr>
      <w:numPr>
        <w:numId w:val="2"/>
      </w:numPr>
      <w:spacing w:before="0"/>
      <w:ind w:left="284" w:hanging="284"/>
    </w:pPr>
  </w:style>
  <w:style w:type="paragraph" w:customStyle="1" w:styleId="BoxDash">
    <w:name w:val="Box Dash"/>
    <w:basedOn w:val="Normal"/>
    <w:rsid w:val="005E476F"/>
    <w:pPr>
      <w:numPr>
        <w:ilvl w:val="1"/>
        <w:numId w:val="2"/>
      </w:numPr>
      <w:spacing w:before="0"/>
      <w:ind w:left="568"/>
    </w:pPr>
  </w:style>
  <w:style w:type="paragraph" w:customStyle="1" w:styleId="BoxDoubleDot">
    <w:name w:val="Box Double Dot"/>
    <w:basedOn w:val="Normal"/>
    <w:rsid w:val="005E476F"/>
    <w:pPr>
      <w:numPr>
        <w:ilvl w:val="2"/>
        <w:numId w:val="2"/>
      </w:numPr>
      <w:spacing w:before="0"/>
      <w:ind w:left="851" w:hanging="284"/>
    </w:pPr>
  </w:style>
  <w:style w:type="paragraph" w:customStyle="1" w:styleId="BoxHeading-Purplelightbox">
    <w:name w:val="Box Heading - Purple light box"/>
    <w:basedOn w:val="Normal"/>
    <w:next w:val="Normal"/>
    <w:rsid w:val="005E476F"/>
    <w:pPr>
      <w:keepNext/>
      <w:spacing w:before="240"/>
    </w:pPr>
    <w:rPr>
      <w:b/>
      <w:color w:val="461F65" w:themeColor="accent1"/>
      <w:sz w:val="26"/>
      <w:szCs w:val="26"/>
    </w:rPr>
  </w:style>
  <w:style w:type="paragraph" w:customStyle="1" w:styleId="BoxText">
    <w:name w:val="Box Text"/>
    <w:basedOn w:val="Normal"/>
    <w:rsid w:val="005E476F"/>
  </w:style>
  <w:style w:type="paragraph" w:customStyle="1" w:styleId="Bullet">
    <w:name w:val="Bullet"/>
    <w:basedOn w:val="Normal"/>
    <w:link w:val="BulletChar"/>
    <w:qFormat/>
    <w:rsid w:val="005E476F"/>
    <w:pPr>
      <w:numPr>
        <w:numId w:val="1"/>
      </w:numPr>
      <w:spacing w:before="0"/>
      <w:ind w:left="284" w:hanging="284"/>
    </w:pPr>
    <w:rPr>
      <w:rFonts w:asciiTheme="majorHAnsi" w:hAnsiTheme="majorHAnsi" w:cs="Arial"/>
      <w:color w:val="000000"/>
      <w:kern w:val="32"/>
      <w:lang w:eastAsia="en-AU"/>
    </w:rPr>
  </w:style>
  <w:style w:type="paragraph" w:customStyle="1" w:styleId="ChartandTableFootnoteAlpha">
    <w:name w:val="Chart and Table Footnote Alpha"/>
    <w:rsid w:val="005E476F"/>
    <w:pPr>
      <w:numPr>
        <w:numId w:val="1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5F622C"/>
    <w:pPr>
      <w:jc w:val="center"/>
    </w:pPr>
  </w:style>
  <w:style w:type="paragraph" w:customStyle="1" w:styleId="ChartorTableNote">
    <w:name w:val="Chart or Table Note"/>
    <w:next w:val="Normal"/>
    <w:rsid w:val="005E476F"/>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5E476F"/>
    <w:pPr>
      <w:jc w:val="center"/>
    </w:pPr>
    <w:rPr>
      <w:color w:val="461F65" w:themeColor="accent1"/>
    </w:rPr>
  </w:style>
  <w:style w:type="paragraph" w:customStyle="1" w:styleId="ReportDate">
    <w:name w:val="Report Date"/>
    <w:basedOn w:val="Normal"/>
    <w:link w:val="ReportDateChar"/>
    <w:rsid w:val="005E476F"/>
    <w:pPr>
      <w:keepNext/>
      <w:spacing w:before="0" w:after="360"/>
    </w:pPr>
    <w:rPr>
      <w:color w:val="2C384A" w:themeColor="accent6"/>
      <w:sz w:val="32"/>
    </w:rPr>
  </w:style>
  <w:style w:type="paragraph" w:customStyle="1" w:styleId="Dash">
    <w:name w:val="Dash"/>
    <w:basedOn w:val="Normal"/>
    <w:rsid w:val="005E476F"/>
    <w:pPr>
      <w:numPr>
        <w:ilvl w:val="1"/>
        <w:numId w:val="1"/>
      </w:numPr>
      <w:spacing w:before="0"/>
      <w:ind w:left="568"/>
    </w:pPr>
  </w:style>
  <w:style w:type="paragraph" w:customStyle="1" w:styleId="DoubleDot">
    <w:name w:val="Double Dot"/>
    <w:basedOn w:val="Normal"/>
    <w:rsid w:val="005E476F"/>
    <w:pPr>
      <w:numPr>
        <w:ilvl w:val="2"/>
        <w:numId w:val="1"/>
      </w:numPr>
      <w:spacing w:before="0"/>
      <w:ind w:left="851" w:hanging="284"/>
    </w:pPr>
  </w:style>
  <w:style w:type="paragraph" w:customStyle="1" w:styleId="TableMainHeading">
    <w:name w:val="Table Main Heading"/>
    <w:basedOn w:val="Heading3"/>
    <w:next w:val="Normal"/>
    <w:rsid w:val="00044031"/>
    <w:pPr>
      <w:spacing w:before="120" w:after="0"/>
      <w:outlineLvl w:val="9"/>
    </w:pPr>
    <w:rPr>
      <w:b w:val="0"/>
      <w:sz w:val="26"/>
    </w:rPr>
  </w:style>
  <w:style w:type="paragraph" w:customStyle="1" w:styleId="FooterEven">
    <w:name w:val="Footer Even"/>
    <w:basedOn w:val="Footer"/>
    <w:rsid w:val="005E476F"/>
    <w:pPr>
      <w:keepNext/>
      <w:tabs>
        <w:tab w:val="clear" w:pos="4513"/>
        <w:tab w:val="clear" w:pos="9026"/>
      </w:tabs>
      <w:jc w:val="left"/>
    </w:pPr>
    <w:rPr>
      <w:noProof/>
    </w:rPr>
  </w:style>
  <w:style w:type="paragraph" w:customStyle="1" w:styleId="FooterOdd">
    <w:name w:val="Footer Odd"/>
    <w:basedOn w:val="Footer"/>
    <w:qFormat/>
    <w:rsid w:val="005E476F"/>
    <w:pPr>
      <w:keepNext/>
      <w:tabs>
        <w:tab w:val="clear" w:pos="4513"/>
        <w:tab w:val="clear" w:pos="9026"/>
      </w:tabs>
      <w:jc w:val="right"/>
    </w:pPr>
  </w:style>
  <w:style w:type="character" w:styleId="Hyperlink">
    <w:name w:val="Hyperlink"/>
    <w:basedOn w:val="DefaultParagraphFont"/>
    <w:uiPriority w:val="99"/>
    <w:rsid w:val="005E476F"/>
    <w:rPr>
      <w:color w:val="461F65" w:themeColor="accent1"/>
      <w:u w:val="single"/>
    </w:rPr>
  </w:style>
  <w:style w:type="paragraph" w:customStyle="1" w:styleId="OutlineNumbered1">
    <w:name w:val="Outline Numbered 1"/>
    <w:basedOn w:val="Normal"/>
    <w:link w:val="OutlineNumbered1Char"/>
    <w:rsid w:val="005E476F"/>
    <w:pPr>
      <w:numPr>
        <w:numId w:val="12"/>
      </w:numPr>
      <w:spacing w:before="0"/>
      <w:ind w:left="567" w:hanging="567"/>
    </w:pPr>
  </w:style>
  <w:style w:type="paragraph" w:customStyle="1" w:styleId="OneLevelNumberedParagraph">
    <w:name w:val="One Level Numbered Paragraph"/>
    <w:basedOn w:val="Normal"/>
    <w:rsid w:val="005E476F"/>
    <w:pPr>
      <w:numPr>
        <w:numId w:val="5"/>
      </w:numPr>
      <w:spacing w:before="0"/>
    </w:pPr>
  </w:style>
  <w:style w:type="paragraph" w:customStyle="1" w:styleId="OutlineNumbered2">
    <w:name w:val="Outline Numbered 2"/>
    <w:basedOn w:val="Normal"/>
    <w:link w:val="OutlineNumbered2Char"/>
    <w:rsid w:val="005E476F"/>
    <w:pPr>
      <w:numPr>
        <w:ilvl w:val="1"/>
        <w:numId w:val="12"/>
      </w:numPr>
      <w:spacing w:before="0"/>
    </w:pPr>
  </w:style>
  <w:style w:type="paragraph" w:customStyle="1" w:styleId="OutlineNumbered3">
    <w:name w:val="Outline Numbered 3"/>
    <w:basedOn w:val="Normal"/>
    <w:rsid w:val="005E476F"/>
    <w:pPr>
      <w:numPr>
        <w:ilvl w:val="2"/>
        <w:numId w:val="12"/>
      </w:numPr>
      <w:spacing w:before="0"/>
    </w:pPr>
  </w:style>
  <w:style w:type="paragraph" w:customStyle="1" w:styleId="Romannumeral">
    <w:name w:val="Roman numeral"/>
    <w:basedOn w:val="Normal"/>
    <w:rsid w:val="005E476F"/>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5E476F"/>
    <w:pPr>
      <w:spacing w:before="0" w:after="0"/>
    </w:pPr>
  </w:style>
  <w:style w:type="paragraph" w:customStyle="1" w:styleId="TableSecondHeading">
    <w:name w:val="Table Second Heading"/>
    <w:basedOn w:val="Normal"/>
    <w:next w:val="Normal"/>
    <w:rsid w:val="005E476F"/>
    <w:pPr>
      <w:keepNext/>
      <w:spacing w:before="0" w:after="20"/>
    </w:pPr>
    <w:rPr>
      <w:b/>
      <w:color w:val="9230E3" w:themeColor="accent2"/>
    </w:rPr>
  </w:style>
  <w:style w:type="paragraph" w:customStyle="1" w:styleId="TableColumnHeadingCentred">
    <w:name w:val="Table Column Heading Centred"/>
    <w:basedOn w:val="TableTextLeft"/>
    <w:rsid w:val="005E476F"/>
    <w:pPr>
      <w:jc w:val="center"/>
    </w:pPr>
    <w:rPr>
      <w:b/>
      <w:color w:val="FFFFFF" w:themeColor="background1"/>
      <w:sz w:val="20"/>
    </w:rPr>
  </w:style>
  <w:style w:type="paragraph" w:customStyle="1" w:styleId="TableColumnHeadingLeft">
    <w:name w:val="Table Column Heading Left"/>
    <w:basedOn w:val="TableTextLeft"/>
    <w:rsid w:val="005E476F"/>
    <w:rPr>
      <w:b/>
      <w:color w:val="auto"/>
      <w:sz w:val="20"/>
    </w:rPr>
  </w:style>
  <w:style w:type="paragraph" w:customStyle="1" w:styleId="TableColumnHeadingRight">
    <w:name w:val="Table Column Heading Right"/>
    <w:basedOn w:val="TableTextLeft"/>
    <w:rsid w:val="005E476F"/>
    <w:pPr>
      <w:jc w:val="right"/>
    </w:pPr>
    <w:rPr>
      <w:b/>
      <w:color w:val="FFFFFF" w:themeColor="background1"/>
      <w:sz w:val="20"/>
    </w:rPr>
  </w:style>
  <w:style w:type="table" w:styleId="TableGrid">
    <w:name w:val="Table Grid"/>
    <w:basedOn w:val="TableNormal"/>
    <w:rsid w:val="005E476F"/>
    <w:pPr>
      <w:spacing w:after="240" w:line="260" w:lineRule="exact"/>
      <w:jc w:val="both"/>
    </w:pPr>
    <w:rPr>
      <w:rFonts w:asciiTheme="minorHAnsi" w:eastAsia="Times New Roman" w:hAnsiTheme="minorHAnsi" w:cs="Times New Roman"/>
      <w:sz w:val="20"/>
      <w:szCs w:val="20"/>
      <w:lang w:eastAsia="en-AU"/>
    </w:rPr>
    <w:tblPr>
      <w:tblStyleRowBandSize w:val="1"/>
      <w:tblBorders>
        <w:bottom w:val="single" w:sz="4" w:space="0" w:color="461F65" w:themeColor="accent1"/>
      </w:tblBorders>
    </w:tblPr>
    <w:tcPr>
      <w:shd w:val="clear" w:color="auto" w:fill="FFFFFF" w:themeFill="background1"/>
    </w:tcPr>
    <w:tblStylePr w:type="firstRow">
      <w:tblPr/>
      <w:tcPr>
        <w:shd w:val="clear" w:color="auto" w:fill="461F65" w:themeFill="accent1"/>
      </w:tcPr>
    </w:tblStylePr>
    <w:tblStylePr w:type="band1Horz">
      <w:tblPr/>
      <w:tcPr>
        <w:shd w:val="clear" w:color="auto" w:fill="F1E1FF" w:themeFill="background2"/>
      </w:tcPr>
    </w:tblStylePr>
  </w:style>
  <w:style w:type="paragraph" w:customStyle="1" w:styleId="TableTextCentered">
    <w:name w:val="Table Text Centered"/>
    <w:basedOn w:val="TableTextRight"/>
    <w:rsid w:val="005E476F"/>
    <w:pPr>
      <w:spacing w:before="0" w:after="0"/>
      <w:jc w:val="center"/>
    </w:pPr>
  </w:style>
  <w:style w:type="paragraph" w:customStyle="1" w:styleId="TableTextLeft">
    <w:name w:val="Table Text Left"/>
    <w:basedOn w:val="TableTextRight"/>
    <w:rsid w:val="005E476F"/>
    <w:pPr>
      <w:spacing w:before="0" w:after="0"/>
      <w:jc w:val="left"/>
    </w:pPr>
  </w:style>
  <w:style w:type="paragraph" w:customStyle="1" w:styleId="TableTextRight">
    <w:name w:val="Table Text Right"/>
    <w:basedOn w:val="Normal"/>
    <w:rsid w:val="005E476F"/>
    <w:pPr>
      <w:spacing w:before="40" w:after="40"/>
      <w:jc w:val="right"/>
    </w:pPr>
    <w:rPr>
      <w:color w:val="000000"/>
      <w:sz w:val="18"/>
    </w:rPr>
  </w:style>
  <w:style w:type="paragraph" w:styleId="TOC1">
    <w:name w:val="toc 1"/>
    <w:basedOn w:val="Normal"/>
    <w:next w:val="Normal"/>
    <w:uiPriority w:val="39"/>
    <w:qFormat/>
    <w:rsid w:val="005E476F"/>
    <w:pPr>
      <w:keepNext/>
      <w:tabs>
        <w:tab w:val="right" w:leader="dot" w:pos="9072"/>
      </w:tabs>
      <w:spacing w:before="180" w:after="0"/>
      <w:ind w:right="-2"/>
    </w:pPr>
    <w:rPr>
      <w:b/>
      <w:noProof/>
      <w:color w:val="2C384A" w:themeColor="accent6"/>
    </w:rPr>
  </w:style>
  <w:style w:type="paragraph" w:styleId="TOC2">
    <w:name w:val="toc 2"/>
    <w:basedOn w:val="Normal"/>
    <w:next w:val="Normal"/>
    <w:uiPriority w:val="39"/>
    <w:qFormat/>
    <w:rsid w:val="005E476F"/>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5E476F"/>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5E476F"/>
    <w:pPr>
      <w:numPr>
        <w:numId w:val="4"/>
      </w:numPr>
    </w:pPr>
  </w:style>
  <w:style w:type="numbering" w:customStyle="1" w:styleId="BulletedList">
    <w:name w:val="Bulleted List"/>
    <w:uiPriority w:val="99"/>
    <w:rsid w:val="005E476F"/>
    <w:pPr>
      <w:numPr>
        <w:numId w:val="1"/>
      </w:numPr>
    </w:pPr>
  </w:style>
  <w:style w:type="numbering" w:customStyle="1" w:styleId="BoxBulletedList">
    <w:name w:val="Box Bulleted List"/>
    <w:uiPriority w:val="99"/>
    <w:rsid w:val="005E476F"/>
    <w:pPr>
      <w:numPr>
        <w:numId w:val="2"/>
      </w:numPr>
    </w:pPr>
  </w:style>
  <w:style w:type="numbering" w:customStyle="1" w:styleId="OneLevelList">
    <w:name w:val="OneLevelList"/>
    <w:uiPriority w:val="99"/>
    <w:rsid w:val="005E476F"/>
    <w:pPr>
      <w:numPr>
        <w:numId w:val="3"/>
      </w:numPr>
    </w:pPr>
  </w:style>
  <w:style w:type="numbering" w:customStyle="1" w:styleId="ChartandTableFootnoteAlphaList">
    <w:name w:val="ChartandTableFootnoteAlphaList"/>
    <w:uiPriority w:val="99"/>
    <w:rsid w:val="005E476F"/>
    <w:pPr>
      <w:numPr>
        <w:numId w:val="17"/>
      </w:numPr>
    </w:pPr>
  </w:style>
  <w:style w:type="paragraph" w:customStyle="1" w:styleId="Crest">
    <w:name w:val="Crest"/>
    <w:basedOn w:val="Header"/>
    <w:rsid w:val="005E476F"/>
    <w:pPr>
      <w:spacing w:after="480"/>
      <w:jc w:val="center"/>
    </w:pPr>
    <w:rPr>
      <w:color w:val="2C384A" w:themeColor="text1"/>
    </w:rPr>
  </w:style>
  <w:style w:type="paragraph" w:customStyle="1" w:styleId="Heading1Numbered">
    <w:name w:val="Heading 1 Numbered"/>
    <w:basedOn w:val="Heading1"/>
    <w:next w:val="Normal"/>
    <w:rsid w:val="005E476F"/>
    <w:pPr>
      <w:numPr>
        <w:numId w:val="8"/>
      </w:numPr>
    </w:pPr>
  </w:style>
  <w:style w:type="character" w:customStyle="1" w:styleId="SingleParagraphChar">
    <w:name w:val="Single Paragraph Char"/>
    <w:basedOn w:val="DefaultParagraphFont"/>
    <w:link w:val="SingleParagraph"/>
    <w:rsid w:val="005E476F"/>
  </w:style>
  <w:style w:type="paragraph" w:customStyle="1" w:styleId="Heading2Numbered">
    <w:name w:val="Heading 2 Numbered"/>
    <w:basedOn w:val="Heading2"/>
    <w:next w:val="Normal"/>
    <w:rsid w:val="005E476F"/>
    <w:pPr>
      <w:numPr>
        <w:ilvl w:val="1"/>
        <w:numId w:val="8"/>
      </w:numPr>
      <w:ind w:left="284" w:hanging="284"/>
    </w:pPr>
  </w:style>
  <w:style w:type="paragraph" w:customStyle="1" w:styleId="Heading3Numbered">
    <w:name w:val="Heading 3 Numbered"/>
    <w:basedOn w:val="Heading3"/>
    <w:qFormat/>
    <w:rsid w:val="005E476F"/>
    <w:pPr>
      <w:numPr>
        <w:ilvl w:val="2"/>
        <w:numId w:val="8"/>
      </w:numPr>
      <w:ind w:left="284" w:hanging="284"/>
    </w:pPr>
  </w:style>
  <w:style w:type="paragraph" w:styleId="Title">
    <w:name w:val="Title"/>
    <w:basedOn w:val="Normal"/>
    <w:next w:val="Normal"/>
    <w:link w:val="TitleChar"/>
    <w:uiPriority w:val="10"/>
    <w:qFormat/>
    <w:rsid w:val="005E476F"/>
    <w:pPr>
      <w:spacing w:before="204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5E476F"/>
    <w:rPr>
      <w:rFonts w:eastAsiaTheme="majorEastAsia" w:cstheme="majorBidi"/>
      <w:b/>
      <w:color w:val="461F65" w:themeColor="accent1"/>
      <w:spacing w:val="5"/>
      <w:kern w:val="28"/>
      <w:sz w:val="72"/>
      <w:szCs w:val="52"/>
    </w:rPr>
  </w:style>
  <w:style w:type="paragraph" w:styleId="Subtitle">
    <w:name w:val="Subtitle"/>
    <w:basedOn w:val="Normal"/>
    <w:next w:val="Normal"/>
    <w:link w:val="SubtitleChar"/>
    <w:uiPriority w:val="11"/>
    <w:qFormat/>
    <w:rsid w:val="005E476F"/>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5E476F"/>
    <w:rPr>
      <w:rFonts w:eastAsiaTheme="majorEastAsia" w:cstheme="majorBidi"/>
      <w:b/>
      <w:iCs/>
      <w:color w:val="2C384A" w:themeColor="accent6"/>
      <w:sz w:val="44"/>
      <w:szCs w:val="44"/>
    </w:rPr>
  </w:style>
  <w:style w:type="character" w:styleId="SubtleEmphasis">
    <w:name w:val="Subtle Emphasis"/>
    <w:basedOn w:val="DefaultParagraphFont"/>
    <w:uiPriority w:val="19"/>
    <w:qFormat/>
    <w:rsid w:val="005E476F"/>
    <w:rPr>
      <w:i/>
      <w:iCs/>
      <w:color w:val="8498B6" w:themeColor="text1" w:themeTint="7F"/>
    </w:rPr>
  </w:style>
  <w:style w:type="paragraph" w:styleId="Footer">
    <w:name w:val="footer"/>
    <w:basedOn w:val="Normal"/>
    <w:link w:val="FooterChar"/>
    <w:unhideWhenUsed/>
    <w:rsid w:val="005E476F"/>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5E476F"/>
    <w:rPr>
      <w:color w:val="461F65" w:themeColor="accent1"/>
      <w:sz w:val="20"/>
    </w:rPr>
  </w:style>
  <w:style w:type="paragraph" w:styleId="Header">
    <w:name w:val="header"/>
    <w:basedOn w:val="Normal"/>
    <w:link w:val="HeaderChar"/>
    <w:uiPriority w:val="99"/>
    <w:unhideWhenUsed/>
    <w:rsid w:val="005E476F"/>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E476F"/>
    <w:rPr>
      <w:color w:val="461F65" w:themeColor="accent1"/>
      <w:sz w:val="20"/>
    </w:rPr>
  </w:style>
  <w:style w:type="character" w:styleId="PlaceholderText">
    <w:name w:val="Placeholder Text"/>
    <w:basedOn w:val="DefaultParagraphFont"/>
    <w:uiPriority w:val="99"/>
    <w:semiHidden/>
    <w:rsid w:val="005E476F"/>
    <w:rPr>
      <w:color w:val="808080"/>
    </w:rPr>
  </w:style>
  <w:style w:type="paragraph" w:customStyle="1" w:styleId="HeadingBase">
    <w:name w:val="Heading Base"/>
    <w:qFormat/>
    <w:rsid w:val="005E476F"/>
    <w:pPr>
      <w:keepNext/>
      <w:spacing w:after="120" w:line="240" w:lineRule="auto"/>
    </w:pPr>
    <w:rPr>
      <w:rFonts w:asciiTheme="majorHAnsi" w:eastAsia="Times New Roman" w:hAnsiTheme="majorHAnsi" w:cs="Arial"/>
      <w:bCs/>
      <w:color w:val="461F65" w:themeColor="accent1"/>
      <w:kern w:val="32"/>
      <w:sz w:val="48"/>
      <w:szCs w:val="36"/>
      <w:lang w:eastAsia="en-AU"/>
    </w:rPr>
  </w:style>
  <w:style w:type="character" w:customStyle="1" w:styleId="ReportDateChar">
    <w:name w:val="Report Date Char"/>
    <w:basedOn w:val="DefaultParagraphFont"/>
    <w:link w:val="ReportDate"/>
    <w:rsid w:val="005E476F"/>
    <w:rPr>
      <w:color w:val="2C384A" w:themeColor="accent6"/>
      <w:sz w:val="32"/>
    </w:rPr>
  </w:style>
  <w:style w:type="paragraph" w:customStyle="1" w:styleId="Disclaimer">
    <w:name w:val="Disclaimer"/>
    <w:basedOn w:val="ReportDate"/>
    <w:rsid w:val="005E476F"/>
    <w:pPr>
      <w:spacing w:after="1800"/>
      <w:ind w:right="142"/>
    </w:pPr>
    <w:rPr>
      <w:rFonts w:asciiTheme="minorHAnsi" w:hAnsiTheme="minorHAnsi"/>
      <w:b/>
      <w:bCs/>
      <w:color w:val="004F4D" w:themeColor="text2"/>
      <w:sz w:val="22"/>
    </w:rPr>
  </w:style>
  <w:style w:type="character" w:customStyle="1" w:styleId="Heading7Char">
    <w:name w:val="Heading 7 Char"/>
    <w:basedOn w:val="DefaultParagraphFont"/>
    <w:link w:val="Heading7"/>
    <w:uiPriority w:val="9"/>
    <w:rsid w:val="005E476F"/>
    <w:rPr>
      <w:rFonts w:asciiTheme="majorHAnsi" w:eastAsiaTheme="majorEastAsia" w:hAnsiTheme="majorHAnsi" w:cstheme="majorBidi"/>
      <w:i/>
      <w:iCs/>
      <w:color w:val="220F32" w:themeColor="accent1" w:themeShade="7F"/>
    </w:rPr>
  </w:style>
  <w:style w:type="paragraph" w:customStyle="1" w:styleId="Divider">
    <w:name w:val="Divider"/>
    <w:basedOn w:val="ReportDate"/>
    <w:qFormat/>
    <w:rsid w:val="005E476F"/>
    <w:pPr>
      <w:spacing w:after="1800"/>
    </w:pPr>
    <w:rPr>
      <w:rFonts w:asciiTheme="minorHAnsi" w:hAnsiTheme="minorHAnsi"/>
      <w:sz w:val="24"/>
    </w:rPr>
  </w:style>
  <w:style w:type="character" w:customStyle="1" w:styleId="FramedFooter">
    <w:name w:val="Framed Footer"/>
    <w:rsid w:val="005E476F"/>
    <w:rPr>
      <w:rFonts w:ascii="Arial" w:hAnsi="Arial"/>
      <w:color w:val="461F65" w:themeColor="accent1"/>
      <w:sz w:val="18"/>
    </w:rPr>
  </w:style>
  <w:style w:type="character" w:customStyle="1" w:styleId="FramedHeader">
    <w:name w:val="Framed Header"/>
    <w:basedOn w:val="DefaultParagraphFont"/>
    <w:rsid w:val="005E476F"/>
    <w:rPr>
      <w:rFonts w:ascii="Arial" w:hAnsi="Arial"/>
      <w:dstrike w:val="0"/>
      <w:color w:val="461F65" w:themeColor="accent1"/>
      <w:sz w:val="18"/>
      <w:vertAlign w:val="baseline"/>
    </w:rPr>
  </w:style>
  <w:style w:type="paragraph" w:customStyle="1" w:styleId="TableTextIndented">
    <w:name w:val="Table Text Indented"/>
    <w:basedOn w:val="TableTextLeft"/>
    <w:qFormat/>
    <w:rsid w:val="005E476F"/>
    <w:pPr>
      <w:ind w:left="284"/>
    </w:pPr>
  </w:style>
  <w:style w:type="paragraph" w:customStyle="1" w:styleId="TableHeadingContinued">
    <w:name w:val="Table Heading Continued"/>
    <w:basedOn w:val="TableMainHeading"/>
    <w:next w:val="TableGraphic"/>
    <w:qFormat/>
    <w:rsid w:val="005E476F"/>
  </w:style>
  <w:style w:type="paragraph" w:customStyle="1" w:styleId="TableGraphic">
    <w:name w:val="Table Graphic"/>
    <w:basedOn w:val="HeadingBase"/>
    <w:next w:val="Normal"/>
    <w:qFormat/>
    <w:rsid w:val="005E476F"/>
    <w:pPr>
      <w:spacing w:after="0"/>
    </w:pPr>
  </w:style>
  <w:style w:type="paragraph" w:customStyle="1" w:styleId="HeaderEven">
    <w:name w:val="Header Even"/>
    <w:basedOn w:val="Header"/>
    <w:qFormat/>
    <w:rsid w:val="005E476F"/>
    <w:pPr>
      <w:jc w:val="left"/>
    </w:pPr>
    <w:rPr>
      <w:color w:val="002C47"/>
    </w:rPr>
  </w:style>
  <w:style w:type="paragraph" w:customStyle="1" w:styleId="HeaderOdd">
    <w:name w:val="Header Odd"/>
    <w:basedOn w:val="Header"/>
    <w:qFormat/>
    <w:rsid w:val="005E476F"/>
  </w:style>
  <w:style w:type="paragraph" w:styleId="FootnoteText">
    <w:name w:val="footnote text"/>
    <w:basedOn w:val="Normal"/>
    <w:link w:val="FootnoteTextChar"/>
    <w:uiPriority w:val="99"/>
    <w:rsid w:val="005E476F"/>
    <w:pPr>
      <w:spacing w:before="0" w:after="0"/>
    </w:pPr>
    <w:rPr>
      <w:sz w:val="20"/>
    </w:rPr>
  </w:style>
  <w:style w:type="character" w:customStyle="1" w:styleId="FootnoteTextChar">
    <w:name w:val="Footnote Text Char"/>
    <w:basedOn w:val="DefaultParagraphFont"/>
    <w:link w:val="FootnoteText"/>
    <w:uiPriority w:val="99"/>
    <w:rsid w:val="005E476F"/>
    <w:rPr>
      <w:sz w:val="20"/>
    </w:rPr>
  </w:style>
  <w:style w:type="character" w:styleId="FootnoteReference">
    <w:name w:val="footnote reference"/>
    <w:basedOn w:val="DefaultParagraphFont"/>
    <w:uiPriority w:val="99"/>
    <w:rsid w:val="005E476F"/>
    <w:rPr>
      <w:rFonts w:ascii="Calibri" w:hAnsi="Calibri"/>
      <w:sz w:val="20"/>
      <w:vertAlign w:val="superscript"/>
    </w:rPr>
  </w:style>
  <w:style w:type="paragraph" w:styleId="BalloonText">
    <w:name w:val="Balloon Text"/>
    <w:basedOn w:val="Normal"/>
    <w:link w:val="BalloonTextChar"/>
    <w:uiPriority w:val="99"/>
    <w:semiHidden/>
    <w:unhideWhenUsed/>
    <w:rsid w:val="005E476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76F"/>
    <w:rPr>
      <w:rFonts w:ascii="Tahoma" w:hAnsi="Tahoma" w:cs="Tahoma"/>
      <w:sz w:val="16"/>
      <w:szCs w:val="16"/>
    </w:rPr>
  </w:style>
  <w:style w:type="character" w:styleId="Emphasis">
    <w:name w:val="Emphasis"/>
    <w:basedOn w:val="DefaultParagraphFont"/>
    <w:uiPriority w:val="20"/>
    <w:rsid w:val="005E476F"/>
    <w:rPr>
      <w:i/>
      <w:iCs/>
    </w:rPr>
  </w:style>
  <w:style w:type="character" w:styleId="Strong">
    <w:name w:val="Strong"/>
    <w:basedOn w:val="DefaultParagraphFont"/>
    <w:qFormat/>
    <w:rsid w:val="005E476F"/>
    <w:rPr>
      <w:b/>
      <w:bCs/>
    </w:rPr>
  </w:style>
  <w:style w:type="paragraph" w:styleId="ListParagraph">
    <w:name w:val="List Paragraph"/>
    <w:basedOn w:val="Normal"/>
    <w:link w:val="ListParagraphChar"/>
    <w:uiPriority w:val="34"/>
    <w:qFormat/>
    <w:rsid w:val="005E476F"/>
    <w:pPr>
      <w:numPr>
        <w:numId w:val="19"/>
      </w:numPr>
      <w:spacing w:before="0" w:line="259" w:lineRule="auto"/>
      <w:jc w:val="both"/>
    </w:pPr>
    <w:rPr>
      <w:rFonts w:asciiTheme="minorHAnsi" w:hAnsiTheme="minorHAnsi"/>
      <w:color w:val="41536E" w:themeColor="text1" w:themeTint="D9"/>
    </w:rPr>
  </w:style>
  <w:style w:type="character" w:customStyle="1" w:styleId="BulletChar">
    <w:name w:val="Bullet Char"/>
    <w:basedOn w:val="Heading4Char"/>
    <w:link w:val="Bullet"/>
    <w:rsid w:val="005E476F"/>
    <w:rPr>
      <w:rFonts w:asciiTheme="majorHAnsi" w:hAnsiTheme="majorHAnsi" w:cs="Arial"/>
      <w:b w:val="0"/>
      <w:bCs w:val="0"/>
      <w:color w:val="000000"/>
      <w:kern w:val="32"/>
      <w:lang w:eastAsia="en-AU"/>
    </w:rPr>
  </w:style>
  <w:style w:type="character" w:customStyle="1" w:styleId="ListParagraphChar">
    <w:name w:val="List Paragraph Char"/>
    <w:basedOn w:val="DefaultParagraphFont"/>
    <w:link w:val="ListParagraph"/>
    <w:uiPriority w:val="34"/>
    <w:rsid w:val="005E476F"/>
    <w:rPr>
      <w:rFonts w:asciiTheme="minorHAnsi" w:hAnsiTheme="minorHAnsi"/>
      <w:color w:val="41536E" w:themeColor="text1" w:themeTint="D9"/>
    </w:rPr>
  </w:style>
  <w:style w:type="paragraph" w:customStyle="1" w:styleId="GRRParanumbers">
    <w:name w:val="GRR Para numbers"/>
    <w:basedOn w:val="ListParagraph"/>
    <w:link w:val="GRRParanumbersChar"/>
    <w:qFormat/>
    <w:rsid w:val="005E476F"/>
    <w:pPr>
      <w:numPr>
        <w:numId w:val="20"/>
      </w:numPr>
      <w:ind w:hanging="720"/>
    </w:pPr>
  </w:style>
  <w:style w:type="character" w:customStyle="1" w:styleId="GRRParanumbersChar">
    <w:name w:val="GRR Para numbers Char"/>
    <w:basedOn w:val="ListParagraphChar"/>
    <w:link w:val="GRRParanumbers"/>
    <w:rsid w:val="005E476F"/>
    <w:rPr>
      <w:rFonts w:asciiTheme="minorHAnsi" w:hAnsiTheme="minorHAnsi"/>
      <w:color w:val="41536E" w:themeColor="text1" w:themeTint="D9"/>
    </w:rPr>
  </w:style>
  <w:style w:type="paragraph" w:styleId="NoSpacing">
    <w:name w:val="No Spacing"/>
    <w:uiPriority w:val="1"/>
    <w:qFormat/>
    <w:rsid w:val="005E476F"/>
    <w:pPr>
      <w:spacing w:after="0" w:line="240" w:lineRule="auto"/>
    </w:pPr>
    <w:rPr>
      <w:rFonts w:asciiTheme="minorHAnsi" w:eastAsia="Times New Roman" w:hAnsiTheme="minorHAnsi" w:cs="Times New Roman"/>
      <w:szCs w:val="20"/>
      <w:lang w:eastAsia="en-AU"/>
    </w:rPr>
  </w:style>
  <w:style w:type="paragraph" w:customStyle="1" w:styleId="OutlineNumberedDot">
    <w:name w:val="Outline Numbered Dot"/>
    <w:basedOn w:val="Bullet"/>
    <w:qFormat/>
    <w:rsid w:val="005E476F"/>
    <w:pPr>
      <w:ind w:left="851"/>
    </w:pPr>
  </w:style>
  <w:style w:type="paragraph" w:customStyle="1" w:styleId="OutlineNumberedDash">
    <w:name w:val="Outline Numbered Dash"/>
    <w:basedOn w:val="Dash"/>
    <w:qFormat/>
    <w:rsid w:val="005E476F"/>
    <w:pPr>
      <w:ind w:left="851"/>
    </w:pPr>
  </w:style>
  <w:style w:type="paragraph" w:customStyle="1" w:styleId="BoxHeading2-Purpledarkbox">
    <w:name w:val="Box Heading 2 - Purple dark box"/>
    <w:basedOn w:val="BoxText"/>
    <w:qFormat/>
    <w:rsid w:val="005E476F"/>
    <w:pPr>
      <w:shd w:val="clear" w:color="auto" w:fill="F1E1FF" w:themeFill="accent4"/>
      <w:spacing w:before="240"/>
    </w:pPr>
  </w:style>
  <w:style w:type="paragraph" w:customStyle="1" w:styleId="BoxHeading2-Purplelightbox">
    <w:name w:val="Box Heading 2 - Purple light box"/>
    <w:basedOn w:val="BoxText"/>
    <w:qFormat/>
    <w:rsid w:val="005E476F"/>
    <w:pPr>
      <w:shd w:val="clear" w:color="auto" w:fill="DBB0FF" w:themeFill="accent3"/>
      <w:spacing w:before="240"/>
    </w:pPr>
  </w:style>
  <w:style w:type="paragraph" w:customStyle="1" w:styleId="BoxHeading-Purpledarkbox">
    <w:name w:val="Box Heading - Purple dark box"/>
    <w:basedOn w:val="BoxHeading-Purplelightbox"/>
    <w:qFormat/>
    <w:rsid w:val="005E476F"/>
    <w:rPr>
      <w:color w:val="F1E1FF" w:themeColor="accent4"/>
    </w:rPr>
  </w:style>
  <w:style w:type="paragraph" w:customStyle="1" w:styleId="BoxHeading">
    <w:name w:val="Box Heading"/>
    <w:basedOn w:val="Normal"/>
    <w:next w:val="Normal"/>
    <w:rsid w:val="005E476F"/>
    <w:pPr>
      <w:keepNext/>
      <w:spacing w:before="240"/>
    </w:pPr>
    <w:rPr>
      <w:b/>
      <w:color w:val="2C384A" w:themeColor="text1"/>
      <w:sz w:val="26"/>
      <w:szCs w:val="26"/>
    </w:rPr>
  </w:style>
  <w:style w:type="paragraph" w:customStyle="1" w:styleId="BoxHeading2-Blue">
    <w:name w:val="Box Heading 2 - Blue"/>
    <w:basedOn w:val="BoxText"/>
    <w:qFormat/>
    <w:rsid w:val="005E476F"/>
    <w:pPr>
      <w:shd w:val="clear" w:color="auto" w:fill="D8E2EF"/>
      <w:spacing w:before="240"/>
    </w:pPr>
  </w:style>
  <w:style w:type="character" w:customStyle="1" w:styleId="Heading8Char">
    <w:name w:val="Heading 8 Char"/>
    <w:basedOn w:val="DefaultParagraphFont"/>
    <w:link w:val="Heading8"/>
    <w:uiPriority w:val="9"/>
    <w:rsid w:val="005E476F"/>
    <w:rPr>
      <w:rFonts w:asciiTheme="majorHAnsi" w:eastAsiaTheme="majorEastAsia" w:hAnsiTheme="majorHAnsi" w:cstheme="majorBidi"/>
      <w:color w:val="2C384A" w:themeColor="accent6"/>
      <w:sz w:val="21"/>
      <w:szCs w:val="21"/>
    </w:rPr>
  </w:style>
  <w:style w:type="character" w:customStyle="1" w:styleId="Heading9Char">
    <w:name w:val="Heading 9 Char"/>
    <w:basedOn w:val="DefaultParagraphFont"/>
    <w:link w:val="Heading9"/>
    <w:uiPriority w:val="9"/>
    <w:rsid w:val="005E476F"/>
    <w:rPr>
      <w:rFonts w:asciiTheme="majorHAnsi" w:eastAsiaTheme="majorEastAsia" w:hAnsiTheme="majorHAnsi" w:cstheme="majorBidi"/>
      <w:i/>
      <w:iCs/>
      <w:color w:val="2C384A" w:themeColor="accent6"/>
      <w:sz w:val="21"/>
      <w:szCs w:val="21"/>
    </w:rPr>
  </w:style>
  <w:style w:type="character" w:styleId="IntenseEmphasis">
    <w:name w:val="Intense Emphasis"/>
    <w:basedOn w:val="DefaultParagraphFont"/>
    <w:uiPriority w:val="21"/>
    <w:qFormat/>
    <w:rsid w:val="005E476F"/>
    <w:rPr>
      <w:i/>
      <w:iCs/>
      <w:color w:val="461F65" w:themeColor="accent1"/>
    </w:rPr>
  </w:style>
  <w:style w:type="paragraph" w:styleId="Quote">
    <w:name w:val="Quote"/>
    <w:basedOn w:val="Normal"/>
    <w:next w:val="Normal"/>
    <w:link w:val="QuoteChar"/>
    <w:uiPriority w:val="29"/>
    <w:qFormat/>
    <w:rsid w:val="005E476F"/>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5E476F"/>
    <w:rPr>
      <w:i/>
      <w:iCs/>
      <w:color w:val="461F65" w:themeColor="accent1"/>
    </w:rPr>
  </w:style>
  <w:style w:type="paragraph" w:styleId="IntenseQuote">
    <w:name w:val="Intense Quote"/>
    <w:basedOn w:val="Normal"/>
    <w:next w:val="Normal"/>
    <w:link w:val="IntenseQuoteChar"/>
    <w:uiPriority w:val="30"/>
    <w:qFormat/>
    <w:rsid w:val="005E476F"/>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5E476F"/>
    <w:rPr>
      <w:i/>
      <w:iCs/>
      <w:color w:val="461F65" w:themeColor="accent1"/>
    </w:rPr>
  </w:style>
  <w:style w:type="character" w:styleId="SubtleReference">
    <w:name w:val="Subtle Reference"/>
    <w:basedOn w:val="DefaultParagraphFont"/>
    <w:uiPriority w:val="31"/>
    <w:qFormat/>
    <w:rsid w:val="005E476F"/>
    <w:rPr>
      <w:smallCaps/>
      <w:color w:val="6079A0" w:themeColor="text1" w:themeTint="A5"/>
    </w:rPr>
  </w:style>
  <w:style w:type="character" w:styleId="IntenseReference">
    <w:name w:val="Intense Reference"/>
    <w:basedOn w:val="DefaultParagraphFont"/>
    <w:uiPriority w:val="32"/>
    <w:qFormat/>
    <w:rsid w:val="005E476F"/>
    <w:rPr>
      <w:b/>
      <w:bCs/>
      <w:smallCaps/>
      <w:color w:val="461F65" w:themeColor="accent1"/>
      <w:spacing w:val="5"/>
    </w:rPr>
  </w:style>
  <w:style w:type="character" w:styleId="BookTitle">
    <w:name w:val="Book Title"/>
    <w:basedOn w:val="DefaultParagraphFont"/>
    <w:uiPriority w:val="33"/>
    <w:qFormat/>
    <w:rsid w:val="005E476F"/>
    <w:rPr>
      <w:b/>
      <w:bCs/>
      <w:i/>
      <w:iCs/>
      <w:spacing w:val="5"/>
    </w:rPr>
  </w:style>
  <w:style w:type="paragraph" w:customStyle="1" w:styleId="BoxHeading-Greenbox">
    <w:name w:val="Box Heading - Green box"/>
    <w:basedOn w:val="BoxHeading-Purplelightbox"/>
    <w:qFormat/>
    <w:rsid w:val="005E476F"/>
    <w:rPr>
      <w:color w:val="004F4D" w:themeColor="text2"/>
    </w:rPr>
  </w:style>
  <w:style w:type="paragraph" w:customStyle="1" w:styleId="BoxHeading2-Greenbox">
    <w:name w:val="Box Heading 2 - Green box"/>
    <w:basedOn w:val="BoxHeading2-Purplelightbox"/>
    <w:qFormat/>
    <w:rsid w:val="005E476F"/>
    <w:pPr>
      <w:shd w:val="clear" w:color="auto" w:fill="004F4D" w:themeFill="accent5"/>
    </w:pPr>
    <w:rPr>
      <w:color w:val="FFFFFF" w:themeColor="background1"/>
    </w:rPr>
  </w:style>
  <w:style w:type="paragraph" w:styleId="TOCHeading">
    <w:name w:val="TOC Heading"/>
    <w:basedOn w:val="Heading1"/>
    <w:next w:val="Normal"/>
    <w:uiPriority w:val="39"/>
    <w:unhideWhenUsed/>
    <w:qFormat/>
    <w:rsid w:val="005E476F"/>
  </w:style>
  <w:style w:type="paragraph" w:customStyle="1" w:styleId="HeaderWhite">
    <w:name w:val="Header White"/>
    <w:basedOn w:val="Header"/>
    <w:qFormat/>
    <w:rsid w:val="005E476F"/>
    <w:rPr>
      <w:noProof/>
      <w:color w:val="FFFFFF" w:themeColor="background1"/>
    </w:rPr>
  </w:style>
  <w:style w:type="paragraph" w:customStyle="1" w:styleId="ChapterTitle">
    <w:name w:val="Chapter Title"/>
    <w:basedOn w:val="Title"/>
    <w:qFormat/>
    <w:rsid w:val="005E476F"/>
    <w:rPr>
      <w:color w:val="161C24" w:themeColor="text1" w:themeShade="80"/>
    </w:rPr>
  </w:style>
  <w:style w:type="paragraph" w:customStyle="1" w:styleId="ChapterSubtitle">
    <w:name w:val="Chapter Subtitle"/>
    <w:basedOn w:val="Subtitle"/>
    <w:qFormat/>
    <w:rsid w:val="005E476F"/>
    <w:rPr>
      <w:color w:val="161C24" w:themeColor="text1" w:themeShade="80"/>
    </w:rPr>
  </w:style>
  <w:style w:type="paragraph" w:customStyle="1" w:styleId="ChapterHeading1">
    <w:name w:val="Chapter Heading 1"/>
    <w:basedOn w:val="Heading1"/>
    <w:qFormat/>
    <w:rsid w:val="005E476F"/>
    <w:rPr>
      <w:color w:val="161C24" w:themeColor="text1" w:themeShade="80"/>
    </w:rPr>
  </w:style>
  <w:style w:type="paragraph" w:customStyle="1" w:styleId="GhostLine">
    <w:name w:val="Ghost Line"/>
    <w:basedOn w:val="NoSpacing"/>
    <w:qFormat/>
    <w:rsid w:val="005E476F"/>
    <w:pPr>
      <w:jc w:val="both"/>
    </w:pPr>
    <w:rPr>
      <w:sz w:val="2"/>
    </w:rPr>
  </w:style>
  <w:style w:type="character" w:styleId="UnresolvedMention">
    <w:name w:val="Unresolved Mention"/>
    <w:basedOn w:val="DefaultParagraphFont"/>
    <w:uiPriority w:val="99"/>
    <w:semiHidden/>
    <w:unhideWhenUsed/>
    <w:rsid w:val="006B2685"/>
    <w:rPr>
      <w:color w:val="605E5C"/>
      <w:shd w:val="clear" w:color="auto" w:fill="E1DFDD"/>
    </w:rPr>
  </w:style>
  <w:style w:type="character" w:styleId="FollowedHyperlink">
    <w:name w:val="FollowedHyperlink"/>
    <w:basedOn w:val="DefaultParagraphFont"/>
    <w:uiPriority w:val="99"/>
    <w:semiHidden/>
    <w:unhideWhenUsed/>
    <w:rsid w:val="00555A25"/>
    <w:rPr>
      <w:color w:val="3A6FAF" w:themeColor="followedHyperlink"/>
      <w:u w:val="single"/>
    </w:rPr>
  </w:style>
  <w:style w:type="table" w:customStyle="1" w:styleId="ListTable3-Accent11">
    <w:name w:val="List Table 3 - Accent 11"/>
    <w:basedOn w:val="TableNormal"/>
    <w:next w:val="ListTable3-Accent1"/>
    <w:uiPriority w:val="48"/>
    <w:rsid w:val="00AA1274"/>
    <w:pPr>
      <w:spacing w:after="0" w:line="240" w:lineRule="auto"/>
    </w:pPr>
    <w:rPr>
      <w:rFonts w:asciiTheme="minorHAnsi" w:hAnsiTheme="minorHAnsi"/>
    </w:rPr>
    <w:tblPr>
      <w:tblStyleRowBandSize w:val="1"/>
      <w:tblStyleColBandSize w:val="1"/>
      <w:tblBorders>
        <w:top w:val="single" w:sz="4" w:space="0" w:color="563478"/>
        <w:left w:val="single" w:sz="4" w:space="0" w:color="563478"/>
        <w:bottom w:val="single" w:sz="4" w:space="0" w:color="563478"/>
        <w:right w:val="single" w:sz="4" w:space="0" w:color="563478"/>
      </w:tblBorders>
    </w:tblPr>
    <w:tblStylePr w:type="firstRow">
      <w:rPr>
        <w:b/>
        <w:bCs/>
        <w:color w:val="FFFFFF"/>
      </w:rPr>
      <w:tblPr/>
      <w:tcPr>
        <w:shd w:val="clear" w:color="auto" w:fill="563478"/>
      </w:tcPr>
    </w:tblStylePr>
    <w:tblStylePr w:type="lastRow">
      <w:rPr>
        <w:b/>
        <w:bCs/>
      </w:rPr>
      <w:tblPr/>
      <w:tcPr>
        <w:tcBorders>
          <w:top w:val="double" w:sz="4" w:space="0" w:color="56347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63478"/>
          <w:right w:val="single" w:sz="4" w:space="0" w:color="563478"/>
        </w:tcBorders>
      </w:tcPr>
    </w:tblStylePr>
    <w:tblStylePr w:type="band1Horz">
      <w:tblPr/>
      <w:tcPr>
        <w:tcBorders>
          <w:top w:val="single" w:sz="4" w:space="0" w:color="563478"/>
          <w:bottom w:val="single" w:sz="4" w:space="0" w:color="56347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3478"/>
          <w:left w:val="nil"/>
        </w:tcBorders>
      </w:tcPr>
    </w:tblStylePr>
    <w:tblStylePr w:type="swCell">
      <w:tblPr/>
      <w:tcPr>
        <w:tcBorders>
          <w:top w:val="double" w:sz="4" w:space="0" w:color="563478"/>
          <w:right w:val="nil"/>
        </w:tcBorders>
      </w:tcPr>
    </w:tblStylePr>
  </w:style>
  <w:style w:type="table" w:styleId="ListTable3-Accent1">
    <w:name w:val="List Table 3 Accent 1"/>
    <w:basedOn w:val="TableNormal"/>
    <w:uiPriority w:val="48"/>
    <w:rsid w:val="00AA1274"/>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TOC4">
    <w:name w:val="toc 4"/>
    <w:basedOn w:val="Normal"/>
    <w:next w:val="Normal"/>
    <w:autoRedefine/>
    <w:uiPriority w:val="39"/>
    <w:unhideWhenUsed/>
    <w:rsid w:val="007208C8"/>
    <w:pPr>
      <w:spacing w:before="0" w:after="100" w:line="278" w:lineRule="auto"/>
      <w:ind w:left="720"/>
    </w:pPr>
    <w:rPr>
      <w:rFonts w:asciiTheme="minorHAnsi" w:eastAsiaTheme="minorEastAsia" w:hAnsiTheme="minorHAnsi"/>
      <w:kern w:val="2"/>
      <w:sz w:val="24"/>
      <w:szCs w:val="24"/>
      <w:lang w:eastAsia="en-AU"/>
      <w14:ligatures w14:val="standardContextual"/>
    </w:rPr>
  </w:style>
  <w:style w:type="paragraph" w:styleId="TOC5">
    <w:name w:val="toc 5"/>
    <w:basedOn w:val="Normal"/>
    <w:next w:val="Normal"/>
    <w:autoRedefine/>
    <w:uiPriority w:val="39"/>
    <w:unhideWhenUsed/>
    <w:rsid w:val="007208C8"/>
    <w:pPr>
      <w:spacing w:before="0"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7208C8"/>
    <w:pPr>
      <w:spacing w:before="0"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7208C8"/>
    <w:pPr>
      <w:spacing w:before="0"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7208C8"/>
    <w:pPr>
      <w:spacing w:before="0"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7208C8"/>
    <w:pPr>
      <w:spacing w:before="0" w:after="100" w:line="278" w:lineRule="auto"/>
      <w:ind w:left="1920"/>
    </w:pPr>
    <w:rPr>
      <w:rFonts w:asciiTheme="minorHAnsi" w:eastAsiaTheme="minorEastAsia" w:hAnsiTheme="minorHAnsi"/>
      <w:kern w:val="2"/>
      <w:sz w:val="24"/>
      <w:szCs w:val="24"/>
      <w:lang w:eastAsia="en-AU"/>
      <w14:ligatures w14:val="standardContextual"/>
    </w:rPr>
  </w:style>
  <w:style w:type="character" w:customStyle="1" w:styleId="OutlineNumbered1Char">
    <w:name w:val="Outline Numbered 1 Char"/>
    <w:basedOn w:val="DefaultParagraphFont"/>
    <w:link w:val="OutlineNumbered1"/>
    <w:rsid w:val="00F6464E"/>
  </w:style>
  <w:style w:type="character" w:customStyle="1" w:styleId="OutlineNumbered2Char">
    <w:name w:val="Outline Numbered 2 Char"/>
    <w:basedOn w:val="DefaultParagraphFont"/>
    <w:link w:val="OutlineNumbered2"/>
    <w:rsid w:val="00F64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aymenttimes.gov.au/sites/ptrs.gov.au/files/2025-07/compliance-enforcement.pdf" TargetMode="External"/><Relationship Id="rId21" Type="http://schemas.openxmlformats.org/officeDocument/2006/relationships/image" Target="media/image5.png"/><Relationship Id="rId42" Type="http://schemas.openxmlformats.org/officeDocument/2006/relationships/image" Target="media/image22.png"/><Relationship Id="rId63" Type="http://schemas.openxmlformats.org/officeDocument/2006/relationships/image" Target="media/image39.svg"/><Relationship Id="rId84" Type="http://schemas.openxmlformats.org/officeDocument/2006/relationships/header" Target="header11.xml"/><Relationship Id="rId138" Type="http://schemas.openxmlformats.org/officeDocument/2006/relationships/image" Target="media/image93.png"/><Relationship Id="rId159" Type="http://schemas.openxmlformats.org/officeDocument/2006/relationships/header" Target="header23.xml"/><Relationship Id="rId170" Type="http://schemas.openxmlformats.org/officeDocument/2006/relationships/theme" Target="theme/theme1.xml"/><Relationship Id="rId107" Type="http://schemas.openxmlformats.org/officeDocument/2006/relationships/image" Target="media/image75.png"/><Relationship Id="rId11" Type="http://schemas.openxmlformats.org/officeDocument/2006/relationships/hyperlink" Target="https://creativecommons.org/licenses/by/4.0/" TargetMode="External"/><Relationship Id="rId32" Type="http://schemas.openxmlformats.org/officeDocument/2006/relationships/image" Target="media/image16.svg"/><Relationship Id="rId53" Type="http://schemas.openxmlformats.org/officeDocument/2006/relationships/image" Target="media/image29.svg"/><Relationship Id="rId74" Type="http://schemas.openxmlformats.org/officeDocument/2006/relationships/header" Target="header6.xml"/><Relationship Id="rId128" Type="http://schemas.openxmlformats.org/officeDocument/2006/relationships/hyperlink" Target="mailto:compliance@paymenttimes.gov.au" TargetMode="External"/><Relationship Id="rId149" Type="http://schemas.openxmlformats.org/officeDocument/2006/relationships/footer" Target="footer18.xml"/><Relationship Id="rId5" Type="http://schemas.openxmlformats.org/officeDocument/2006/relationships/footnotes" Target="footnotes.xml"/><Relationship Id="rId95" Type="http://schemas.openxmlformats.org/officeDocument/2006/relationships/image" Target="media/image63.png"/><Relationship Id="rId160" Type="http://schemas.openxmlformats.org/officeDocument/2006/relationships/footer" Target="footer23.xml"/><Relationship Id="rId22" Type="http://schemas.openxmlformats.org/officeDocument/2006/relationships/image" Target="media/image6.png"/><Relationship Id="rId43" Type="http://schemas.openxmlformats.org/officeDocument/2006/relationships/image" Target="media/image23.svg"/><Relationship Id="rId64" Type="http://schemas.openxmlformats.org/officeDocument/2006/relationships/image" Target="media/image40.png"/><Relationship Id="rId118" Type="http://schemas.openxmlformats.org/officeDocument/2006/relationships/image" Target="media/image77.png"/><Relationship Id="rId139" Type="http://schemas.openxmlformats.org/officeDocument/2006/relationships/image" Target="media/image94.png"/><Relationship Id="rId85" Type="http://schemas.openxmlformats.org/officeDocument/2006/relationships/footer" Target="footer12.xml"/><Relationship Id="rId150" Type="http://schemas.openxmlformats.org/officeDocument/2006/relationships/header" Target="header18.xml"/><Relationship Id="rId12" Type="http://schemas.openxmlformats.org/officeDocument/2006/relationships/hyperlink" Target="http://www.pmc.gov.au/government/commonwealth-coat-arms" TargetMode="External"/><Relationship Id="rId33" Type="http://schemas.openxmlformats.org/officeDocument/2006/relationships/image" Target="media/image17.png"/><Relationship Id="rId108" Type="http://schemas.openxmlformats.org/officeDocument/2006/relationships/image" Target="media/image76.png"/><Relationship Id="rId129" Type="http://schemas.openxmlformats.org/officeDocument/2006/relationships/hyperlink" Target="mailto:compliance@paymenttimes.gov.au" TargetMode="Externa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header" Target="header7.xml"/><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image" Target="media/image95.png"/><Relationship Id="rId145" Type="http://schemas.openxmlformats.org/officeDocument/2006/relationships/header" Target="header16.xml"/><Relationship Id="rId161" Type="http://schemas.openxmlformats.org/officeDocument/2006/relationships/footer" Target="footer24.xml"/><Relationship Id="rId166" Type="http://schemas.openxmlformats.org/officeDocument/2006/relationships/image" Target="media/image10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footer" Target="footer6.xml"/><Relationship Id="rId114" Type="http://schemas.openxmlformats.org/officeDocument/2006/relationships/footer" Target="footer14.xml"/><Relationship Id="rId119" Type="http://schemas.openxmlformats.org/officeDocument/2006/relationships/image" Target="media/image78.png"/><Relationship Id="rId44" Type="http://schemas.openxmlformats.org/officeDocument/2006/relationships/hyperlink" Target="https://events.teams.microsoft.com/event/a2223684-e108-4480-b81b-a0f383dfb163@214f1646-2021-47cc-8397-e3d3a7ba7d9d" TargetMode="External"/><Relationship Id="rId60" Type="http://schemas.openxmlformats.org/officeDocument/2006/relationships/image" Target="media/image36.png"/><Relationship Id="rId65" Type="http://schemas.openxmlformats.org/officeDocument/2006/relationships/image" Target="media/image41.svg"/><Relationship Id="rId81" Type="http://schemas.openxmlformats.org/officeDocument/2006/relationships/header" Target="header10.xml"/><Relationship Id="rId86" Type="http://schemas.openxmlformats.org/officeDocument/2006/relationships/image" Target="media/image54.png"/><Relationship Id="rId130" Type="http://schemas.openxmlformats.org/officeDocument/2006/relationships/hyperlink" Target="https://register.paymenttimes.gov.au" TargetMode="External"/><Relationship Id="rId135" Type="http://schemas.openxmlformats.org/officeDocument/2006/relationships/hyperlink" Target="https://paymenttimes.gov.au/guidance/regulatory-resources/information-sheet-6" TargetMode="External"/><Relationship Id="rId151" Type="http://schemas.openxmlformats.org/officeDocument/2006/relationships/header" Target="header19.xml"/><Relationship Id="rId156" Type="http://schemas.openxmlformats.org/officeDocument/2006/relationships/footer" Target="footer21.xml"/><Relationship Id="rId13" Type="http://schemas.openxmlformats.org/officeDocument/2006/relationships/hyperlink" Target="mailto:media@treasury.gov.au" TargetMode="External"/><Relationship Id="rId18" Type="http://schemas.openxmlformats.org/officeDocument/2006/relationships/footer" Target="footer2.xml"/><Relationship Id="rId39" Type="http://schemas.openxmlformats.org/officeDocument/2006/relationships/hyperlink" Target="https://events.teams.microsoft.com/event/c4301f1f-fc4b-4ec4-992d-60f61c567a6d@214f1646-2021-47cc-8397-e3d3a7ba7d9d" TargetMode="External"/><Relationship Id="rId109" Type="http://schemas.openxmlformats.org/officeDocument/2006/relationships/hyperlink" Target="https://treasury.gov.au/sites/default/files/2023-07/p2023-426074_0.pdf" TargetMode="External"/><Relationship Id="rId34" Type="http://schemas.openxmlformats.org/officeDocument/2006/relationships/image" Target="media/image18.svg"/><Relationship Id="rId50" Type="http://schemas.openxmlformats.org/officeDocument/2006/relationships/image" Target="media/image26.png"/><Relationship Id="rId55" Type="http://schemas.openxmlformats.org/officeDocument/2006/relationships/image" Target="media/image31.svg"/><Relationship Id="rId76" Type="http://schemas.openxmlformats.org/officeDocument/2006/relationships/footer" Target="footer7.xml"/><Relationship Id="rId97" Type="http://schemas.openxmlformats.org/officeDocument/2006/relationships/image" Target="media/image65.png"/><Relationship Id="rId104" Type="http://schemas.openxmlformats.org/officeDocument/2006/relationships/image" Target="media/image72.sv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6.png"/><Relationship Id="rId146" Type="http://schemas.openxmlformats.org/officeDocument/2006/relationships/footer" Target="footer16.xml"/><Relationship Id="rId167" Type="http://schemas.openxmlformats.org/officeDocument/2006/relationships/header" Target="header26.xml"/><Relationship Id="rId7" Type="http://schemas.openxmlformats.org/officeDocument/2006/relationships/image" Target="media/image1.png"/><Relationship Id="rId71" Type="http://schemas.openxmlformats.org/officeDocument/2006/relationships/image" Target="media/image47.svg"/><Relationship Id="rId92" Type="http://schemas.openxmlformats.org/officeDocument/2006/relationships/image" Target="media/image60.png"/><Relationship Id="rId162" Type="http://schemas.openxmlformats.org/officeDocument/2006/relationships/header" Target="header24.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events.teams.microsoft.com/event/cc9aa3be-7901-411c-9708-cf3eb2a3cd26@214f1646-2021-47cc-8397-e3d3a7ba7d9d" TargetMode="External"/><Relationship Id="rId45" Type="http://schemas.openxmlformats.org/officeDocument/2006/relationships/header" Target="header4.xml"/><Relationship Id="rId66" Type="http://schemas.openxmlformats.org/officeDocument/2006/relationships/image" Target="media/image42.png"/><Relationship Id="rId87" Type="http://schemas.openxmlformats.org/officeDocument/2006/relationships/image" Target="media/image55.svg"/><Relationship Id="rId110" Type="http://schemas.openxmlformats.org/officeDocument/2006/relationships/hyperlink" Target="https://www.finance.gov.au/" TargetMode="External"/><Relationship Id="rId115" Type="http://schemas.openxmlformats.org/officeDocument/2006/relationships/header" Target="header14.xml"/><Relationship Id="rId131" Type="http://schemas.openxmlformats.org/officeDocument/2006/relationships/image" Target="media/image87.png"/><Relationship Id="rId136" Type="http://schemas.openxmlformats.org/officeDocument/2006/relationships/image" Target="media/image91.png"/><Relationship Id="rId157" Type="http://schemas.openxmlformats.org/officeDocument/2006/relationships/footer" Target="footer22.xml"/><Relationship Id="rId61" Type="http://schemas.openxmlformats.org/officeDocument/2006/relationships/image" Target="media/image37.svg"/><Relationship Id="rId82" Type="http://schemas.openxmlformats.org/officeDocument/2006/relationships/footer" Target="footer10.xml"/><Relationship Id="rId152" Type="http://schemas.openxmlformats.org/officeDocument/2006/relationships/footer" Target="footer19.xml"/><Relationship Id="rId19" Type="http://schemas.openxmlformats.org/officeDocument/2006/relationships/header" Target="header3.xml"/><Relationship Id="rId14" Type="http://schemas.openxmlformats.org/officeDocument/2006/relationships/image" Target="media/image3.jpeg"/><Relationship Id="rId30" Type="http://schemas.openxmlformats.org/officeDocument/2006/relationships/image" Target="media/image14.sv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footer" Target="footer8.xml"/><Relationship Id="rId100" Type="http://schemas.openxmlformats.org/officeDocument/2006/relationships/image" Target="media/image68.svg"/><Relationship Id="rId105" Type="http://schemas.openxmlformats.org/officeDocument/2006/relationships/image" Target="media/image73.png"/><Relationship Id="rId126" Type="http://schemas.openxmlformats.org/officeDocument/2006/relationships/image" Target="media/image85.png"/><Relationship Id="rId147" Type="http://schemas.openxmlformats.org/officeDocument/2006/relationships/footer" Target="footer17.xml"/><Relationship Id="rId168" Type="http://schemas.openxmlformats.org/officeDocument/2006/relationships/footer" Target="footer27.xml"/><Relationship Id="rId8" Type="http://schemas.openxmlformats.org/officeDocument/2006/relationships/hyperlink" Target="https://creativecommons.org/licenses/by/4.0/" TargetMode="External"/><Relationship Id="rId51" Type="http://schemas.openxmlformats.org/officeDocument/2006/relationships/image" Target="media/image27.svg"/><Relationship Id="rId72" Type="http://schemas.openxmlformats.org/officeDocument/2006/relationships/image" Target="media/image48.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0.png"/><Relationship Id="rId142" Type="http://schemas.openxmlformats.org/officeDocument/2006/relationships/image" Target="media/image97.png"/><Relationship Id="rId163" Type="http://schemas.openxmlformats.org/officeDocument/2006/relationships/header" Target="header25.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eader" Target="header5.xml"/><Relationship Id="rId67" Type="http://schemas.openxmlformats.org/officeDocument/2006/relationships/image" Target="media/image43.svg"/><Relationship Id="rId116" Type="http://schemas.openxmlformats.org/officeDocument/2006/relationships/footer" Target="footer15.xml"/><Relationship Id="rId137" Type="http://schemas.openxmlformats.org/officeDocument/2006/relationships/image" Target="media/image92.svg"/><Relationship Id="rId158" Type="http://schemas.openxmlformats.org/officeDocument/2006/relationships/header" Target="header22.xml"/><Relationship Id="rId20" Type="http://schemas.openxmlformats.org/officeDocument/2006/relationships/footer" Target="footer3.xml"/><Relationship Id="rId41" Type="http://schemas.openxmlformats.org/officeDocument/2006/relationships/hyperlink" Target="https://events.teams.microsoft.com/event/c6d64e30-ec90-4c81-be77-236570d96278@214f1646-2021-47cc-8397-e3d3a7ba7d9d" TargetMode="External"/><Relationship Id="rId62" Type="http://schemas.openxmlformats.org/officeDocument/2006/relationships/image" Target="media/image38.png"/><Relationship Id="rId83" Type="http://schemas.openxmlformats.org/officeDocument/2006/relationships/footer" Target="footer11.xml"/><Relationship Id="rId88" Type="http://schemas.openxmlformats.org/officeDocument/2006/relationships/image" Target="media/image56.png"/><Relationship Id="rId111" Type="http://schemas.openxmlformats.org/officeDocument/2006/relationships/header" Target="header12.xml"/><Relationship Id="rId132" Type="http://schemas.openxmlformats.org/officeDocument/2006/relationships/image" Target="media/image88.png"/><Relationship Id="rId153" Type="http://schemas.openxmlformats.org/officeDocument/2006/relationships/footer" Target="footer20.xml"/><Relationship Id="rId15" Type="http://schemas.openxmlformats.org/officeDocument/2006/relationships/header" Target="header1.xml"/><Relationship Id="rId36" Type="http://schemas.openxmlformats.org/officeDocument/2006/relationships/hyperlink" Target="mailto:engagement@paymenttimes.gov.au" TargetMode="External"/><Relationship Id="rId57" Type="http://schemas.openxmlformats.org/officeDocument/2006/relationships/image" Target="media/image33.png"/><Relationship Id="rId106" Type="http://schemas.openxmlformats.org/officeDocument/2006/relationships/image" Target="media/image74.svg"/><Relationship Id="rId127" Type="http://schemas.openxmlformats.org/officeDocument/2006/relationships/image" Target="media/image86.svg"/><Relationship Id="rId10" Type="http://schemas.openxmlformats.org/officeDocument/2006/relationships/image" Target="media/image2.wmf"/><Relationship Id="rId31" Type="http://schemas.openxmlformats.org/officeDocument/2006/relationships/image" Target="media/image15.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header" Target="header8.xml"/><Relationship Id="rId94" Type="http://schemas.openxmlformats.org/officeDocument/2006/relationships/image" Target="media/image62.sv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1.png"/><Relationship Id="rId143" Type="http://schemas.openxmlformats.org/officeDocument/2006/relationships/image" Target="media/image98.svg"/><Relationship Id="rId148" Type="http://schemas.openxmlformats.org/officeDocument/2006/relationships/header" Target="header17.xml"/><Relationship Id="rId164" Type="http://schemas.openxmlformats.org/officeDocument/2006/relationships/footer" Target="footer25.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26" Type="http://schemas.openxmlformats.org/officeDocument/2006/relationships/image" Target="media/image10.png"/><Relationship Id="rId47" Type="http://schemas.openxmlformats.org/officeDocument/2006/relationships/footer" Target="footer4.xml"/><Relationship Id="rId68" Type="http://schemas.openxmlformats.org/officeDocument/2006/relationships/image" Target="media/image44.png"/><Relationship Id="rId89" Type="http://schemas.openxmlformats.org/officeDocument/2006/relationships/image" Target="media/image57.png"/><Relationship Id="rId112" Type="http://schemas.openxmlformats.org/officeDocument/2006/relationships/header" Target="header13.xml"/><Relationship Id="rId133" Type="http://schemas.openxmlformats.org/officeDocument/2006/relationships/image" Target="media/image89.png"/><Relationship Id="rId154" Type="http://schemas.openxmlformats.org/officeDocument/2006/relationships/header" Target="header20.xml"/><Relationship Id="rId16" Type="http://schemas.openxmlformats.org/officeDocument/2006/relationships/header" Target="header2.xml"/><Relationship Id="rId37" Type="http://schemas.openxmlformats.org/officeDocument/2006/relationships/image" Target="media/image20.png"/><Relationship Id="rId58" Type="http://schemas.openxmlformats.org/officeDocument/2006/relationships/image" Target="media/image34.png"/><Relationship Id="rId79" Type="http://schemas.openxmlformats.org/officeDocument/2006/relationships/footer" Target="footer9.xml"/><Relationship Id="rId102" Type="http://schemas.openxmlformats.org/officeDocument/2006/relationships/image" Target="media/image70.png"/><Relationship Id="rId123" Type="http://schemas.openxmlformats.org/officeDocument/2006/relationships/image" Target="media/image82.png"/><Relationship Id="rId144" Type="http://schemas.openxmlformats.org/officeDocument/2006/relationships/header" Target="header15.xml"/><Relationship Id="rId90" Type="http://schemas.openxmlformats.org/officeDocument/2006/relationships/image" Target="media/image58.svg"/><Relationship Id="rId165" Type="http://schemas.openxmlformats.org/officeDocument/2006/relationships/footer" Target="footer26.xml"/><Relationship Id="rId27" Type="http://schemas.openxmlformats.org/officeDocument/2006/relationships/image" Target="media/image11.png"/><Relationship Id="rId48" Type="http://schemas.openxmlformats.org/officeDocument/2006/relationships/footer" Target="footer5.xml"/><Relationship Id="rId69" Type="http://schemas.openxmlformats.org/officeDocument/2006/relationships/image" Target="media/image45.svg"/><Relationship Id="rId113" Type="http://schemas.openxmlformats.org/officeDocument/2006/relationships/footer" Target="footer13.xml"/><Relationship Id="rId134" Type="http://schemas.openxmlformats.org/officeDocument/2006/relationships/image" Target="media/image90.svg"/><Relationship Id="rId80" Type="http://schemas.openxmlformats.org/officeDocument/2006/relationships/header" Target="header9.xml"/><Relationship Id="rId155" Type="http://schemas.openxmlformats.org/officeDocument/2006/relationships/header" Target="header21.xml"/><Relationship Id="rId17" Type="http://schemas.openxmlformats.org/officeDocument/2006/relationships/footer" Target="footer1.xml"/><Relationship Id="rId38" Type="http://schemas.openxmlformats.org/officeDocument/2006/relationships/image" Target="media/image21.svg"/><Relationship Id="rId59" Type="http://schemas.openxmlformats.org/officeDocument/2006/relationships/image" Target="media/image35.svg"/><Relationship Id="rId103" Type="http://schemas.openxmlformats.org/officeDocument/2006/relationships/image" Target="media/image71.png"/><Relationship Id="rId124" Type="http://schemas.openxmlformats.org/officeDocument/2006/relationships/image" Target="media/image8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1.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5.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finance.gov.au/sites/default/files/2025-12/Flipchart%205%20January%202026%20-%20FINAL.pdf" TargetMode="External"/><Relationship Id="rId1" Type="http://schemas.openxmlformats.org/officeDocument/2006/relationships/hyperlink" Target="https://www.finance.gov.au/sites/default/files/2025-12/Flipchart%205%20January%202026%20-%20FINAL.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2.png"/></Relationships>
</file>

<file path=word/_rels/header12.xml.rels><?xml version="1.0" encoding="UTF-8" standalone="yes"?>
<Relationships xmlns="http://schemas.openxmlformats.org/package/2006/relationships"><Relationship Id="rId1" Type="http://schemas.openxmlformats.org/officeDocument/2006/relationships/image" Target="media/image50.png"/></Relationships>
</file>

<file path=word/_rels/header13.xml.rels><?xml version="1.0" encoding="UTF-8" standalone="yes"?>
<Relationships xmlns="http://schemas.openxmlformats.org/package/2006/relationships"><Relationship Id="rId1" Type="http://schemas.openxmlformats.org/officeDocument/2006/relationships/image" Target="media/image50.png"/></Relationships>
</file>

<file path=word/_rels/header15.xml.rels><?xml version="1.0" encoding="UTF-8" standalone="yes"?>
<Relationships xmlns="http://schemas.openxmlformats.org/package/2006/relationships"><Relationship Id="rId1" Type="http://schemas.openxmlformats.org/officeDocument/2006/relationships/image" Target="media/image99.png"/></Relationships>
</file>

<file path=word/_rels/header16.xml.rels><?xml version="1.0" encoding="UTF-8" standalone="yes"?>
<Relationships xmlns="http://schemas.openxmlformats.org/package/2006/relationships"><Relationship Id="rId1" Type="http://schemas.openxmlformats.org/officeDocument/2006/relationships/image" Target="media/image99.png"/></Relationships>
</file>

<file path=word/_rels/header17.xml.rels><?xml version="1.0" encoding="UTF-8" standalone="yes"?>
<Relationships xmlns="http://schemas.openxmlformats.org/package/2006/relationships"><Relationship Id="rId1" Type="http://schemas.openxmlformats.org/officeDocument/2006/relationships/image" Target="media/image100.png"/></Relationships>
</file>

<file path=word/_rels/header4.xml.rels><?xml version="1.0" encoding="UTF-8" standalone="yes"?>
<Relationships xmlns="http://schemas.openxmlformats.org/package/2006/relationships"><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1" Type="http://schemas.openxmlformats.org/officeDocument/2006/relationships/image" Target="media/image24.png"/></Relationships>
</file>

<file path=word/_rels/header6.xml.rels><?xml version="1.0" encoding="UTF-8" standalone="yes"?>
<Relationships xmlns="http://schemas.openxmlformats.org/package/2006/relationships"><Relationship Id="rId1" Type="http://schemas.openxmlformats.org/officeDocument/2006/relationships/image" Target="media/image50.png"/></Relationships>
</file>

<file path=word/_rels/header7.xml.rels><?xml version="1.0" encoding="UTF-8" standalone="yes"?>
<Relationships xmlns="http://schemas.openxmlformats.org/package/2006/relationships"><Relationship Id="rId1" Type="http://schemas.openxmlformats.org/officeDocument/2006/relationships/image" Target="media/image50.png"/></Relationships>
</file>

<file path=word/_rels/header8.xml.rels><?xml version="1.0" encoding="UTF-8" standalone="yes"?>
<Relationships xmlns="http://schemas.openxmlformats.org/package/2006/relationships"><Relationship Id="rId1" Type="http://schemas.openxmlformats.org/officeDocument/2006/relationships/image" Target="media/image51.png"/></Relationships>
</file>

<file path=word/_rels/header9.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Aptos">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13208</Words>
  <Characters>75289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Regulator’s Update – January 2026</vt:lpstr>
    </vt:vector>
  </TitlesOfParts>
  <Company/>
  <LinksUpToDate>false</LinksUpToDate>
  <CharactersWithSpaces>88321</CharactersWithSpaces>
  <SharedDoc>false</SharedDoc>
  <HLinks>
    <vt:vector size="246" baseType="variant">
      <vt:variant>
        <vt:i4>4587543</vt:i4>
      </vt:variant>
      <vt:variant>
        <vt:i4>183</vt:i4>
      </vt:variant>
      <vt:variant>
        <vt:i4>0</vt:i4>
      </vt:variant>
      <vt:variant>
        <vt:i4>5</vt:i4>
      </vt:variant>
      <vt:variant>
        <vt:lpwstr>https://paymenttimes.gov.au/guidance/regulatory-resources/information-sheet-6</vt:lpwstr>
      </vt:variant>
      <vt:variant>
        <vt:lpwstr/>
      </vt:variant>
      <vt:variant>
        <vt:i4>1376277</vt:i4>
      </vt:variant>
      <vt:variant>
        <vt:i4>180</vt:i4>
      </vt:variant>
      <vt:variant>
        <vt:i4>0</vt:i4>
      </vt:variant>
      <vt:variant>
        <vt:i4>5</vt:i4>
      </vt:variant>
      <vt:variant>
        <vt:lpwstr>https://register.paymenttimes.gov.au/</vt:lpwstr>
      </vt:variant>
      <vt:variant>
        <vt:lpwstr/>
      </vt:variant>
      <vt:variant>
        <vt:i4>3801164</vt:i4>
      </vt:variant>
      <vt:variant>
        <vt:i4>177</vt:i4>
      </vt:variant>
      <vt:variant>
        <vt:i4>0</vt:i4>
      </vt:variant>
      <vt:variant>
        <vt:i4>5</vt:i4>
      </vt:variant>
      <vt:variant>
        <vt:lpwstr>mailto:compliance@paymenttimes.gov.au</vt:lpwstr>
      </vt:variant>
      <vt:variant>
        <vt:lpwstr/>
      </vt:variant>
      <vt:variant>
        <vt:i4>3801164</vt:i4>
      </vt:variant>
      <vt:variant>
        <vt:i4>174</vt:i4>
      </vt:variant>
      <vt:variant>
        <vt:i4>0</vt:i4>
      </vt:variant>
      <vt:variant>
        <vt:i4>5</vt:i4>
      </vt:variant>
      <vt:variant>
        <vt:lpwstr>mailto:compliance@paymenttimes.gov.au</vt:lpwstr>
      </vt:variant>
      <vt:variant>
        <vt:lpwstr/>
      </vt:variant>
      <vt:variant>
        <vt:i4>6946855</vt:i4>
      </vt:variant>
      <vt:variant>
        <vt:i4>171</vt:i4>
      </vt:variant>
      <vt:variant>
        <vt:i4>0</vt:i4>
      </vt:variant>
      <vt:variant>
        <vt:i4>5</vt:i4>
      </vt:variant>
      <vt:variant>
        <vt:lpwstr>https://paymenttimes.gov.au/sites/ptrs.gov.au/files/2025-07/compliance-enforcement.pdf</vt:lpwstr>
      </vt:variant>
      <vt:variant>
        <vt:lpwstr/>
      </vt:variant>
      <vt:variant>
        <vt:i4>3735603</vt:i4>
      </vt:variant>
      <vt:variant>
        <vt:i4>168</vt:i4>
      </vt:variant>
      <vt:variant>
        <vt:i4>0</vt:i4>
      </vt:variant>
      <vt:variant>
        <vt:i4>5</vt:i4>
      </vt:variant>
      <vt:variant>
        <vt:lpwstr>https://www.finance.gov.au/</vt:lpwstr>
      </vt:variant>
      <vt:variant>
        <vt:lpwstr/>
      </vt:variant>
      <vt:variant>
        <vt:i4>3604493</vt:i4>
      </vt:variant>
      <vt:variant>
        <vt:i4>165</vt:i4>
      </vt:variant>
      <vt:variant>
        <vt:i4>0</vt:i4>
      </vt:variant>
      <vt:variant>
        <vt:i4>5</vt:i4>
      </vt:variant>
      <vt:variant>
        <vt:lpwstr>https://treasury.gov.au/sites/default/files/2023-07/p2023-426074_0.pdf</vt:lpwstr>
      </vt:variant>
      <vt:variant>
        <vt:lpwstr/>
      </vt:variant>
      <vt:variant>
        <vt:i4>98</vt:i4>
      </vt:variant>
      <vt:variant>
        <vt:i4>162</vt:i4>
      </vt:variant>
      <vt:variant>
        <vt:i4>0</vt:i4>
      </vt:variant>
      <vt:variant>
        <vt:i4>5</vt:i4>
      </vt:variant>
      <vt:variant>
        <vt:lpwstr>https://events.teams.microsoft.com/event/a2223684-e108-4480-b81b-a0f383dfb163@214f1646-2021-47cc-8397-e3d3a7ba7d9d</vt:lpwstr>
      </vt:variant>
      <vt:variant>
        <vt:lpwstr/>
      </vt:variant>
      <vt:variant>
        <vt:i4>5439549</vt:i4>
      </vt:variant>
      <vt:variant>
        <vt:i4>159</vt:i4>
      </vt:variant>
      <vt:variant>
        <vt:i4>0</vt:i4>
      </vt:variant>
      <vt:variant>
        <vt:i4>5</vt:i4>
      </vt:variant>
      <vt:variant>
        <vt:lpwstr>https://events.teams.microsoft.com/event/c6d64e30-ec90-4c81-be77-236570d96278@214f1646-2021-47cc-8397-e3d3a7ba7d9d</vt:lpwstr>
      </vt:variant>
      <vt:variant>
        <vt:lpwstr/>
      </vt:variant>
      <vt:variant>
        <vt:i4>5308526</vt:i4>
      </vt:variant>
      <vt:variant>
        <vt:i4>156</vt:i4>
      </vt:variant>
      <vt:variant>
        <vt:i4>0</vt:i4>
      </vt:variant>
      <vt:variant>
        <vt:i4>5</vt:i4>
      </vt:variant>
      <vt:variant>
        <vt:lpwstr>https://events.teams.microsoft.com/event/cc9aa3be-7901-411c-9708-cf3eb2a3cd26@214f1646-2021-47cc-8397-e3d3a7ba7d9d</vt:lpwstr>
      </vt:variant>
      <vt:variant>
        <vt:lpwstr/>
      </vt:variant>
      <vt:variant>
        <vt:i4>393324</vt:i4>
      </vt:variant>
      <vt:variant>
        <vt:i4>153</vt:i4>
      </vt:variant>
      <vt:variant>
        <vt:i4>0</vt:i4>
      </vt:variant>
      <vt:variant>
        <vt:i4>5</vt:i4>
      </vt:variant>
      <vt:variant>
        <vt:lpwstr>https://events.teams.microsoft.com/event/c4301f1f-fc4b-4ec4-992d-60f61c567a6d@214f1646-2021-47cc-8397-e3d3a7ba7d9d</vt:lpwstr>
      </vt:variant>
      <vt:variant>
        <vt:lpwstr/>
      </vt:variant>
      <vt:variant>
        <vt:i4>3932234</vt:i4>
      </vt:variant>
      <vt:variant>
        <vt:i4>150</vt:i4>
      </vt:variant>
      <vt:variant>
        <vt:i4>0</vt:i4>
      </vt:variant>
      <vt:variant>
        <vt:i4>5</vt:i4>
      </vt:variant>
      <vt:variant>
        <vt:lpwstr>mailto:engagement@paymenttimes.gov.au</vt:lpwstr>
      </vt:variant>
      <vt:variant>
        <vt:lpwstr/>
      </vt:variant>
      <vt:variant>
        <vt:i4>1376311</vt:i4>
      </vt:variant>
      <vt:variant>
        <vt:i4>143</vt:i4>
      </vt:variant>
      <vt:variant>
        <vt:i4>0</vt:i4>
      </vt:variant>
      <vt:variant>
        <vt:i4>5</vt:i4>
      </vt:variant>
      <vt:variant>
        <vt:lpwstr/>
      </vt:variant>
      <vt:variant>
        <vt:lpwstr>_Toc220068382</vt:lpwstr>
      </vt:variant>
      <vt:variant>
        <vt:i4>1376311</vt:i4>
      </vt:variant>
      <vt:variant>
        <vt:i4>137</vt:i4>
      </vt:variant>
      <vt:variant>
        <vt:i4>0</vt:i4>
      </vt:variant>
      <vt:variant>
        <vt:i4>5</vt:i4>
      </vt:variant>
      <vt:variant>
        <vt:lpwstr/>
      </vt:variant>
      <vt:variant>
        <vt:lpwstr>_Toc220068381</vt:lpwstr>
      </vt:variant>
      <vt:variant>
        <vt:i4>1376311</vt:i4>
      </vt:variant>
      <vt:variant>
        <vt:i4>131</vt:i4>
      </vt:variant>
      <vt:variant>
        <vt:i4>0</vt:i4>
      </vt:variant>
      <vt:variant>
        <vt:i4>5</vt:i4>
      </vt:variant>
      <vt:variant>
        <vt:lpwstr/>
      </vt:variant>
      <vt:variant>
        <vt:lpwstr>_Toc220068380</vt:lpwstr>
      </vt:variant>
      <vt:variant>
        <vt:i4>1703991</vt:i4>
      </vt:variant>
      <vt:variant>
        <vt:i4>125</vt:i4>
      </vt:variant>
      <vt:variant>
        <vt:i4>0</vt:i4>
      </vt:variant>
      <vt:variant>
        <vt:i4>5</vt:i4>
      </vt:variant>
      <vt:variant>
        <vt:lpwstr/>
      </vt:variant>
      <vt:variant>
        <vt:lpwstr>_Toc220068379</vt:lpwstr>
      </vt:variant>
      <vt:variant>
        <vt:i4>1703991</vt:i4>
      </vt:variant>
      <vt:variant>
        <vt:i4>119</vt:i4>
      </vt:variant>
      <vt:variant>
        <vt:i4>0</vt:i4>
      </vt:variant>
      <vt:variant>
        <vt:i4>5</vt:i4>
      </vt:variant>
      <vt:variant>
        <vt:lpwstr/>
      </vt:variant>
      <vt:variant>
        <vt:lpwstr>_Toc220068378</vt:lpwstr>
      </vt:variant>
      <vt:variant>
        <vt:i4>1703991</vt:i4>
      </vt:variant>
      <vt:variant>
        <vt:i4>113</vt:i4>
      </vt:variant>
      <vt:variant>
        <vt:i4>0</vt:i4>
      </vt:variant>
      <vt:variant>
        <vt:i4>5</vt:i4>
      </vt:variant>
      <vt:variant>
        <vt:lpwstr/>
      </vt:variant>
      <vt:variant>
        <vt:lpwstr>_Toc220068377</vt:lpwstr>
      </vt:variant>
      <vt:variant>
        <vt:i4>1703991</vt:i4>
      </vt:variant>
      <vt:variant>
        <vt:i4>107</vt:i4>
      </vt:variant>
      <vt:variant>
        <vt:i4>0</vt:i4>
      </vt:variant>
      <vt:variant>
        <vt:i4>5</vt:i4>
      </vt:variant>
      <vt:variant>
        <vt:lpwstr/>
      </vt:variant>
      <vt:variant>
        <vt:lpwstr>_Toc220068376</vt:lpwstr>
      </vt:variant>
      <vt:variant>
        <vt:i4>1703991</vt:i4>
      </vt:variant>
      <vt:variant>
        <vt:i4>101</vt:i4>
      </vt:variant>
      <vt:variant>
        <vt:i4>0</vt:i4>
      </vt:variant>
      <vt:variant>
        <vt:i4>5</vt:i4>
      </vt:variant>
      <vt:variant>
        <vt:lpwstr/>
      </vt:variant>
      <vt:variant>
        <vt:lpwstr>_Toc220068375</vt:lpwstr>
      </vt:variant>
      <vt:variant>
        <vt:i4>1703991</vt:i4>
      </vt:variant>
      <vt:variant>
        <vt:i4>95</vt:i4>
      </vt:variant>
      <vt:variant>
        <vt:i4>0</vt:i4>
      </vt:variant>
      <vt:variant>
        <vt:i4>5</vt:i4>
      </vt:variant>
      <vt:variant>
        <vt:lpwstr/>
      </vt:variant>
      <vt:variant>
        <vt:lpwstr>_Toc220068374</vt:lpwstr>
      </vt:variant>
      <vt:variant>
        <vt:i4>1703991</vt:i4>
      </vt:variant>
      <vt:variant>
        <vt:i4>89</vt:i4>
      </vt:variant>
      <vt:variant>
        <vt:i4>0</vt:i4>
      </vt:variant>
      <vt:variant>
        <vt:i4>5</vt:i4>
      </vt:variant>
      <vt:variant>
        <vt:lpwstr/>
      </vt:variant>
      <vt:variant>
        <vt:lpwstr>_Toc220068373</vt:lpwstr>
      </vt:variant>
      <vt:variant>
        <vt:i4>1703991</vt:i4>
      </vt:variant>
      <vt:variant>
        <vt:i4>83</vt:i4>
      </vt:variant>
      <vt:variant>
        <vt:i4>0</vt:i4>
      </vt:variant>
      <vt:variant>
        <vt:i4>5</vt:i4>
      </vt:variant>
      <vt:variant>
        <vt:lpwstr/>
      </vt:variant>
      <vt:variant>
        <vt:lpwstr>_Toc220068372</vt:lpwstr>
      </vt:variant>
      <vt:variant>
        <vt:i4>1703991</vt:i4>
      </vt:variant>
      <vt:variant>
        <vt:i4>77</vt:i4>
      </vt:variant>
      <vt:variant>
        <vt:i4>0</vt:i4>
      </vt:variant>
      <vt:variant>
        <vt:i4>5</vt:i4>
      </vt:variant>
      <vt:variant>
        <vt:lpwstr/>
      </vt:variant>
      <vt:variant>
        <vt:lpwstr>_Toc220068371</vt:lpwstr>
      </vt:variant>
      <vt:variant>
        <vt:i4>1703991</vt:i4>
      </vt:variant>
      <vt:variant>
        <vt:i4>71</vt:i4>
      </vt:variant>
      <vt:variant>
        <vt:i4>0</vt:i4>
      </vt:variant>
      <vt:variant>
        <vt:i4>5</vt:i4>
      </vt:variant>
      <vt:variant>
        <vt:lpwstr/>
      </vt:variant>
      <vt:variant>
        <vt:lpwstr>_Toc220068370</vt:lpwstr>
      </vt:variant>
      <vt:variant>
        <vt:i4>1769527</vt:i4>
      </vt:variant>
      <vt:variant>
        <vt:i4>65</vt:i4>
      </vt:variant>
      <vt:variant>
        <vt:i4>0</vt:i4>
      </vt:variant>
      <vt:variant>
        <vt:i4>5</vt:i4>
      </vt:variant>
      <vt:variant>
        <vt:lpwstr/>
      </vt:variant>
      <vt:variant>
        <vt:lpwstr>_Toc220068369</vt:lpwstr>
      </vt:variant>
      <vt:variant>
        <vt:i4>1769527</vt:i4>
      </vt:variant>
      <vt:variant>
        <vt:i4>59</vt:i4>
      </vt:variant>
      <vt:variant>
        <vt:i4>0</vt:i4>
      </vt:variant>
      <vt:variant>
        <vt:i4>5</vt:i4>
      </vt:variant>
      <vt:variant>
        <vt:lpwstr/>
      </vt:variant>
      <vt:variant>
        <vt:lpwstr>_Toc220068368</vt:lpwstr>
      </vt:variant>
      <vt:variant>
        <vt:i4>1769527</vt:i4>
      </vt:variant>
      <vt:variant>
        <vt:i4>53</vt:i4>
      </vt:variant>
      <vt:variant>
        <vt:i4>0</vt:i4>
      </vt:variant>
      <vt:variant>
        <vt:i4>5</vt:i4>
      </vt:variant>
      <vt:variant>
        <vt:lpwstr/>
      </vt:variant>
      <vt:variant>
        <vt:lpwstr>_Toc220068367</vt:lpwstr>
      </vt:variant>
      <vt:variant>
        <vt:i4>1769527</vt:i4>
      </vt:variant>
      <vt:variant>
        <vt:i4>47</vt:i4>
      </vt:variant>
      <vt:variant>
        <vt:i4>0</vt:i4>
      </vt:variant>
      <vt:variant>
        <vt:i4>5</vt:i4>
      </vt:variant>
      <vt:variant>
        <vt:lpwstr/>
      </vt:variant>
      <vt:variant>
        <vt:lpwstr>_Toc220068366</vt:lpwstr>
      </vt:variant>
      <vt:variant>
        <vt:i4>1769527</vt:i4>
      </vt:variant>
      <vt:variant>
        <vt:i4>41</vt:i4>
      </vt:variant>
      <vt:variant>
        <vt:i4>0</vt:i4>
      </vt:variant>
      <vt:variant>
        <vt:i4>5</vt:i4>
      </vt:variant>
      <vt:variant>
        <vt:lpwstr/>
      </vt:variant>
      <vt:variant>
        <vt:lpwstr>_Toc220068365</vt:lpwstr>
      </vt:variant>
      <vt:variant>
        <vt:i4>1769527</vt:i4>
      </vt:variant>
      <vt:variant>
        <vt:i4>35</vt:i4>
      </vt:variant>
      <vt:variant>
        <vt:i4>0</vt:i4>
      </vt:variant>
      <vt:variant>
        <vt:i4>5</vt:i4>
      </vt:variant>
      <vt:variant>
        <vt:lpwstr/>
      </vt:variant>
      <vt:variant>
        <vt:lpwstr>_Toc220068364</vt:lpwstr>
      </vt:variant>
      <vt:variant>
        <vt:i4>1769527</vt:i4>
      </vt:variant>
      <vt:variant>
        <vt:i4>29</vt:i4>
      </vt:variant>
      <vt:variant>
        <vt:i4>0</vt:i4>
      </vt:variant>
      <vt:variant>
        <vt:i4>5</vt:i4>
      </vt:variant>
      <vt:variant>
        <vt:lpwstr/>
      </vt:variant>
      <vt:variant>
        <vt:lpwstr>_Toc220068363</vt:lpwstr>
      </vt:variant>
      <vt:variant>
        <vt:i4>1769527</vt:i4>
      </vt:variant>
      <vt:variant>
        <vt:i4>23</vt:i4>
      </vt:variant>
      <vt:variant>
        <vt:i4>0</vt:i4>
      </vt:variant>
      <vt:variant>
        <vt:i4>5</vt:i4>
      </vt:variant>
      <vt:variant>
        <vt:lpwstr/>
      </vt:variant>
      <vt:variant>
        <vt:lpwstr>_Toc220068362</vt:lpwstr>
      </vt:variant>
      <vt:variant>
        <vt:i4>1769527</vt:i4>
      </vt:variant>
      <vt:variant>
        <vt:i4>17</vt:i4>
      </vt:variant>
      <vt:variant>
        <vt:i4>0</vt:i4>
      </vt:variant>
      <vt:variant>
        <vt:i4>5</vt:i4>
      </vt:variant>
      <vt:variant>
        <vt:lpwstr/>
      </vt:variant>
      <vt:variant>
        <vt:lpwstr>_Toc220068361</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3801151</vt:i4>
      </vt:variant>
      <vt:variant>
        <vt:i4>3</vt:i4>
      </vt:variant>
      <vt:variant>
        <vt:i4>0</vt:i4>
      </vt:variant>
      <vt:variant>
        <vt:i4>5</vt:i4>
      </vt:variant>
      <vt:variant>
        <vt:lpwstr>https://www.finance.gov.au/sites/default/files/2025-12/Flipchart 5 January 2026 - FINAL.pdf</vt:lpwstr>
      </vt:variant>
      <vt:variant>
        <vt:lpwstr/>
      </vt:variant>
      <vt:variant>
        <vt:i4>3801151</vt:i4>
      </vt:variant>
      <vt:variant>
        <vt:i4>0</vt:i4>
      </vt:variant>
      <vt:variant>
        <vt:i4>0</vt:i4>
      </vt:variant>
      <vt:variant>
        <vt:i4>5</vt:i4>
      </vt:variant>
      <vt:variant>
        <vt:lpwstr>https://www.finance.gov.au/sites/default/files/2025-12/Flipchart 5 January 2026 -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Regulator’s Update – January 2026</dc:title>
  <dc:subject/>
  <dc:creator>Payment Times Reporting Regulator</dc:creator>
  <cp:keywords/>
  <cp:lastModifiedBy/>
  <cp:revision>1</cp:revision>
  <dcterms:created xsi:type="dcterms:W3CDTF">2026-01-30T02:08:00Z</dcterms:created>
  <dcterms:modified xsi:type="dcterms:W3CDTF">2026-01-30T02:09:00Z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2026-01-30T02:09:39Z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a332ab6f-4fe1-4882-81c1-c739ce0c662e</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