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5645642"/>
        <w:docPartObj>
          <w:docPartGallery w:val="Cover Pages"/>
          <w:docPartUnique/>
        </w:docPartObj>
      </w:sdtPr>
      <w:sdtEndPr>
        <w:rPr>
          <w:noProof/>
        </w:rPr>
      </w:sdtEndPr>
      <w:sdtContent>
        <w:p w14:paraId="211B3517" w14:textId="77777777" w:rsidR="00604EEF" w:rsidRPr="006D0240" w:rsidRDefault="00DE0431" w:rsidP="005103E4">
          <w:r>
            <w:rPr>
              <w:noProof/>
            </w:rPr>
            <w:drawing>
              <wp:anchor distT="0" distB="0" distL="114300" distR="114300" simplePos="0" relativeHeight="251658240" behindDoc="1" locked="0" layoutInCell="1" allowOverlap="1" wp14:anchorId="1AFF7851" wp14:editId="5D0B9AC4">
                <wp:simplePos x="0" y="0"/>
                <wp:positionH relativeFrom="page">
                  <wp:posOffset>-10633</wp:posOffset>
                </wp:positionH>
                <wp:positionV relativeFrom="page">
                  <wp:posOffset>-10633</wp:posOffset>
                </wp:positionV>
                <wp:extent cx="7577998" cy="1071920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998" cy="10719201"/>
                        </a:xfrm>
                        <a:prstGeom prst="rect">
                          <a:avLst/>
                        </a:prstGeom>
                      </pic:spPr>
                    </pic:pic>
                  </a:graphicData>
                </a:graphic>
                <wp14:sizeRelH relativeFrom="page">
                  <wp14:pctWidth>0</wp14:pctWidth>
                </wp14:sizeRelH>
                <wp14:sizeRelV relativeFrom="page">
                  <wp14:pctHeight>0</wp14:pctHeight>
                </wp14:sizeRelV>
              </wp:anchor>
            </w:drawing>
          </w:r>
        </w:p>
        <w:p w14:paraId="2BD07D63" w14:textId="39A82007" w:rsidR="00604EEF" w:rsidRPr="005103E4" w:rsidRDefault="004C2647" w:rsidP="005103E4">
          <w:pPr>
            <w:pStyle w:val="Title"/>
          </w:pPr>
          <w:r>
            <w:t xml:space="preserve">Payment </w:t>
          </w:r>
          <w:r w:rsidR="00FD478A">
            <w:t>T</w:t>
          </w:r>
          <w:r>
            <w:t xml:space="preserve">imes </w:t>
          </w:r>
          <w:r w:rsidR="000952A6">
            <w:t>R</w:t>
          </w:r>
          <w:r>
            <w:t>eporting</w:t>
          </w:r>
        </w:p>
        <w:p w14:paraId="7867041F" w14:textId="5D6E975D" w:rsidR="00604EEF" w:rsidRPr="006923DF" w:rsidRDefault="00FD478A" w:rsidP="006923DF">
          <w:pPr>
            <w:pStyle w:val="Subtitle"/>
          </w:pPr>
          <w:r>
            <w:t xml:space="preserve">Understanding </w:t>
          </w:r>
          <w:r w:rsidR="0040292B">
            <w:t xml:space="preserve">Reporting </w:t>
          </w:r>
          <w:r>
            <w:t>Fields</w:t>
          </w:r>
          <w:r w:rsidR="000952A6">
            <w:t xml:space="preserve"> – interim guidance</w:t>
          </w:r>
        </w:p>
        <w:p w14:paraId="62C7AFCA" w14:textId="77777777" w:rsidR="0040292B" w:rsidRPr="0040292B" w:rsidRDefault="0040292B" w:rsidP="0040292B"/>
        <w:p w14:paraId="23160C34" w14:textId="74B5CF20" w:rsidR="00604EEF" w:rsidRPr="006923DF" w:rsidRDefault="00791F70" w:rsidP="006923DF">
          <w:pPr>
            <w:pStyle w:val="ReportDate"/>
            <w:rPr>
              <w:rFonts w:ascii="Rockwell" w:hAnsi="Rockwell"/>
              <w:sz w:val="24"/>
            </w:rPr>
          </w:pPr>
          <w:r>
            <w:rPr>
              <w:rStyle w:val="ReportDateChar"/>
            </w:rPr>
            <w:t>December 2024</w:t>
          </w:r>
        </w:p>
        <w:p w14:paraId="1FDEF2F2" w14:textId="77777777" w:rsidR="00604EEF" w:rsidRDefault="00604EEF">
          <w:pPr>
            <w:spacing w:before="0" w:after="160" w:line="259" w:lineRule="auto"/>
            <w:rPr>
              <w:noProof/>
            </w:rPr>
          </w:pPr>
          <w:r>
            <w:rPr>
              <w:noProof/>
            </w:rPr>
            <w:br w:type="page"/>
          </w:r>
        </w:p>
      </w:sdtContent>
    </w:sdt>
    <w:tbl>
      <w:tblPr>
        <w:tblStyle w:val="TableGrid"/>
        <w:tblW w:w="0" w:type="auto"/>
        <w:tblBorders>
          <w:top w:val="single" w:sz="12" w:space="0" w:color="002C47" w:themeColor="accent1"/>
          <w:left w:val="single" w:sz="12" w:space="0" w:color="002C47" w:themeColor="accent1"/>
          <w:bottom w:val="single" w:sz="12" w:space="0" w:color="002C47" w:themeColor="accent1"/>
          <w:right w:val="single" w:sz="12" w:space="0" w:color="002C47" w:themeColor="accent1"/>
          <w:insideH w:val="single" w:sz="12" w:space="0" w:color="002C47" w:themeColor="accent1"/>
          <w:insideV w:val="single" w:sz="12" w:space="0" w:color="002C47" w:themeColor="accent1"/>
        </w:tblBorders>
        <w:tblLook w:val="04A0" w:firstRow="1" w:lastRow="0" w:firstColumn="1" w:lastColumn="0" w:noHBand="0" w:noVBand="1"/>
      </w:tblPr>
      <w:tblGrid>
        <w:gridCol w:w="9040"/>
      </w:tblGrid>
      <w:tr w:rsidR="001E1832" w14:paraId="033F9082" w14:textId="77777777">
        <w:tc>
          <w:tcPr>
            <w:tcW w:w="9072" w:type="dxa"/>
            <w:shd w:val="clear" w:color="auto" w:fill="002C47" w:themeFill="accent1"/>
          </w:tcPr>
          <w:p w14:paraId="527F9337" w14:textId="4A72DC17" w:rsidR="001E1832" w:rsidRPr="001F05AF" w:rsidRDefault="001E1832" w:rsidP="001F05AF">
            <w:pPr>
              <w:pStyle w:val="HeaderEven"/>
              <w:spacing w:before="120" w:after="120"/>
              <w:rPr>
                <w:b/>
                <w:bCs/>
                <w:sz w:val="28"/>
                <w:szCs w:val="28"/>
              </w:rPr>
            </w:pPr>
            <w:r w:rsidRPr="001F05AF">
              <w:rPr>
                <w:b/>
                <w:bCs/>
                <w:color w:val="FFFFFF" w:themeColor="background1"/>
                <w:sz w:val="28"/>
                <w:szCs w:val="28"/>
              </w:rPr>
              <w:lastRenderedPageBreak/>
              <w:t xml:space="preserve">About this </w:t>
            </w:r>
            <w:r w:rsidR="00AC7B13">
              <w:rPr>
                <w:b/>
                <w:bCs/>
                <w:color w:val="FFFFFF" w:themeColor="background1"/>
                <w:sz w:val="28"/>
                <w:szCs w:val="28"/>
              </w:rPr>
              <w:t>document</w:t>
            </w:r>
          </w:p>
        </w:tc>
      </w:tr>
      <w:tr w:rsidR="001E1832" w14:paraId="662A5985" w14:textId="77777777">
        <w:tc>
          <w:tcPr>
            <w:tcW w:w="9072" w:type="dxa"/>
            <w:shd w:val="clear" w:color="auto" w:fill="FFFFFF" w:themeFill="background1"/>
          </w:tcPr>
          <w:p w14:paraId="38977171" w14:textId="396198F1" w:rsidR="001E1832" w:rsidRPr="009B1E5D" w:rsidRDefault="001E1832" w:rsidP="00AC7B13">
            <w:pPr>
              <w:jc w:val="left"/>
              <w:rPr>
                <w:sz w:val="22"/>
                <w:szCs w:val="22"/>
              </w:rPr>
            </w:pPr>
            <w:r w:rsidRPr="009B1E5D">
              <w:rPr>
                <w:sz w:val="22"/>
                <w:szCs w:val="22"/>
              </w:rPr>
              <w:t xml:space="preserve">This document has been developed to provide reporting entities under the </w:t>
            </w:r>
            <w:r w:rsidRPr="009B1E5D">
              <w:rPr>
                <w:i/>
                <w:sz w:val="22"/>
                <w:szCs w:val="22"/>
              </w:rPr>
              <w:t>Payment Times Reporting Act 2020</w:t>
            </w:r>
            <w:r w:rsidRPr="009B1E5D">
              <w:rPr>
                <w:sz w:val="22"/>
                <w:szCs w:val="22"/>
              </w:rPr>
              <w:t xml:space="preserve"> (the </w:t>
            </w:r>
            <w:r w:rsidRPr="009B1E5D">
              <w:rPr>
                <w:b/>
                <w:sz w:val="22"/>
                <w:szCs w:val="22"/>
              </w:rPr>
              <w:t>Act</w:t>
            </w:r>
            <w:r w:rsidRPr="009B1E5D">
              <w:rPr>
                <w:sz w:val="22"/>
                <w:szCs w:val="22"/>
              </w:rPr>
              <w:t xml:space="preserve">) </w:t>
            </w:r>
            <w:r w:rsidR="001876C8">
              <w:rPr>
                <w:sz w:val="22"/>
                <w:szCs w:val="22"/>
              </w:rPr>
              <w:t xml:space="preserve">with </w:t>
            </w:r>
            <w:r w:rsidRPr="009B1E5D">
              <w:rPr>
                <w:sz w:val="22"/>
                <w:szCs w:val="22"/>
              </w:rPr>
              <w:t xml:space="preserve">additional </w:t>
            </w:r>
            <w:r w:rsidR="001876C8">
              <w:rPr>
                <w:sz w:val="22"/>
                <w:szCs w:val="22"/>
              </w:rPr>
              <w:t>information</w:t>
            </w:r>
            <w:r w:rsidR="005F3980">
              <w:rPr>
                <w:sz w:val="22"/>
                <w:szCs w:val="22"/>
              </w:rPr>
              <w:t xml:space="preserve"> about </w:t>
            </w:r>
            <w:r w:rsidR="00375EAC">
              <w:rPr>
                <w:sz w:val="22"/>
                <w:szCs w:val="22"/>
              </w:rPr>
              <w:t xml:space="preserve">the </w:t>
            </w:r>
            <w:r w:rsidR="00996778">
              <w:rPr>
                <w:sz w:val="22"/>
                <w:szCs w:val="22"/>
              </w:rPr>
              <w:t>reporting fields ahead o</w:t>
            </w:r>
            <w:r w:rsidR="005A7C27">
              <w:rPr>
                <w:sz w:val="22"/>
                <w:szCs w:val="22"/>
              </w:rPr>
              <w:t xml:space="preserve">f </w:t>
            </w:r>
            <w:r w:rsidR="005F3980">
              <w:rPr>
                <w:sz w:val="22"/>
                <w:szCs w:val="22"/>
              </w:rPr>
              <w:t xml:space="preserve">preparing and </w:t>
            </w:r>
            <w:r w:rsidRPr="009B1E5D">
              <w:rPr>
                <w:sz w:val="22"/>
                <w:szCs w:val="22"/>
              </w:rPr>
              <w:t>complet</w:t>
            </w:r>
            <w:r w:rsidR="005F3980">
              <w:rPr>
                <w:sz w:val="22"/>
                <w:szCs w:val="22"/>
              </w:rPr>
              <w:t>ing</w:t>
            </w:r>
            <w:r w:rsidRPr="009B1E5D">
              <w:rPr>
                <w:sz w:val="22"/>
                <w:szCs w:val="22"/>
              </w:rPr>
              <w:t xml:space="preserve"> a payment times report </w:t>
            </w:r>
            <w:r w:rsidRPr="009B1E5D">
              <w:rPr>
                <w:b/>
                <w:sz w:val="22"/>
                <w:szCs w:val="22"/>
              </w:rPr>
              <w:t>for reporting periods commencing on or after 1 July 2024</w:t>
            </w:r>
            <w:r w:rsidRPr="009B1E5D">
              <w:rPr>
                <w:sz w:val="22"/>
                <w:szCs w:val="22"/>
              </w:rPr>
              <w:t>. It may also help users of the Payment Times Reports Register to understand the calculations and basis for preparation of the relevant payment times reports.</w:t>
            </w:r>
          </w:p>
          <w:p w14:paraId="24E7C7F5" w14:textId="2003557A" w:rsidR="001E1832" w:rsidRPr="009B1E5D" w:rsidRDefault="001E1832" w:rsidP="00AC7B13">
            <w:pPr>
              <w:jc w:val="left"/>
              <w:rPr>
                <w:sz w:val="22"/>
                <w:szCs w:val="22"/>
              </w:rPr>
            </w:pPr>
            <w:r w:rsidRPr="009B1E5D">
              <w:rPr>
                <w:sz w:val="22"/>
                <w:szCs w:val="22"/>
              </w:rPr>
              <w:t xml:space="preserve">A reporting entity must submit its reports through the </w:t>
            </w:r>
            <w:hyperlink r:id="rId8" w:history="1">
              <w:r w:rsidR="0069254E" w:rsidRPr="009B1E5D">
                <w:rPr>
                  <w:rStyle w:val="Hyperlink"/>
                  <w:sz w:val="22"/>
                  <w:szCs w:val="22"/>
                </w:rPr>
                <w:t xml:space="preserve">Payment Times Reporting </w:t>
              </w:r>
              <w:r w:rsidRPr="009B1E5D">
                <w:rPr>
                  <w:rStyle w:val="Hyperlink"/>
                  <w:sz w:val="22"/>
                  <w:szCs w:val="22"/>
                </w:rPr>
                <w:t>Portal</w:t>
              </w:r>
            </w:hyperlink>
            <w:r w:rsidRPr="009B1E5D">
              <w:rPr>
                <w:sz w:val="22"/>
                <w:szCs w:val="22"/>
              </w:rPr>
              <w:t xml:space="preserve">, </w:t>
            </w:r>
            <w:r w:rsidR="002F163E">
              <w:rPr>
                <w:sz w:val="22"/>
                <w:szCs w:val="22"/>
              </w:rPr>
              <w:t xml:space="preserve">accessible </w:t>
            </w:r>
            <w:r w:rsidRPr="009B1E5D">
              <w:rPr>
                <w:sz w:val="22"/>
                <w:szCs w:val="22"/>
              </w:rPr>
              <w:t xml:space="preserve">through </w:t>
            </w:r>
            <w:r w:rsidR="006C3843">
              <w:rPr>
                <w:sz w:val="22"/>
                <w:szCs w:val="22"/>
              </w:rPr>
              <w:t xml:space="preserve">the </w:t>
            </w:r>
            <w:r w:rsidR="003304EB" w:rsidRPr="009B1E5D">
              <w:rPr>
                <w:sz w:val="22"/>
                <w:szCs w:val="22"/>
              </w:rPr>
              <w:t xml:space="preserve">Payment Times Reporting </w:t>
            </w:r>
            <w:r w:rsidR="007E5741" w:rsidRPr="00366F36">
              <w:rPr>
                <w:sz w:val="22"/>
                <w:szCs w:val="22"/>
              </w:rPr>
              <w:t>Regulator</w:t>
            </w:r>
            <w:r w:rsidR="006C3843" w:rsidRPr="00366F36">
              <w:rPr>
                <w:sz w:val="22"/>
                <w:szCs w:val="22"/>
              </w:rPr>
              <w:t>’s</w:t>
            </w:r>
            <w:r w:rsidR="00F27362" w:rsidRPr="00366F36">
              <w:rPr>
                <w:sz w:val="22"/>
                <w:szCs w:val="22"/>
              </w:rPr>
              <w:t xml:space="preserve"> </w:t>
            </w:r>
            <w:r w:rsidR="003304EB" w:rsidRPr="00366F36">
              <w:rPr>
                <w:sz w:val="22"/>
                <w:szCs w:val="22"/>
              </w:rPr>
              <w:t xml:space="preserve">website at </w:t>
            </w:r>
            <w:hyperlink r:id="rId9" w:history="1">
              <w:r w:rsidR="006C3843" w:rsidRPr="00366F36">
                <w:rPr>
                  <w:rStyle w:val="Hyperlink"/>
                  <w:sz w:val="22"/>
                  <w:szCs w:val="22"/>
                </w:rPr>
                <w:t>www.paymenttimes.gov.au</w:t>
              </w:r>
            </w:hyperlink>
            <w:r w:rsidR="00366F36" w:rsidRPr="00366F36">
              <w:rPr>
                <w:sz w:val="22"/>
                <w:szCs w:val="22"/>
              </w:rPr>
              <w:t>.</w:t>
            </w:r>
            <w:r w:rsidRPr="00366F36">
              <w:rPr>
                <w:sz w:val="22"/>
                <w:szCs w:val="22"/>
              </w:rPr>
              <w:t xml:space="preserve"> The</w:t>
            </w:r>
            <w:r w:rsidRPr="009B1E5D">
              <w:rPr>
                <w:sz w:val="22"/>
                <w:szCs w:val="22"/>
              </w:rPr>
              <w:t xml:space="preserve"> report must be completed using prescribed </w:t>
            </w:r>
            <w:r w:rsidR="00B7193D" w:rsidRPr="009B1E5D">
              <w:rPr>
                <w:sz w:val="22"/>
                <w:szCs w:val="22"/>
              </w:rPr>
              <w:t>data fields</w:t>
            </w:r>
            <w:r w:rsidRPr="009B1E5D">
              <w:rPr>
                <w:sz w:val="22"/>
                <w:szCs w:val="22"/>
              </w:rPr>
              <w:t xml:space="preserve"> </w:t>
            </w:r>
            <w:r w:rsidR="002B62D1" w:rsidRPr="009B1E5D">
              <w:rPr>
                <w:sz w:val="22"/>
                <w:szCs w:val="22"/>
              </w:rPr>
              <w:t xml:space="preserve">that </w:t>
            </w:r>
            <w:r w:rsidR="00232B6A" w:rsidRPr="009B1E5D">
              <w:rPr>
                <w:sz w:val="22"/>
                <w:szCs w:val="22"/>
              </w:rPr>
              <w:t>align</w:t>
            </w:r>
            <w:r w:rsidRPr="009B1E5D">
              <w:rPr>
                <w:sz w:val="22"/>
                <w:szCs w:val="22"/>
              </w:rPr>
              <w:t xml:space="preserve"> </w:t>
            </w:r>
            <w:r w:rsidR="00251D42" w:rsidRPr="009B1E5D">
              <w:rPr>
                <w:sz w:val="22"/>
                <w:szCs w:val="22"/>
              </w:rPr>
              <w:t>with the entity’s specific circumstances</w:t>
            </w:r>
            <w:r w:rsidRPr="009B1E5D">
              <w:rPr>
                <w:sz w:val="22"/>
                <w:szCs w:val="22"/>
              </w:rPr>
              <w:t xml:space="preserve"> </w:t>
            </w:r>
            <w:r w:rsidR="006C08A3" w:rsidRPr="009B1E5D">
              <w:rPr>
                <w:sz w:val="22"/>
                <w:szCs w:val="22"/>
              </w:rPr>
              <w:t>and</w:t>
            </w:r>
            <w:r w:rsidRPr="009B1E5D">
              <w:rPr>
                <w:sz w:val="22"/>
                <w:szCs w:val="22"/>
              </w:rPr>
              <w:t xml:space="preserve"> the type of report </w:t>
            </w:r>
            <w:r w:rsidR="00B02C8C" w:rsidRPr="009B1E5D">
              <w:rPr>
                <w:sz w:val="22"/>
                <w:szCs w:val="22"/>
              </w:rPr>
              <w:t xml:space="preserve">it needs to </w:t>
            </w:r>
            <w:r w:rsidRPr="009B1E5D">
              <w:rPr>
                <w:sz w:val="22"/>
                <w:szCs w:val="22"/>
              </w:rPr>
              <w:t>submit.</w:t>
            </w:r>
          </w:p>
          <w:p w14:paraId="6AEECC8E" w14:textId="105A04F1" w:rsidR="004B1D71" w:rsidRPr="004B1D71" w:rsidRDefault="001E1832" w:rsidP="00AC7B13">
            <w:pPr>
              <w:jc w:val="left"/>
              <w:rPr>
                <w:sz w:val="22"/>
                <w:szCs w:val="22"/>
              </w:rPr>
            </w:pPr>
            <w:r w:rsidRPr="009B1E5D">
              <w:rPr>
                <w:sz w:val="22"/>
                <w:szCs w:val="22"/>
              </w:rPr>
              <w:t xml:space="preserve">This document contains the various </w:t>
            </w:r>
            <w:r w:rsidR="004B1D71" w:rsidRPr="009B1E5D">
              <w:rPr>
                <w:sz w:val="22"/>
                <w:szCs w:val="22"/>
              </w:rPr>
              <w:t xml:space="preserve">fields </w:t>
            </w:r>
            <w:r w:rsidRPr="009B1E5D">
              <w:rPr>
                <w:sz w:val="22"/>
                <w:szCs w:val="22"/>
              </w:rPr>
              <w:t>for the different type of reports that may be used by entities.</w:t>
            </w:r>
          </w:p>
        </w:tc>
      </w:tr>
    </w:tbl>
    <w:p w14:paraId="01B93FED" w14:textId="77777777" w:rsidR="001E1832" w:rsidRPr="004218EB" w:rsidRDefault="001E1832" w:rsidP="001E1832"/>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0"/>
      </w:tblGrid>
      <w:tr w:rsidR="001E1832" w14:paraId="032907DE" w14:textId="77777777">
        <w:tc>
          <w:tcPr>
            <w:tcW w:w="5000" w:type="pct"/>
            <w:shd w:val="clear" w:color="auto" w:fill="FEF2E4" w:themeFill="accent5"/>
          </w:tcPr>
          <w:p w14:paraId="3AD61D32" w14:textId="3A2244E7" w:rsidR="001E1832" w:rsidRPr="000553FE" w:rsidRDefault="004B1D71">
            <w:pPr>
              <w:pStyle w:val="BoxHeading"/>
              <w:rPr>
                <w:b w:val="0"/>
              </w:rPr>
            </w:pPr>
            <w:r>
              <w:t>Important Note</w:t>
            </w:r>
            <w:r w:rsidR="00AD5EE2">
              <w:t xml:space="preserve"> </w:t>
            </w:r>
            <w:r w:rsidR="003362C3">
              <w:t>about this interim guidance</w:t>
            </w:r>
          </w:p>
          <w:p w14:paraId="0340466D" w14:textId="4E0D24F5" w:rsidR="005F5B72" w:rsidRDefault="008D71E0" w:rsidP="004B1D71">
            <w:pPr>
              <w:pStyle w:val="BoxText"/>
            </w:pPr>
            <w:r>
              <w:t xml:space="preserve">This December 2024 document serves as an initial guide to help entities understand the reporting fields required for payment times reports </w:t>
            </w:r>
            <w:r w:rsidR="003423D6">
              <w:t xml:space="preserve">for reporting periods </w:t>
            </w:r>
            <w:r>
              <w:t>starting on or after 1 July 2024.</w:t>
            </w:r>
            <w:r w:rsidR="004B1D71">
              <w:t xml:space="preserve"> </w:t>
            </w:r>
          </w:p>
          <w:p w14:paraId="1EE563DF" w14:textId="6723F593" w:rsidR="004B1D71" w:rsidRDefault="004B1D71" w:rsidP="004B1D71">
            <w:pPr>
              <w:pStyle w:val="BoxText"/>
            </w:pPr>
            <w:r>
              <w:t xml:space="preserve">Please note that </w:t>
            </w:r>
            <w:r w:rsidR="003423D6">
              <w:t xml:space="preserve">the material in </w:t>
            </w:r>
            <w:r>
              <w:t xml:space="preserve">this document </w:t>
            </w:r>
            <w:r w:rsidR="0088264C">
              <w:t>provides an early indication of the reporting fields. The inform</w:t>
            </w:r>
            <w:r w:rsidR="00354125">
              <w:t xml:space="preserve">ation </w:t>
            </w:r>
            <w:r>
              <w:t>is not yet final or comprehensive.</w:t>
            </w:r>
          </w:p>
          <w:p w14:paraId="503223CB" w14:textId="72D2F789" w:rsidR="004B1D71" w:rsidRDefault="004B1D71" w:rsidP="004B1D71">
            <w:pPr>
              <w:pStyle w:val="BoxText"/>
            </w:pPr>
            <w:r>
              <w:t>An updated version of this document will be released early in the new year</w:t>
            </w:r>
            <w:r w:rsidR="00354125">
              <w:t>. It</w:t>
            </w:r>
            <w:r>
              <w:t xml:space="preserve"> will include:</w:t>
            </w:r>
          </w:p>
          <w:p w14:paraId="7D81C158" w14:textId="45A4BCDE" w:rsidR="004B1D71" w:rsidRDefault="004B1D71" w:rsidP="00FD478A">
            <w:pPr>
              <w:pStyle w:val="Bullet"/>
              <w:tabs>
                <w:tab w:val="clear" w:pos="1020"/>
                <w:tab w:val="num" w:pos="737"/>
              </w:tabs>
              <w:ind w:hanging="741"/>
            </w:pPr>
            <w:r>
              <w:t>additional guidance on the report submission process</w:t>
            </w:r>
            <w:r w:rsidR="00FD478A">
              <w:t>,</w:t>
            </w:r>
            <w:r w:rsidR="005F5B72">
              <w:t xml:space="preserve"> and</w:t>
            </w:r>
          </w:p>
          <w:p w14:paraId="75E33E68" w14:textId="76621F8B" w:rsidR="004B1D71" w:rsidRDefault="004B1D71" w:rsidP="00FD478A">
            <w:pPr>
              <w:pStyle w:val="Bullet"/>
              <w:tabs>
                <w:tab w:val="clear" w:pos="1020"/>
                <w:tab w:val="num" w:pos="737"/>
              </w:tabs>
              <w:ind w:hanging="741"/>
            </w:pPr>
            <w:r>
              <w:t xml:space="preserve">expanded guidance and validation </w:t>
            </w:r>
            <w:r w:rsidR="00354125">
              <w:t>details</w:t>
            </w:r>
            <w:r>
              <w:t xml:space="preserve"> for each reporting field</w:t>
            </w:r>
            <w:r w:rsidR="005F5B72">
              <w:t>.</w:t>
            </w:r>
          </w:p>
          <w:p w14:paraId="5FDB8277" w14:textId="71932542" w:rsidR="001E1832" w:rsidRPr="008950C5" w:rsidRDefault="004B1D71" w:rsidP="00A85894">
            <w:pPr>
              <w:pStyle w:val="Bullet"/>
              <w:numPr>
                <w:ilvl w:val="0"/>
                <w:numId w:val="0"/>
              </w:numPr>
            </w:pPr>
            <w:r>
              <w:t xml:space="preserve">A separate worked example document will also be provided to </w:t>
            </w:r>
            <w:r w:rsidR="00FD478A">
              <w:t>help</w:t>
            </w:r>
            <w:r>
              <w:t xml:space="preserve"> entities complet</w:t>
            </w:r>
            <w:r w:rsidR="00FD478A">
              <w:t>e</w:t>
            </w:r>
            <w:r>
              <w:t xml:space="preserve"> their reports.</w:t>
            </w:r>
          </w:p>
        </w:tc>
      </w:tr>
    </w:tbl>
    <w:p w14:paraId="759AA6C4" w14:textId="77777777" w:rsidR="00F836F9" w:rsidRPr="0050375C" w:rsidRDefault="00F836F9" w:rsidP="0050375C"/>
    <w:p w14:paraId="48FCA9E2" w14:textId="77777777" w:rsidR="0050375C" w:rsidRPr="0050375C" w:rsidRDefault="0050375C" w:rsidP="0050375C">
      <w:pPr>
        <w:sectPr w:rsidR="0050375C" w:rsidRPr="0050375C" w:rsidSect="00917E28">
          <w:footerReference w:type="default" r:id="rId10"/>
          <w:pgSz w:w="11906" w:h="16838" w:code="9"/>
          <w:pgMar w:top="1418" w:right="1418" w:bottom="1418" w:left="1418" w:header="709" w:footer="709" w:gutter="0"/>
          <w:pgNumType w:fmt="lowerRoman" w:start="0"/>
          <w:cols w:space="708"/>
          <w:titlePg/>
          <w:docGrid w:linePitch="360"/>
        </w:sectPr>
      </w:pPr>
    </w:p>
    <w:p w14:paraId="200E2689" w14:textId="77777777" w:rsidR="000E0B74" w:rsidRDefault="000E0B74" w:rsidP="001F1B27">
      <w:pPr>
        <w:pStyle w:val="Heading1"/>
      </w:pPr>
      <w:bookmarkStart w:id="0" w:name="_Toc184842610"/>
      <w:r w:rsidRPr="001F1B27">
        <w:lastRenderedPageBreak/>
        <w:t>Contents</w:t>
      </w:r>
      <w:bookmarkEnd w:id="0"/>
    </w:p>
    <w:bookmarkStart w:id="1" w:name="_Toc432067103"/>
    <w:bookmarkStart w:id="2" w:name="_Toc452635030"/>
    <w:p w14:paraId="7FBFB399" w14:textId="20D162F8" w:rsidR="00A93452" w:rsidRDefault="002B5EC8">
      <w:pPr>
        <w:pStyle w:val="TOC1"/>
        <w:rPr>
          <w:rFonts w:asciiTheme="minorHAnsi" w:eastAsiaTheme="minorEastAsia" w:hAnsiTheme="minorHAnsi" w:cstheme="minorBidi"/>
          <w:b w:val="0"/>
          <w:color w:val="auto"/>
          <w:kern w:val="2"/>
          <w14:ligatures w14:val="standardContextual"/>
        </w:rPr>
      </w:pPr>
      <w:r>
        <w:rPr>
          <w:b w:val="0"/>
          <w:color w:val="004A7F"/>
        </w:rPr>
        <w:fldChar w:fldCharType="begin"/>
      </w:r>
      <w:r>
        <w:rPr>
          <w:b w:val="0"/>
          <w:color w:val="004A7F"/>
        </w:rPr>
        <w:instrText xml:space="preserve"> TOC \o "1-3" \h \z \u </w:instrText>
      </w:r>
      <w:r>
        <w:rPr>
          <w:b w:val="0"/>
          <w:color w:val="004A7F"/>
        </w:rPr>
        <w:fldChar w:fldCharType="separate"/>
      </w:r>
      <w:hyperlink w:anchor="_Toc184842610" w:history="1">
        <w:r w:rsidR="00A93452" w:rsidRPr="000244E3">
          <w:rPr>
            <w:rStyle w:val="Hyperlink"/>
          </w:rPr>
          <w:t>Contents</w:t>
        </w:r>
        <w:r w:rsidR="00A93452">
          <w:rPr>
            <w:webHidden/>
          </w:rPr>
          <w:tab/>
        </w:r>
        <w:r w:rsidR="00A93452">
          <w:rPr>
            <w:webHidden/>
          </w:rPr>
          <w:fldChar w:fldCharType="begin"/>
        </w:r>
        <w:r w:rsidR="00A93452">
          <w:rPr>
            <w:webHidden/>
          </w:rPr>
          <w:instrText xml:space="preserve"> PAGEREF _Toc184842610 \h </w:instrText>
        </w:r>
        <w:r w:rsidR="00A93452">
          <w:rPr>
            <w:webHidden/>
          </w:rPr>
        </w:r>
        <w:r w:rsidR="00A93452">
          <w:rPr>
            <w:webHidden/>
          </w:rPr>
          <w:fldChar w:fldCharType="separate"/>
        </w:r>
        <w:r w:rsidR="00A93452">
          <w:rPr>
            <w:webHidden/>
          </w:rPr>
          <w:t>ii</w:t>
        </w:r>
        <w:r w:rsidR="00A93452">
          <w:rPr>
            <w:webHidden/>
          </w:rPr>
          <w:fldChar w:fldCharType="end"/>
        </w:r>
      </w:hyperlink>
    </w:p>
    <w:p w14:paraId="7859FA67" w14:textId="7CFE7611" w:rsidR="00A93452" w:rsidRDefault="00E42639">
      <w:pPr>
        <w:pStyle w:val="TOC1"/>
        <w:rPr>
          <w:rFonts w:asciiTheme="minorHAnsi" w:eastAsiaTheme="minorEastAsia" w:hAnsiTheme="minorHAnsi" w:cstheme="minorBidi"/>
          <w:b w:val="0"/>
          <w:color w:val="auto"/>
          <w:kern w:val="2"/>
          <w14:ligatures w14:val="standardContextual"/>
        </w:rPr>
      </w:pPr>
      <w:hyperlink w:anchor="_Toc184842611" w:history="1">
        <w:r w:rsidR="00A93452" w:rsidRPr="000244E3">
          <w:rPr>
            <w:rStyle w:val="Hyperlink"/>
          </w:rPr>
          <w:t>Datasets</w:t>
        </w:r>
        <w:r w:rsidR="00A93452">
          <w:rPr>
            <w:webHidden/>
          </w:rPr>
          <w:tab/>
        </w:r>
        <w:r w:rsidR="00A93452">
          <w:rPr>
            <w:webHidden/>
          </w:rPr>
          <w:fldChar w:fldCharType="begin"/>
        </w:r>
        <w:r w:rsidR="00A93452">
          <w:rPr>
            <w:webHidden/>
          </w:rPr>
          <w:instrText xml:space="preserve"> PAGEREF _Toc184842611 \h </w:instrText>
        </w:r>
        <w:r w:rsidR="00A93452">
          <w:rPr>
            <w:webHidden/>
          </w:rPr>
        </w:r>
        <w:r w:rsidR="00A93452">
          <w:rPr>
            <w:webHidden/>
          </w:rPr>
          <w:fldChar w:fldCharType="separate"/>
        </w:r>
        <w:r w:rsidR="00A93452">
          <w:rPr>
            <w:webHidden/>
          </w:rPr>
          <w:t>3</w:t>
        </w:r>
        <w:r w:rsidR="00A93452">
          <w:rPr>
            <w:webHidden/>
          </w:rPr>
          <w:fldChar w:fldCharType="end"/>
        </w:r>
      </w:hyperlink>
    </w:p>
    <w:p w14:paraId="2EE82B25" w14:textId="5B848697" w:rsidR="00A93452" w:rsidRDefault="00E42639">
      <w:pPr>
        <w:pStyle w:val="TOC1"/>
        <w:rPr>
          <w:rFonts w:asciiTheme="minorHAnsi" w:eastAsiaTheme="minorEastAsia" w:hAnsiTheme="minorHAnsi" w:cstheme="minorBidi"/>
          <w:b w:val="0"/>
          <w:color w:val="auto"/>
          <w:kern w:val="2"/>
          <w14:ligatures w14:val="standardContextual"/>
        </w:rPr>
      </w:pPr>
      <w:hyperlink w:anchor="_Toc184842612" w:history="1">
        <w:r w:rsidR="00A93452" w:rsidRPr="000244E3">
          <w:rPr>
            <w:rStyle w:val="Hyperlink"/>
          </w:rPr>
          <w:t>Types of payment times reports</w:t>
        </w:r>
        <w:r w:rsidR="00A93452">
          <w:rPr>
            <w:webHidden/>
          </w:rPr>
          <w:tab/>
        </w:r>
        <w:r w:rsidR="00A93452">
          <w:rPr>
            <w:webHidden/>
          </w:rPr>
          <w:fldChar w:fldCharType="begin"/>
        </w:r>
        <w:r w:rsidR="00A93452">
          <w:rPr>
            <w:webHidden/>
          </w:rPr>
          <w:instrText xml:space="preserve"> PAGEREF _Toc184842612 \h </w:instrText>
        </w:r>
        <w:r w:rsidR="00A93452">
          <w:rPr>
            <w:webHidden/>
          </w:rPr>
        </w:r>
        <w:r w:rsidR="00A93452">
          <w:rPr>
            <w:webHidden/>
          </w:rPr>
          <w:fldChar w:fldCharType="separate"/>
        </w:r>
        <w:r w:rsidR="00A93452">
          <w:rPr>
            <w:webHidden/>
          </w:rPr>
          <w:t>3</w:t>
        </w:r>
        <w:r w:rsidR="00A93452">
          <w:rPr>
            <w:webHidden/>
          </w:rPr>
          <w:fldChar w:fldCharType="end"/>
        </w:r>
      </w:hyperlink>
    </w:p>
    <w:p w14:paraId="1BCBE94F" w14:textId="0EEBA70E" w:rsidR="00A93452" w:rsidRDefault="00E42639">
      <w:pPr>
        <w:pStyle w:val="TOC2"/>
        <w:rPr>
          <w:rFonts w:asciiTheme="minorHAnsi" w:eastAsiaTheme="minorEastAsia" w:hAnsiTheme="minorHAnsi" w:cstheme="minorBidi"/>
          <w:color w:val="auto"/>
          <w:kern w:val="2"/>
          <w:szCs w:val="22"/>
          <w14:ligatures w14:val="standardContextual"/>
        </w:rPr>
      </w:pPr>
      <w:hyperlink w:anchor="_Toc184842613" w:history="1">
        <w:r w:rsidR="00A93452" w:rsidRPr="000244E3">
          <w:rPr>
            <w:rStyle w:val="Hyperlink"/>
          </w:rPr>
          <w:t>Report types included in this document</w:t>
        </w:r>
        <w:r w:rsidR="00A93452">
          <w:rPr>
            <w:webHidden/>
          </w:rPr>
          <w:tab/>
        </w:r>
        <w:r w:rsidR="00A93452">
          <w:rPr>
            <w:webHidden/>
          </w:rPr>
          <w:fldChar w:fldCharType="begin"/>
        </w:r>
        <w:r w:rsidR="00A93452">
          <w:rPr>
            <w:webHidden/>
          </w:rPr>
          <w:instrText xml:space="preserve"> PAGEREF _Toc184842613 \h </w:instrText>
        </w:r>
        <w:r w:rsidR="00A93452">
          <w:rPr>
            <w:webHidden/>
          </w:rPr>
        </w:r>
        <w:r w:rsidR="00A93452">
          <w:rPr>
            <w:webHidden/>
          </w:rPr>
          <w:fldChar w:fldCharType="separate"/>
        </w:r>
        <w:r w:rsidR="00A93452">
          <w:rPr>
            <w:webHidden/>
          </w:rPr>
          <w:t>3</w:t>
        </w:r>
        <w:r w:rsidR="00A93452">
          <w:rPr>
            <w:webHidden/>
          </w:rPr>
          <w:fldChar w:fldCharType="end"/>
        </w:r>
      </w:hyperlink>
    </w:p>
    <w:p w14:paraId="78C23E62" w14:textId="2BFD5FD2" w:rsidR="00A93452" w:rsidRDefault="00E42639">
      <w:pPr>
        <w:pStyle w:val="TOC3"/>
        <w:rPr>
          <w:rFonts w:asciiTheme="minorHAnsi" w:eastAsiaTheme="minorEastAsia" w:hAnsiTheme="minorHAnsi" w:cstheme="minorBidi"/>
          <w:color w:val="auto"/>
          <w:kern w:val="2"/>
          <w:szCs w:val="22"/>
          <w14:ligatures w14:val="standardContextual"/>
        </w:rPr>
      </w:pPr>
      <w:hyperlink w:anchor="_Toc184842614" w:history="1">
        <w:r w:rsidR="00A93452" w:rsidRPr="000244E3">
          <w:rPr>
            <w:rStyle w:val="Hyperlink"/>
          </w:rPr>
          <w:t>Standard Payment Times Report</w:t>
        </w:r>
        <w:r w:rsidR="00A93452">
          <w:rPr>
            <w:webHidden/>
          </w:rPr>
          <w:tab/>
        </w:r>
        <w:r w:rsidR="00A93452">
          <w:rPr>
            <w:webHidden/>
          </w:rPr>
          <w:fldChar w:fldCharType="begin"/>
        </w:r>
        <w:r w:rsidR="00A93452">
          <w:rPr>
            <w:webHidden/>
          </w:rPr>
          <w:instrText xml:space="preserve"> PAGEREF _Toc184842614 \h </w:instrText>
        </w:r>
        <w:r w:rsidR="00A93452">
          <w:rPr>
            <w:webHidden/>
          </w:rPr>
        </w:r>
        <w:r w:rsidR="00A93452">
          <w:rPr>
            <w:webHidden/>
          </w:rPr>
          <w:fldChar w:fldCharType="separate"/>
        </w:r>
        <w:r w:rsidR="00A93452">
          <w:rPr>
            <w:webHidden/>
          </w:rPr>
          <w:t>4</w:t>
        </w:r>
        <w:r w:rsidR="00A93452">
          <w:rPr>
            <w:webHidden/>
          </w:rPr>
          <w:fldChar w:fldCharType="end"/>
        </w:r>
      </w:hyperlink>
    </w:p>
    <w:p w14:paraId="4EE028C4" w14:textId="466DDF25" w:rsidR="00A93452" w:rsidRDefault="00E42639">
      <w:pPr>
        <w:pStyle w:val="TOC3"/>
        <w:rPr>
          <w:rFonts w:asciiTheme="minorHAnsi" w:eastAsiaTheme="minorEastAsia" w:hAnsiTheme="minorHAnsi" w:cstheme="minorBidi"/>
          <w:color w:val="auto"/>
          <w:kern w:val="2"/>
          <w:szCs w:val="22"/>
          <w14:ligatures w14:val="standardContextual"/>
        </w:rPr>
      </w:pPr>
      <w:hyperlink w:anchor="_Toc184842615" w:history="1">
        <w:r w:rsidR="00A93452" w:rsidRPr="000244E3">
          <w:rPr>
            <w:rStyle w:val="Hyperlink"/>
          </w:rPr>
          <w:t>Modified Report - AASB 8</w:t>
        </w:r>
        <w:r w:rsidR="00A93452">
          <w:rPr>
            <w:webHidden/>
          </w:rPr>
          <w:tab/>
        </w:r>
        <w:r w:rsidR="00A93452">
          <w:rPr>
            <w:webHidden/>
          </w:rPr>
          <w:fldChar w:fldCharType="begin"/>
        </w:r>
        <w:r w:rsidR="00A93452">
          <w:rPr>
            <w:webHidden/>
          </w:rPr>
          <w:instrText xml:space="preserve"> PAGEREF _Toc184842615 \h </w:instrText>
        </w:r>
        <w:r w:rsidR="00A93452">
          <w:rPr>
            <w:webHidden/>
          </w:rPr>
        </w:r>
        <w:r w:rsidR="00A93452">
          <w:rPr>
            <w:webHidden/>
          </w:rPr>
          <w:fldChar w:fldCharType="separate"/>
        </w:r>
        <w:r w:rsidR="00A93452">
          <w:rPr>
            <w:webHidden/>
          </w:rPr>
          <w:t>11</w:t>
        </w:r>
        <w:r w:rsidR="00A93452">
          <w:rPr>
            <w:webHidden/>
          </w:rPr>
          <w:fldChar w:fldCharType="end"/>
        </w:r>
      </w:hyperlink>
    </w:p>
    <w:p w14:paraId="0888C817" w14:textId="5FB1B039" w:rsidR="00A93452" w:rsidRDefault="00E42639">
      <w:pPr>
        <w:pStyle w:val="TOC3"/>
        <w:rPr>
          <w:rFonts w:asciiTheme="minorHAnsi" w:eastAsiaTheme="minorEastAsia" w:hAnsiTheme="minorHAnsi" w:cstheme="minorBidi"/>
          <w:color w:val="auto"/>
          <w:kern w:val="2"/>
          <w:szCs w:val="22"/>
          <w14:ligatures w14:val="standardContextual"/>
        </w:rPr>
      </w:pPr>
      <w:hyperlink w:anchor="_Toc184842616" w:history="1">
        <w:r w:rsidR="00A93452" w:rsidRPr="000244E3">
          <w:rPr>
            <w:rStyle w:val="Hyperlink"/>
          </w:rPr>
          <w:t>Modified Report – Nil reporter</w:t>
        </w:r>
        <w:r w:rsidR="00A93452">
          <w:rPr>
            <w:webHidden/>
          </w:rPr>
          <w:tab/>
        </w:r>
        <w:r w:rsidR="00A93452">
          <w:rPr>
            <w:webHidden/>
          </w:rPr>
          <w:fldChar w:fldCharType="begin"/>
        </w:r>
        <w:r w:rsidR="00A93452">
          <w:rPr>
            <w:webHidden/>
          </w:rPr>
          <w:instrText xml:space="preserve"> PAGEREF _Toc184842616 \h </w:instrText>
        </w:r>
        <w:r w:rsidR="00A93452">
          <w:rPr>
            <w:webHidden/>
          </w:rPr>
        </w:r>
        <w:r w:rsidR="00A93452">
          <w:rPr>
            <w:webHidden/>
          </w:rPr>
          <w:fldChar w:fldCharType="separate"/>
        </w:r>
        <w:r w:rsidR="00A93452">
          <w:rPr>
            <w:webHidden/>
          </w:rPr>
          <w:t>23</w:t>
        </w:r>
        <w:r w:rsidR="00A93452">
          <w:rPr>
            <w:webHidden/>
          </w:rPr>
          <w:fldChar w:fldCharType="end"/>
        </w:r>
      </w:hyperlink>
    </w:p>
    <w:p w14:paraId="0270C884" w14:textId="1F8E27C8" w:rsidR="00A93452" w:rsidRDefault="00E42639">
      <w:pPr>
        <w:pStyle w:val="TOC3"/>
        <w:rPr>
          <w:rFonts w:asciiTheme="minorHAnsi" w:eastAsiaTheme="minorEastAsia" w:hAnsiTheme="minorHAnsi" w:cstheme="minorBidi"/>
          <w:color w:val="auto"/>
          <w:kern w:val="2"/>
          <w:szCs w:val="22"/>
          <w14:ligatures w14:val="standardContextual"/>
        </w:rPr>
      </w:pPr>
      <w:hyperlink w:anchor="_Toc184842617" w:history="1">
        <w:r w:rsidR="00A93452" w:rsidRPr="000244E3">
          <w:rPr>
            <w:rStyle w:val="Hyperlink"/>
          </w:rPr>
          <w:t>Modified Report -  External administration</w:t>
        </w:r>
        <w:r w:rsidR="00A93452">
          <w:rPr>
            <w:webHidden/>
          </w:rPr>
          <w:tab/>
        </w:r>
        <w:r w:rsidR="00A93452">
          <w:rPr>
            <w:webHidden/>
          </w:rPr>
          <w:fldChar w:fldCharType="begin"/>
        </w:r>
        <w:r w:rsidR="00A93452">
          <w:rPr>
            <w:webHidden/>
          </w:rPr>
          <w:instrText xml:space="preserve"> PAGEREF _Toc184842617 \h </w:instrText>
        </w:r>
        <w:r w:rsidR="00A93452">
          <w:rPr>
            <w:webHidden/>
          </w:rPr>
        </w:r>
        <w:r w:rsidR="00A93452">
          <w:rPr>
            <w:webHidden/>
          </w:rPr>
          <w:fldChar w:fldCharType="separate"/>
        </w:r>
        <w:r w:rsidR="00A93452">
          <w:rPr>
            <w:webHidden/>
          </w:rPr>
          <w:t>25</w:t>
        </w:r>
        <w:r w:rsidR="00A93452">
          <w:rPr>
            <w:webHidden/>
          </w:rPr>
          <w:fldChar w:fldCharType="end"/>
        </w:r>
      </w:hyperlink>
    </w:p>
    <w:p w14:paraId="3BC91F3C" w14:textId="4C476C62" w:rsidR="00A93452" w:rsidRDefault="00E42639">
      <w:pPr>
        <w:pStyle w:val="TOC3"/>
        <w:rPr>
          <w:rFonts w:asciiTheme="minorHAnsi" w:eastAsiaTheme="minorEastAsia" w:hAnsiTheme="minorHAnsi" w:cstheme="minorBidi"/>
          <w:color w:val="auto"/>
          <w:kern w:val="2"/>
          <w:szCs w:val="22"/>
          <w14:ligatures w14:val="standardContextual"/>
        </w:rPr>
      </w:pPr>
      <w:hyperlink w:anchor="_Toc184842618" w:history="1">
        <w:r w:rsidR="00A93452" w:rsidRPr="000244E3">
          <w:rPr>
            <w:rStyle w:val="Hyperlink"/>
          </w:rPr>
          <w:t>Modified Report – Nominated entity</w:t>
        </w:r>
        <w:r w:rsidR="00A93452">
          <w:rPr>
            <w:webHidden/>
          </w:rPr>
          <w:tab/>
        </w:r>
        <w:r w:rsidR="00A93452">
          <w:rPr>
            <w:webHidden/>
          </w:rPr>
          <w:fldChar w:fldCharType="begin"/>
        </w:r>
        <w:r w:rsidR="00A93452">
          <w:rPr>
            <w:webHidden/>
          </w:rPr>
          <w:instrText xml:space="preserve"> PAGEREF _Toc184842618 \h </w:instrText>
        </w:r>
        <w:r w:rsidR="00A93452">
          <w:rPr>
            <w:webHidden/>
          </w:rPr>
        </w:r>
        <w:r w:rsidR="00A93452">
          <w:rPr>
            <w:webHidden/>
          </w:rPr>
          <w:fldChar w:fldCharType="separate"/>
        </w:r>
        <w:r w:rsidR="00A93452">
          <w:rPr>
            <w:webHidden/>
          </w:rPr>
          <w:t>28</w:t>
        </w:r>
        <w:r w:rsidR="00A93452">
          <w:rPr>
            <w:webHidden/>
          </w:rPr>
          <w:fldChar w:fldCharType="end"/>
        </w:r>
      </w:hyperlink>
    </w:p>
    <w:p w14:paraId="779D3024" w14:textId="2DC00BE1" w:rsidR="00976FBD" w:rsidRDefault="002B5EC8" w:rsidP="001F5FF9">
      <w:pPr>
        <w:pStyle w:val="SingleParagraph"/>
        <w:ind w:right="-2"/>
      </w:pPr>
      <w:r>
        <w:rPr>
          <w:b/>
          <w:noProof/>
          <w:color w:val="004A7F"/>
          <w:szCs w:val="22"/>
        </w:rPr>
        <w:fldChar w:fldCharType="end"/>
      </w:r>
    </w:p>
    <w:p w14:paraId="644CBFB3" w14:textId="77777777" w:rsidR="00F836F9" w:rsidRDefault="00F836F9" w:rsidP="0056582C">
      <w:pPr>
        <w:pStyle w:val="SingleParagraph"/>
        <w:ind w:right="-2"/>
        <w:sectPr w:rsidR="00F836F9" w:rsidSect="003C24B4">
          <w:headerReference w:type="even" r:id="rId11"/>
          <w:headerReference w:type="default" r:id="rId12"/>
          <w:footerReference w:type="even" r:id="rId13"/>
          <w:headerReference w:type="first" r:id="rId14"/>
          <w:footerReference w:type="first" r:id="rId15"/>
          <w:pgSz w:w="11906" w:h="16838" w:code="9"/>
          <w:pgMar w:top="1418" w:right="1418" w:bottom="1418" w:left="1418" w:header="709" w:footer="709" w:gutter="0"/>
          <w:pgNumType w:fmt="lowerRoman"/>
          <w:cols w:space="708"/>
          <w:docGrid w:linePitch="360"/>
        </w:sectPr>
      </w:pPr>
    </w:p>
    <w:p w14:paraId="60AEA91C" w14:textId="5E4237A0" w:rsidR="00444687" w:rsidRDefault="00444687" w:rsidP="001A143A">
      <w:pPr>
        <w:pStyle w:val="Heading1"/>
        <w:spacing w:before="120"/>
      </w:pPr>
      <w:bookmarkStart w:id="3" w:name="_Toc184842611"/>
      <w:bookmarkEnd w:id="1"/>
      <w:bookmarkEnd w:id="2"/>
      <w:r>
        <w:lastRenderedPageBreak/>
        <w:t>Datasets</w:t>
      </w:r>
      <w:bookmarkEnd w:id="3"/>
    </w:p>
    <w:p w14:paraId="2F02B7B4" w14:textId="2CEF33AD" w:rsidR="00CD0381" w:rsidRPr="009B1E5D" w:rsidRDefault="000952A6" w:rsidP="00CD0381">
      <w:pPr>
        <w:rPr>
          <w:szCs w:val="22"/>
        </w:rPr>
      </w:pPr>
      <w:r>
        <w:rPr>
          <w:szCs w:val="22"/>
        </w:rPr>
        <w:t>R</w:t>
      </w:r>
      <w:r w:rsidR="00941324" w:rsidRPr="009B1E5D">
        <w:rPr>
          <w:szCs w:val="22"/>
        </w:rPr>
        <w:t xml:space="preserve">eporting field descriptions </w:t>
      </w:r>
      <w:r w:rsidR="00CD0381" w:rsidRPr="009B1E5D">
        <w:rPr>
          <w:szCs w:val="22"/>
        </w:rPr>
        <w:t xml:space="preserve">in this document contain references to a </w:t>
      </w:r>
      <w:r w:rsidR="00400E64" w:rsidRPr="009B1E5D">
        <w:rPr>
          <w:szCs w:val="22"/>
        </w:rPr>
        <w:t>‘</w:t>
      </w:r>
      <w:r w:rsidR="00CD0381" w:rsidRPr="009B1E5D">
        <w:rPr>
          <w:b/>
          <w:szCs w:val="22"/>
        </w:rPr>
        <w:t>TCP Dataset</w:t>
      </w:r>
      <w:r w:rsidR="00400E64" w:rsidRPr="009B1E5D">
        <w:rPr>
          <w:szCs w:val="22"/>
        </w:rPr>
        <w:t>’</w:t>
      </w:r>
      <w:r w:rsidR="00CD0381" w:rsidRPr="009B1E5D">
        <w:rPr>
          <w:szCs w:val="22"/>
        </w:rPr>
        <w:t xml:space="preserve"> and a</w:t>
      </w:r>
      <w:r>
        <w:rPr>
          <w:szCs w:val="22"/>
        </w:rPr>
        <w:t>n</w:t>
      </w:r>
      <w:r w:rsidR="00CD0381" w:rsidRPr="009B1E5D">
        <w:rPr>
          <w:szCs w:val="22"/>
        </w:rPr>
        <w:t xml:space="preserve"> </w:t>
      </w:r>
      <w:r w:rsidR="00400E64" w:rsidRPr="009B1E5D">
        <w:rPr>
          <w:szCs w:val="22"/>
        </w:rPr>
        <w:t>‘</w:t>
      </w:r>
      <w:r w:rsidR="00761A6E" w:rsidRPr="009B1E5D">
        <w:rPr>
          <w:b/>
          <w:szCs w:val="22"/>
        </w:rPr>
        <w:t>SBTCP Dataset</w:t>
      </w:r>
      <w:r w:rsidR="00400E64" w:rsidRPr="009B1E5D">
        <w:rPr>
          <w:szCs w:val="22"/>
        </w:rPr>
        <w:t>’</w:t>
      </w:r>
      <w:r w:rsidR="00CD0381" w:rsidRPr="009B1E5D">
        <w:rPr>
          <w:szCs w:val="22"/>
        </w:rPr>
        <w:t>. These terms are explained below.</w:t>
      </w:r>
    </w:p>
    <w:p w14:paraId="53EE2CAF" w14:textId="3C556EFD" w:rsidR="00CD0381" w:rsidRPr="009B1E5D" w:rsidRDefault="00580387" w:rsidP="00CD0381">
      <w:pPr>
        <w:rPr>
          <w:szCs w:val="22"/>
        </w:rPr>
      </w:pPr>
      <w:r>
        <w:rPr>
          <w:szCs w:val="22"/>
        </w:rPr>
        <w:t>T</w:t>
      </w:r>
      <w:r w:rsidR="00CD0381" w:rsidRPr="009B1E5D">
        <w:rPr>
          <w:szCs w:val="22"/>
        </w:rPr>
        <w:t>o prepare a report and meet relevant content requirements, a reporting entity will generally need to compile a dataset of payments, referred to as the Trade Credit Payments Dataset (</w:t>
      </w:r>
      <w:r w:rsidR="00CD0381" w:rsidRPr="009B1E5D">
        <w:rPr>
          <w:b/>
          <w:szCs w:val="22"/>
        </w:rPr>
        <w:t>TCP Dataset</w:t>
      </w:r>
      <w:r w:rsidR="00CD0381" w:rsidRPr="009B1E5D">
        <w:rPr>
          <w:szCs w:val="22"/>
        </w:rPr>
        <w:t>)</w:t>
      </w:r>
      <w:r w:rsidR="004F57F4">
        <w:rPr>
          <w:szCs w:val="22"/>
        </w:rPr>
        <w:t>. They</w:t>
      </w:r>
      <w:r w:rsidR="00DB4E69">
        <w:rPr>
          <w:szCs w:val="22"/>
        </w:rPr>
        <w:t xml:space="preserve"> will then use the TCP Dataset</w:t>
      </w:r>
      <w:r w:rsidR="00CD0381" w:rsidRPr="009B1E5D">
        <w:rPr>
          <w:szCs w:val="22"/>
        </w:rPr>
        <w:t xml:space="preserve"> to create a Small Business Trade Credit Payments Dataset (</w:t>
      </w:r>
      <w:r w:rsidR="00761A6E" w:rsidRPr="009B1E5D">
        <w:rPr>
          <w:b/>
          <w:szCs w:val="22"/>
        </w:rPr>
        <w:t>SBTCP Dataset</w:t>
      </w:r>
      <w:r w:rsidR="00CD0381" w:rsidRPr="009B1E5D">
        <w:rPr>
          <w:szCs w:val="22"/>
        </w:rPr>
        <w:t xml:space="preserve">) by running the ABNs from the TCP Dataset through the </w:t>
      </w:r>
      <w:r w:rsidR="00200FE0">
        <w:rPr>
          <w:szCs w:val="22"/>
        </w:rPr>
        <w:t>Small Business Identification Tool (</w:t>
      </w:r>
      <w:r w:rsidR="00CD0381" w:rsidRPr="009B1E5D">
        <w:rPr>
          <w:szCs w:val="22"/>
        </w:rPr>
        <w:t>SBI Tool</w:t>
      </w:r>
      <w:r w:rsidR="00200FE0">
        <w:rPr>
          <w:szCs w:val="22"/>
        </w:rPr>
        <w:t>)</w:t>
      </w:r>
      <w:r w:rsidR="00CD0381" w:rsidRPr="009B1E5D">
        <w:rPr>
          <w:szCs w:val="22"/>
        </w:rPr>
        <w:t>.</w:t>
      </w:r>
    </w:p>
    <w:p w14:paraId="5726F576" w14:textId="1D0E2436" w:rsidR="00CD0381" w:rsidRPr="009B1E5D" w:rsidRDefault="00CD0381" w:rsidP="00CD0381">
      <w:pPr>
        <w:rPr>
          <w:szCs w:val="22"/>
        </w:rPr>
      </w:pPr>
      <w:r w:rsidRPr="009B1E5D">
        <w:rPr>
          <w:szCs w:val="22"/>
        </w:rPr>
        <w:t xml:space="preserve">Reporting entities can develop </w:t>
      </w:r>
      <w:r w:rsidR="00441B23" w:rsidRPr="009B1E5D">
        <w:rPr>
          <w:szCs w:val="22"/>
        </w:rPr>
        <w:t>the TCP Dataset</w:t>
      </w:r>
      <w:r w:rsidRPr="009B1E5D">
        <w:rPr>
          <w:szCs w:val="22"/>
        </w:rPr>
        <w:t xml:space="preserve"> in a way that suits </w:t>
      </w:r>
      <w:r w:rsidR="005D392E" w:rsidRPr="009B1E5D">
        <w:rPr>
          <w:szCs w:val="22"/>
        </w:rPr>
        <w:t>their</w:t>
      </w:r>
      <w:r w:rsidRPr="009B1E5D">
        <w:rPr>
          <w:szCs w:val="22"/>
        </w:rPr>
        <w:t xml:space="preserve"> </w:t>
      </w:r>
      <w:r w:rsidR="00F36E6E">
        <w:rPr>
          <w:szCs w:val="22"/>
        </w:rPr>
        <w:t>needs</w:t>
      </w:r>
      <w:r w:rsidRPr="009B1E5D">
        <w:rPr>
          <w:szCs w:val="22"/>
        </w:rPr>
        <w:t xml:space="preserve">, </w:t>
      </w:r>
      <w:r w:rsidR="00D40767">
        <w:rPr>
          <w:szCs w:val="22"/>
        </w:rPr>
        <w:t>provided</w:t>
      </w:r>
      <w:r w:rsidRPr="009B1E5D">
        <w:rPr>
          <w:szCs w:val="22"/>
        </w:rPr>
        <w:t xml:space="preserve"> all required payments are accurately collected, classified and understood, and all </w:t>
      </w:r>
      <w:r w:rsidR="00D40767">
        <w:rPr>
          <w:szCs w:val="22"/>
        </w:rPr>
        <w:t>necessary</w:t>
      </w:r>
      <w:r w:rsidRPr="009B1E5D">
        <w:rPr>
          <w:szCs w:val="22"/>
        </w:rPr>
        <w:t xml:space="preserve"> details (as specified in </w:t>
      </w:r>
      <w:r w:rsidR="00476692" w:rsidRPr="009B1E5D">
        <w:rPr>
          <w:szCs w:val="22"/>
        </w:rPr>
        <w:t xml:space="preserve">the </w:t>
      </w:r>
      <w:r w:rsidR="00476692" w:rsidRPr="00F36E6E">
        <w:rPr>
          <w:szCs w:val="22"/>
        </w:rPr>
        <w:t>Payment</w:t>
      </w:r>
      <w:r w:rsidRPr="00F36E6E">
        <w:rPr>
          <w:szCs w:val="22"/>
        </w:rPr>
        <w:t xml:space="preserve"> Times Reporting Rules 2024</w:t>
      </w:r>
      <w:r w:rsidRPr="009B1E5D">
        <w:rPr>
          <w:szCs w:val="22"/>
        </w:rPr>
        <w:t xml:space="preserve">) are captured. </w:t>
      </w:r>
      <w:r w:rsidR="006A1AC9">
        <w:rPr>
          <w:szCs w:val="22"/>
        </w:rPr>
        <w:t xml:space="preserve">For this reason, </w:t>
      </w:r>
      <w:r w:rsidRPr="009B1E5D">
        <w:rPr>
          <w:szCs w:val="22"/>
        </w:rPr>
        <w:t xml:space="preserve">specific dataset templates </w:t>
      </w:r>
      <w:r w:rsidR="006A1AC9">
        <w:rPr>
          <w:szCs w:val="22"/>
        </w:rPr>
        <w:t>are</w:t>
      </w:r>
      <w:r w:rsidRPr="009B1E5D">
        <w:rPr>
          <w:szCs w:val="22"/>
        </w:rPr>
        <w:t xml:space="preserve"> not included in this document</w:t>
      </w:r>
      <w:r w:rsidR="00501088" w:rsidRPr="009B1E5D">
        <w:rPr>
          <w:szCs w:val="22"/>
        </w:rPr>
        <w:t>.</w:t>
      </w:r>
      <w:r w:rsidRPr="009B1E5D">
        <w:rPr>
          <w:szCs w:val="22"/>
        </w:rPr>
        <w:t xml:space="preserve"> </w:t>
      </w:r>
    </w:p>
    <w:p w14:paraId="2B6A8D4F" w14:textId="4E0032FD" w:rsidR="0041008C" w:rsidRPr="009B1E5D" w:rsidRDefault="00CD0381" w:rsidP="0041008C">
      <w:pPr>
        <w:rPr>
          <w:szCs w:val="22"/>
        </w:rPr>
      </w:pPr>
      <w:r w:rsidRPr="009B1E5D">
        <w:rPr>
          <w:szCs w:val="22"/>
        </w:rPr>
        <w:t>Datasets do not need to be submitted with payment times reports</w:t>
      </w:r>
      <w:r w:rsidR="00204801">
        <w:rPr>
          <w:szCs w:val="22"/>
        </w:rPr>
        <w:t xml:space="preserve"> but</w:t>
      </w:r>
      <w:r w:rsidRPr="009B1E5D">
        <w:rPr>
          <w:szCs w:val="22"/>
        </w:rPr>
        <w:t xml:space="preserve"> must be retained in </w:t>
      </w:r>
      <w:r w:rsidR="00204801">
        <w:rPr>
          <w:szCs w:val="22"/>
        </w:rPr>
        <w:t>line</w:t>
      </w:r>
      <w:r w:rsidRPr="009B1E5D">
        <w:rPr>
          <w:szCs w:val="22"/>
        </w:rPr>
        <w:t xml:space="preserve"> with record keeping requirements in the Act.</w:t>
      </w:r>
    </w:p>
    <w:p w14:paraId="6B109A13" w14:textId="3E6B4C55" w:rsidR="00227811" w:rsidRDefault="00204801" w:rsidP="0041008C">
      <w:pPr>
        <w:pStyle w:val="Heading1"/>
      </w:pPr>
      <w:bookmarkStart w:id="4" w:name="_Toc184842612"/>
      <w:r>
        <w:t xml:space="preserve">Types of </w:t>
      </w:r>
      <w:r w:rsidR="005B4201">
        <w:t>p</w:t>
      </w:r>
      <w:r w:rsidR="00227811">
        <w:t>ayment times report</w:t>
      </w:r>
      <w:r w:rsidR="005B4201">
        <w:t>s</w:t>
      </w:r>
      <w:bookmarkEnd w:id="4"/>
    </w:p>
    <w:p w14:paraId="76F3BEAA" w14:textId="465FD311" w:rsidR="00227811" w:rsidRDefault="005B4201" w:rsidP="00227811">
      <w:pPr>
        <w:pStyle w:val="Heading2"/>
      </w:pPr>
      <w:bookmarkStart w:id="5" w:name="_Toc184842613"/>
      <w:r>
        <w:t>R</w:t>
      </w:r>
      <w:r w:rsidR="00227811">
        <w:t>eport types included in this document</w:t>
      </w:r>
      <w:bookmarkEnd w:id="5"/>
    </w:p>
    <w:tbl>
      <w:tblPr>
        <w:tblStyle w:val="TableGrid"/>
        <w:tblW w:w="9098" w:type="dxa"/>
        <w:tblBorders>
          <w:top w:val="single" w:sz="12" w:space="0" w:color="002C47" w:themeColor="accent1"/>
          <w:left w:val="single" w:sz="12" w:space="0" w:color="002C47" w:themeColor="accent1"/>
          <w:bottom w:val="single" w:sz="12" w:space="0" w:color="002C47" w:themeColor="accent1"/>
          <w:right w:val="single" w:sz="12" w:space="0" w:color="002C47" w:themeColor="accent1"/>
          <w:insideH w:val="single" w:sz="12" w:space="0" w:color="002C47" w:themeColor="accent1"/>
          <w:insideV w:val="single" w:sz="12" w:space="0" w:color="002C47" w:themeColor="accent1"/>
        </w:tblBorders>
        <w:tblLook w:val="04A0" w:firstRow="1" w:lastRow="0" w:firstColumn="1" w:lastColumn="0" w:noHBand="0" w:noVBand="1"/>
      </w:tblPr>
      <w:tblGrid>
        <w:gridCol w:w="2253"/>
        <w:gridCol w:w="6845"/>
      </w:tblGrid>
      <w:tr w:rsidR="00227811" w14:paraId="15AB934F" w14:textId="77777777" w:rsidTr="005B4201">
        <w:tc>
          <w:tcPr>
            <w:tcW w:w="2253" w:type="dxa"/>
            <w:shd w:val="clear" w:color="auto" w:fill="3A6FAF" w:themeFill="accent3"/>
            <w:vAlign w:val="center"/>
          </w:tcPr>
          <w:p w14:paraId="7FE67205" w14:textId="6A664FB7" w:rsidR="00227811" w:rsidRPr="00B545D0" w:rsidRDefault="00DC4B8E" w:rsidP="0041008C">
            <w:pPr>
              <w:pStyle w:val="Heading4"/>
              <w:jc w:val="center"/>
            </w:pPr>
            <w:r>
              <w:rPr>
                <w:b/>
                <w:bCs/>
                <w:sz w:val="24"/>
                <w:szCs w:val="24"/>
              </w:rPr>
              <w:t>Report type</w:t>
            </w:r>
          </w:p>
        </w:tc>
        <w:tc>
          <w:tcPr>
            <w:tcW w:w="6845" w:type="dxa"/>
            <w:shd w:val="clear" w:color="auto" w:fill="3A6FAF" w:themeFill="accent3"/>
            <w:vAlign w:val="center"/>
          </w:tcPr>
          <w:p w14:paraId="46B12A2B" w14:textId="77777777" w:rsidR="00227811" w:rsidRPr="00B545D0" w:rsidRDefault="00227811">
            <w:pPr>
              <w:jc w:val="center"/>
              <w:rPr>
                <w:b/>
                <w:bCs/>
                <w:color w:val="FFFFFF" w:themeColor="background1"/>
                <w:sz w:val="24"/>
                <w:szCs w:val="24"/>
              </w:rPr>
            </w:pPr>
            <w:r w:rsidRPr="00B545D0">
              <w:rPr>
                <w:b/>
                <w:bCs/>
                <w:color w:val="FFFFFF" w:themeColor="background1"/>
                <w:sz w:val="24"/>
                <w:szCs w:val="24"/>
              </w:rPr>
              <w:t>Description and Applicability Criteria</w:t>
            </w:r>
          </w:p>
        </w:tc>
      </w:tr>
      <w:tr w:rsidR="00227811" w14:paraId="5611C4C3" w14:textId="77777777" w:rsidTr="005B4201">
        <w:tc>
          <w:tcPr>
            <w:tcW w:w="2253" w:type="dxa"/>
            <w:shd w:val="clear" w:color="auto" w:fill="FFFFFF" w:themeFill="background1"/>
            <w:vAlign w:val="center"/>
          </w:tcPr>
          <w:p w14:paraId="723EEF73" w14:textId="77777777" w:rsidR="00227811" w:rsidRPr="00444687" w:rsidRDefault="00227811" w:rsidP="00DC4B8E">
            <w:pPr>
              <w:jc w:val="center"/>
              <w:rPr>
                <w:b/>
                <w:bCs/>
                <w:color w:val="3A6FAF" w:themeColor="accent3"/>
                <w:sz w:val="24"/>
                <w:szCs w:val="24"/>
              </w:rPr>
            </w:pPr>
            <w:r w:rsidRPr="00444687">
              <w:rPr>
                <w:b/>
                <w:bCs/>
                <w:color w:val="3A6FAF" w:themeColor="accent3"/>
                <w:sz w:val="24"/>
                <w:szCs w:val="24"/>
              </w:rPr>
              <w:t xml:space="preserve">Standard </w:t>
            </w:r>
            <w:r>
              <w:rPr>
                <w:b/>
                <w:bCs/>
                <w:color w:val="3A6FAF" w:themeColor="accent3"/>
                <w:sz w:val="24"/>
                <w:szCs w:val="24"/>
              </w:rPr>
              <w:t>Payment Times Report (PTR)</w:t>
            </w:r>
          </w:p>
        </w:tc>
        <w:tc>
          <w:tcPr>
            <w:tcW w:w="6845" w:type="dxa"/>
            <w:shd w:val="clear" w:color="auto" w:fill="auto"/>
          </w:tcPr>
          <w:p w14:paraId="7374FFFE" w14:textId="2256D682" w:rsidR="00227811" w:rsidRPr="009B1E5D" w:rsidRDefault="00227811" w:rsidP="00DC4B8E">
            <w:pPr>
              <w:jc w:val="left"/>
              <w:rPr>
                <w:sz w:val="22"/>
                <w:szCs w:val="22"/>
              </w:rPr>
            </w:pPr>
            <w:r w:rsidRPr="009B1E5D">
              <w:rPr>
                <w:sz w:val="22"/>
                <w:szCs w:val="22"/>
              </w:rPr>
              <w:t>Standard report for periods commencing on or after 1</w:t>
            </w:r>
            <w:r w:rsidR="00DC4B8E">
              <w:rPr>
                <w:sz w:val="22"/>
                <w:szCs w:val="22"/>
              </w:rPr>
              <w:t> </w:t>
            </w:r>
            <w:r w:rsidRPr="009B1E5D">
              <w:rPr>
                <w:sz w:val="22"/>
                <w:szCs w:val="22"/>
              </w:rPr>
              <w:t xml:space="preserve">July 2024. </w:t>
            </w:r>
          </w:p>
          <w:p w14:paraId="6A8D9ECB" w14:textId="77777777" w:rsidR="00227811" w:rsidRPr="00771F49" w:rsidRDefault="00227811" w:rsidP="00DC4B8E">
            <w:pPr>
              <w:jc w:val="left"/>
              <w:rPr>
                <w:i/>
                <w:iCs/>
                <w:sz w:val="22"/>
                <w:szCs w:val="22"/>
              </w:rPr>
            </w:pPr>
            <w:r w:rsidRPr="009B1E5D">
              <w:rPr>
                <w:sz w:val="22"/>
                <w:szCs w:val="22"/>
              </w:rPr>
              <w:t>To be used by all reporting entities unless their circumstances fall into one of the four categories (outlined below) requiring modified reporting.</w:t>
            </w:r>
          </w:p>
        </w:tc>
      </w:tr>
      <w:tr w:rsidR="00227811" w14:paraId="1B5E09AA" w14:textId="77777777" w:rsidTr="005B4201">
        <w:tc>
          <w:tcPr>
            <w:tcW w:w="2253" w:type="dxa"/>
            <w:shd w:val="clear" w:color="auto" w:fill="FFFFFF" w:themeFill="background1"/>
            <w:vAlign w:val="center"/>
          </w:tcPr>
          <w:p w14:paraId="02B63FB7" w14:textId="77777777" w:rsidR="00227811" w:rsidRPr="00444687" w:rsidRDefault="00227811" w:rsidP="00DC4B8E">
            <w:pPr>
              <w:jc w:val="center"/>
              <w:rPr>
                <w:b/>
                <w:bCs/>
                <w:color w:val="3A6FAF" w:themeColor="accent3"/>
                <w:sz w:val="24"/>
                <w:szCs w:val="24"/>
              </w:rPr>
            </w:pPr>
            <w:r w:rsidRPr="00444687">
              <w:rPr>
                <w:b/>
                <w:bCs/>
                <w:color w:val="3A6FAF" w:themeColor="accent3"/>
                <w:sz w:val="24"/>
                <w:szCs w:val="24"/>
              </w:rPr>
              <w:t>Modified PTR - AASB 8</w:t>
            </w:r>
          </w:p>
        </w:tc>
        <w:tc>
          <w:tcPr>
            <w:tcW w:w="6845" w:type="dxa"/>
            <w:shd w:val="clear" w:color="auto" w:fill="auto"/>
          </w:tcPr>
          <w:p w14:paraId="24B6FEE9" w14:textId="096F5407" w:rsidR="00227811" w:rsidRPr="00B0527F" w:rsidRDefault="00227811" w:rsidP="00DC4B8E">
            <w:pPr>
              <w:jc w:val="left"/>
              <w:rPr>
                <w:sz w:val="22"/>
                <w:szCs w:val="22"/>
              </w:rPr>
            </w:pPr>
            <w:r w:rsidRPr="009B1E5D">
              <w:rPr>
                <w:sz w:val="22"/>
                <w:szCs w:val="22"/>
              </w:rPr>
              <w:t xml:space="preserve">Modified report for a reporting entity that was required to comply with AASB </w:t>
            </w:r>
            <w:r w:rsidR="00E37B91" w:rsidRPr="009B1E5D">
              <w:rPr>
                <w:sz w:val="22"/>
                <w:szCs w:val="22"/>
              </w:rPr>
              <w:t>8: Operating</w:t>
            </w:r>
            <w:r w:rsidRPr="009B1E5D">
              <w:rPr>
                <w:sz w:val="22"/>
                <w:szCs w:val="22"/>
              </w:rPr>
              <w:t xml:space="preserve"> Segments (or an equivalent financial reporting standard of a foreign jurisdiction) in the preparation of its financial reports for the financial year immediately preceding a reporting period.</w:t>
            </w:r>
          </w:p>
        </w:tc>
      </w:tr>
      <w:tr w:rsidR="00227811" w14:paraId="6591DA39" w14:textId="77777777" w:rsidTr="005B4201">
        <w:tc>
          <w:tcPr>
            <w:tcW w:w="2253" w:type="dxa"/>
            <w:shd w:val="clear" w:color="auto" w:fill="FFFFFF" w:themeFill="background1"/>
            <w:vAlign w:val="center"/>
          </w:tcPr>
          <w:p w14:paraId="01A58126" w14:textId="7043FEAD" w:rsidR="00227811" w:rsidRPr="00444687" w:rsidRDefault="00227811" w:rsidP="00DC4B8E">
            <w:pPr>
              <w:jc w:val="center"/>
              <w:rPr>
                <w:b/>
                <w:bCs/>
                <w:color w:val="3A6FAF" w:themeColor="accent3"/>
                <w:sz w:val="24"/>
                <w:szCs w:val="24"/>
              </w:rPr>
            </w:pPr>
            <w:r w:rsidRPr="00444687">
              <w:rPr>
                <w:b/>
                <w:bCs/>
                <w:color w:val="3A6FAF" w:themeColor="accent3"/>
                <w:sz w:val="24"/>
                <w:szCs w:val="24"/>
              </w:rPr>
              <w:t xml:space="preserve">Modified PTR - </w:t>
            </w:r>
            <w:r w:rsidR="00E27AB2">
              <w:rPr>
                <w:b/>
                <w:bCs/>
                <w:color w:val="3A6FAF" w:themeColor="accent3"/>
                <w:sz w:val="24"/>
                <w:szCs w:val="24"/>
              </w:rPr>
              <w:t xml:space="preserve"> </w:t>
            </w:r>
            <w:r w:rsidRPr="00444687">
              <w:rPr>
                <w:b/>
                <w:bCs/>
                <w:color w:val="3A6FAF" w:themeColor="accent3"/>
                <w:sz w:val="24"/>
                <w:szCs w:val="24"/>
              </w:rPr>
              <w:t>Nil Reporter</w:t>
            </w:r>
          </w:p>
        </w:tc>
        <w:tc>
          <w:tcPr>
            <w:tcW w:w="6845" w:type="dxa"/>
            <w:shd w:val="clear" w:color="auto" w:fill="auto"/>
          </w:tcPr>
          <w:p w14:paraId="45583FBC" w14:textId="1B13A132" w:rsidR="00227811" w:rsidRPr="00B0527F" w:rsidRDefault="00227811" w:rsidP="00DC4B8E">
            <w:pPr>
              <w:jc w:val="left"/>
              <w:rPr>
                <w:sz w:val="22"/>
                <w:szCs w:val="22"/>
              </w:rPr>
            </w:pPr>
            <w:r w:rsidRPr="009B1E5D">
              <w:rPr>
                <w:sz w:val="22"/>
                <w:szCs w:val="22"/>
              </w:rPr>
              <w:t xml:space="preserve">Modified report for a reporting entity that, along with its controlled entities, has not made </w:t>
            </w:r>
            <w:r w:rsidRPr="009B1E5D">
              <w:rPr>
                <w:b/>
                <w:sz w:val="22"/>
                <w:szCs w:val="22"/>
              </w:rPr>
              <w:t>any</w:t>
            </w:r>
            <w:r w:rsidRPr="009B1E5D">
              <w:rPr>
                <w:sz w:val="22"/>
                <w:szCs w:val="22"/>
              </w:rPr>
              <w:t xml:space="preserve"> payments to Australian small business suppliers (as per the </w:t>
            </w:r>
            <w:r w:rsidRPr="009B1E5D">
              <w:rPr>
                <w:b/>
                <w:sz w:val="22"/>
                <w:szCs w:val="22"/>
              </w:rPr>
              <w:t>SBI</w:t>
            </w:r>
            <w:r w:rsidRPr="009B1E5D">
              <w:rPr>
                <w:sz w:val="22"/>
                <w:szCs w:val="22"/>
              </w:rPr>
              <w:t xml:space="preserve"> Tool).</w:t>
            </w:r>
          </w:p>
        </w:tc>
      </w:tr>
      <w:tr w:rsidR="00227811" w14:paraId="1413338F" w14:textId="77777777" w:rsidTr="005B4201">
        <w:tc>
          <w:tcPr>
            <w:tcW w:w="2253" w:type="dxa"/>
            <w:shd w:val="clear" w:color="auto" w:fill="FFFFFF" w:themeFill="background1"/>
            <w:vAlign w:val="center"/>
          </w:tcPr>
          <w:p w14:paraId="276DBA97" w14:textId="27451035" w:rsidR="00227811" w:rsidRPr="00444687" w:rsidRDefault="00227811" w:rsidP="00DC4B8E">
            <w:pPr>
              <w:jc w:val="center"/>
              <w:rPr>
                <w:b/>
                <w:bCs/>
                <w:color w:val="3A6FAF" w:themeColor="accent3"/>
                <w:sz w:val="24"/>
                <w:szCs w:val="24"/>
              </w:rPr>
            </w:pPr>
            <w:r w:rsidRPr="00444687">
              <w:rPr>
                <w:b/>
                <w:bCs/>
                <w:color w:val="3A6FAF" w:themeColor="accent3"/>
                <w:sz w:val="24"/>
                <w:szCs w:val="24"/>
              </w:rPr>
              <w:t xml:space="preserve">Modified PTR - External </w:t>
            </w:r>
            <w:r w:rsidR="00E27AB2" w:rsidRPr="00444687">
              <w:rPr>
                <w:b/>
                <w:bCs/>
                <w:color w:val="3A6FAF" w:themeColor="accent3"/>
                <w:sz w:val="24"/>
                <w:szCs w:val="24"/>
              </w:rPr>
              <w:t>Admin</w:t>
            </w:r>
            <w:r w:rsidR="00E27AB2">
              <w:rPr>
                <w:b/>
                <w:bCs/>
                <w:color w:val="3A6FAF" w:themeColor="accent3"/>
                <w:sz w:val="24"/>
                <w:szCs w:val="24"/>
              </w:rPr>
              <w:t>istration</w:t>
            </w:r>
          </w:p>
        </w:tc>
        <w:tc>
          <w:tcPr>
            <w:tcW w:w="6845" w:type="dxa"/>
            <w:shd w:val="clear" w:color="auto" w:fill="auto"/>
          </w:tcPr>
          <w:p w14:paraId="379BEC54" w14:textId="77777777" w:rsidR="00227811" w:rsidRPr="009B1E5D" w:rsidRDefault="00227811" w:rsidP="00DC4B8E">
            <w:pPr>
              <w:jc w:val="left"/>
              <w:rPr>
                <w:sz w:val="22"/>
                <w:szCs w:val="22"/>
              </w:rPr>
            </w:pPr>
            <w:r w:rsidRPr="009B1E5D">
              <w:rPr>
                <w:sz w:val="22"/>
                <w:szCs w:val="22"/>
              </w:rPr>
              <w:t>Modified report for a reporting entity that was in external administration:</w:t>
            </w:r>
          </w:p>
          <w:p w14:paraId="73C61234" w14:textId="77777777" w:rsidR="00227811" w:rsidRPr="009B1E5D" w:rsidRDefault="00227811" w:rsidP="00DC4B8E">
            <w:pPr>
              <w:pStyle w:val="Bullet"/>
              <w:tabs>
                <w:tab w:val="clear" w:pos="1020"/>
                <w:tab w:val="num" w:pos="463"/>
              </w:tabs>
              <w:spacing w:before="120" w:after="120"/>
              <w:ind w:hanging="840"/>
              <w:jc w:val="left"/>
              <w:rPr>
                <w:sz w:val="22"/>
                <w:szCs w:val="22"/>
              </w:rPr>
            </w:pPr>
            <w:r w:rsidRPr="009B1E5D">
              <w:rPr>
                <w:sz w:val="22"/>
                <w:szCs w:val="22"/>
              </w:rPr>
              <w:t xml:space="preserve">at any time during a reporting period, or </w:t>
            </w:r>
          </w:p>
          <w:p w14:paraId="10B53DDE" w14:textId="77777777" w:rsidR="00227811" w:rsidRPr="009B1E5D" w:rsidRDefault="00227811" w:rsidP="00DC4B8E">
            <w:pPr>
              <w:pStyle w:val="Bullet"/>
              <w:tabs>
                <w:tab w:val="clear" w:pos="1020"/>
                <w:tab w:val="num" w:pos="463"/>
              </w:tabs>
              <w:spacing w:before="120" w:after="120"/>
              <w:ind w:left="463"/>
              <w:jc w:val="left"/>
              <w:rPr>
                <w:sz w:val="22"/>
                <w:szCs w:val="22"/>
              </w:rPr>
            </w:pPr>
            <w:r w:rsidRPr="009B1E5D">
              <w:rPr>
                <w:sz w:val="22"/>
                <w:szCs w:val="22"/>
              </w:rPr>
              <w:t>after the reporting period ends but before the due date of the payment times report for the reporting period.</w:t>
            </w:r>
          </w:p>
        </w:tc>
      </w:tr>
      <w:tr w:rsidR="00227811" w14:paraId="48D52E98" w14:textId="77777777" w:rsidTr="005B4201">
        <w:trPr>
          <w:trHeight w:val="1081"/>
        </w:trPr>
        <w:tc>
          <w:tcPr>
            <w:tcW w:w="2253" w:type="dxa"/>
            <w:shd w:val="clear" w:color="auto" w:fill="FFFFFF" w:themeFill="background1"/>
            <w:vAlign w:val="center"/>
          </w:tcPr>
          <w:p w14:paraId="3FADBA7C" w14:textId="77777777" w:rsidR="00227811" w:rsidRPr="00444687" w:rsidRDefault="00227811" w:rsidP="00DC4B8E">
            <w:pPr>
              <w:jc w:val="center"/>
              <w:rPr>
                <w:b/>
                <w:bCs/>
                <w:color w:val="3A6FAF" w:themeColor="accent3"/>
                <w:sz w:val="24"/>
                <w:szCs w:val="24"/>
              </w:rPr>
            </w:pPr>
            <w:r w:rsidRPr="00444687">
              <w:rPr>
                <w:b/>
                <w:bCs/>
                <w:color w:val="3A6FAF" w:themeColor="accent3"/>
                <w:sz w:val="24"/>
                <w:szCs w:val="24"/>
              </w:rPr>
              <w:t>Modified PTR - Nominated Entity</w:t>
            </w:r>
          </w:p>
        </w:tc>
        <w:tc>
          <w:tcPr>
            <w:tcW w:w="6845" w:type="dxa"/>
            <w:shd w:val="clear" w:color="auto" w:fill="auto"/>
          </w:tcPr>
          <w:p w14:paraId="06D7F01B" w14:textId="2E96F7E0" w:rsidR="00227811" w:rsidRPr="009B1E5D" w:rsidRDefault="00227811" w:rsidP="00DC4B8E">
            <w:pPr>
              <w:jc w:val="left"/>
              <w:rPr>
                <w:sz w:val="22"/>
                <w:szCs w:val="22"/>
              </w:rPr>
            </w:pPr>
            <w:r w:rsidRPr="009B1E5D">
              <w:rPr>
                <w:sz w:val="22"/>
                <w:szCs w:val="22"/>
              </w:rPr>
              <w:t xml:space="preserve">Modified report for a reporting entity that was specified in a reporting nominee determination in effect during the reporting period. </w:t>
            </w:r>
          </w:p>
          <w:p w14:paraId="2522F31C" w14:textId="77777777" w:rsidR="00227811" w:rsidRPr="009B1E5D" w:rsidRDefault="00227811" w:rsidP="00DC4B8E">
            <w:pPr>
              <w:jc w:val="left"/>
              <w:rPr>
                <w:i/>
                <w:sz w:val="22"/>
                <w:szCs w:val="22"/>
              </w:rPr>
            </w:pPr>
            <w:r w:rsidRPr="009B1E5D">
              <w:rPr>
                <w:b/>
                <w:i/>
                <w:sz w:val="22"/>
                <w:szCs w:val="22"/>
              </w:rPr>
              <w:t>Note</w:t>
            </w:r>
            <w:r w:rsidRPr="009B1E5D">
              <w:rPr>
                <w:i/>
                <w:sz w:val="22"/>
                <w:szCs w:val="22"/>
              </w:rPr>
              <w:t>: Reporting nominees must use the standard report</w:t>
            </w:r>
          </w:p>
        </w:tc>
      </w:tr>
    </w:tbl>
    <w:p w14:paraId="3FEF567E" w14:textId="77777777" w:rsidR="005B1782" w:rsidRDefault="005B1782">
      <w:pPr>
        <w:spacing w:before="0" w:after="160" w:line="259" w:lineRule="auto"/>
        <w:rPr>
          <w:highlight w:val="yellow"/>
        </w:rPr>
        <w:sectPr w:rsidR="005B1782" w:rsidSect="000076F2">
          <w:headerReference w:type="even" r:id="rId16"/>
          <w:headerReference w:type="default" r:id="rId17"/>
          <w:pgSz w:w="11906" w:h="16838" w:code="9"/>
          <w:pgMar w:top="1418" w:right="1389" w:bottom="1418" w:left="1389" w:header="709" w:footer="709" w:gutter="0"/>
          <w:cols w:space="708"/>
          <w:docGrid w:linePitch="360"/>
        </w:sectPr>
      </w:pPr>
    </w:p>
    <w:p w14:paraId="050917A5" w14:textId="5092BB2E" w:rsidR="00D21854" w:rsidRPr="00AF1A4D" w:rsidRDefault="006B290E" w:rsidP="00AF1A4D">
      <w:pPr>
        <w:pStyle w:val="Heading3"/>
      </w:pPr>
      <w:bookmarkStart w:id="6" w:name="_Toc184842614"/>
      <w:r>
        <w:lastRenderedPageBreak/>
        <w:t>Standard Payment Times Report</w:t>
      </w:r>
      <w:bookmarkEnd w:id="6"/>
      <w:r w:rsidR="0041008C">
        <w:tab/>
      </w:r>
      <w:r w:rsidR="0041008C">
        <w:tab/>
      </w:r>
    </w:p>
    <w:tbl>
      <w:tblPr>
        <w:tblW w:w="14565" w:type="dxa"/>
        <w:jc w:val="center"/>
        <w:tblCellMar>
          <w:top w:w="28" w:type="dxa"/>
          <w:left w:w="85" w:type="dxa"/>
          <w:bottom w:w="28" w:type="dxa"/>
          <w:right w:w="85" w:type="dxa"/>
        </w:tblCellMar>
        <w:tblLook w:val="04A0" w:firstRow="1" w:lastRow="0" w:firstColumn="1" w:lastColumn="0" w:noHBand="0" w:noVBand="1"/>
      </w:tblPr>
      <w:tblGrid>
        <w:gridCol w:w="2830"/>
        <w:gridCol w:w="1644"/>
        <w:gridCol w:w="199"/>
        <w:gridCol w:w="1445"/>
        <w:gridCol w:w="8439"/>
        <w:gridCol w:w="8"/>
      </w:tblGrid>
      <w:tr w:rsidR="006B290E" w14:paraId="1B8DA911" w14:textId="77777777" w:rsidTr="009A45C3">
        <w:trPr>
          <w:cantSplit/>
          <w:trHeight w:val="680"/>
          <w:tblHeader/>
          <w:jc w:val="center"/>
        </w:trPr>
        <w:tc>
          <w:tcPr>
            <w:tcW w:w="14565" w:type="dxa"/>
            <w:gridSpan w:val="6"/>
            <w:tcBorders>
              <w:top w:val="single" w:sz="4" w:space="0" w:color="auto"/>
              <w:left w:val="single" w:sz="4" w:space="0" w:color="auto"/>
              <w:bottom w:val="single" w:sz="4" w:space="0" w:color="auto"/>
              <w:right w:val="nil"/>
            </w:tcBorders>
            <w:shd w:val="clear" w:color="auto" w:fill="1D3757" w:themeFill="accent3" w:themeFillShade="80"/>
            <w:vAlign w:val="center"/>
            <w:hideMark/>
          </w:tcPr>
          <w:p w14:paraId="7F69DE9A" w14:textId="6C2C82C2" w:rsidR="006B290E" w:rsidRPr="007F504D" w:rsidRDefault="006B290E" w:rsidP="00525241">
            <w:pPr>
              <w:spacing w:before="0" w:after="0"/>
              <w:rPr>
                <w:rFonts w:cs="Calibri"/>
                <w:b/>
                <w:bCs/>
                <w:color w:val="FFFFFF"/>
                <w:sz w:val="28"/>
                <w:szCs w:val="28"/>
              </w:rPr>
            </w:pPr>
            <w:r w:rsidRPr="007F504D">
              <w:rPr>
                <w:rFonts w:cs="Calibri"/>
                <w:b/>
                <w:bCs/>
                <w:color w:val="FFFFFF"/>
                <w:sz w:val="28"/>
                <w:szCs w:val="28"/>
              </w:rPr>
              <w:t>STANDARD PAYMENT TIMES REPORT</w:t>
            </w:r>
          </w:p>
        </w:tc>
      </w:tr>
      <w:tr w:rsidR="00E335B6" w14:paraId="2BA672E3" w14:textId="77777777" w:rsidTr="00836A29">
        <w:trPr>
          <w:gridAfter w:val="1"/>
          <w:wAfter w:w="8" w:type="dxa"/>
          <w:cantSplit/>
          <w:trHeight w:val="377"/>
          <w:tblHeader/>
          <w:jc w:val="center"/>
        </w:trPr>
        <w:tc>
          <w:tcPr>
            <w:tcW w:w="2830" w:type="dxa"/>
            <w:tcBorders>
              <w:top w:val="nil"/>
              <w:left w:val="single" w:sz="4" w:space="0" w:color="auto"/>
              <w:bottom w:val="single" w:sz="4" w:space="0" w:color="auto"/>
              <w:right w:val="single" w:sz="4" w:space="0" w:color="auto"/>
            </w:tcBorders>
            <w:shd w:val="clear" w:color="auto" w:fill="ABC4E3" w:themeFill="accent3" w:themeFillTint="66"/>
            <w:vAlign w:val="center"/>
            <w:hideMark/>
          </w:tcPr>
          <w:p w14:paraId="249BB30A" w14:textId="77777777" w:rsidR="00600075" w:rsidRPr="007F504D" w:rsidRDefault="00600075" w:rsidP="00525241">
            <w:pPr>
              <w:spacing w:before="0" w:after="0"/>
              <w:rPr>
                <w:rFonts w:cs="Calibri"/>
                <w:b/>
                <w:bCs/>
                <w:color w:val="000000"/>
                <w:sz w:val="24"/>
                <w:szCs w:val="24"/>
              </w:rPr>
            </w:pPr>
            <w:r w:rsidRPr="007F504D">
              <w:rPr>
                <w:rFonts w:cs="Calibri"/>
                <w:b/>
                <w:bCs/>
                <w:color w:val="000000"/>
                <w:sz w:val="24"/>
                <w:szCs w:val="24"/>
              </w:rPr>
              <w:t>Field Name</w:t>
            </w:r>
          </w:p>
        </w:tc>
        <w:tc>
          <w:tcPr>
            <w:tcW w:w="1644" w:type="dxa"/>
            <w:tcBorders>
              <w:top w:val="nil"/>
              <w:left w:val="nil"/>
              <w:bottom w:val="single" w:sz="4" w:space="0" w:color="auto"/>
              <w:right w:val="single" w:sz="4" w:space="0" w:color="auto"/>
            </w:tcBorders>
            <w:shd w:val="clear" w:color="auto" w:fill="ABC4E3" w:themeFill="accent3" w:themeFillTint="66"/>
            <w:vAlign w:val="center"/>
            <w:hideMark/>
          </w:tcPr>
          <w:p w14:paraId="04305383" w14:textId="77777777" w:rsidR="00600075" w:rsidRPr="007F504D" w:rsidRDefault="00600075" w:rsidP="00525241">
            <w:pPr>
              <w:spacing w:before="0" w:after="0"/>
              <w:jc w:val="center"/>
              <w:rPr>
                <w:rFonts w:cs="Calibri"/>
                <w:b/>
                <w:bCs/>
                <w:color w:val="000000"/>
                <w:sz w:val="24"/>
                <w:szCs w:val="24"/>
              </w:rPr>
            </w:pPr>
            <w:r w:rsidRPr="007F504D">
              <w:rPr>
                <w:rFonts w:cs="Calibri"/>
                <w:b/>
                <w:bCs/>
                <w:color w:val="000000"/>
                <w:sz w:val="24"/>
                <w:szCs w:val="24"/>
              </w:rPr>
              <w:t>Field Type</w:t>
            </w:r>
          </w:p>
        </w:tc>
        <w:tc>
          <w:tcPr>
            <w:tcW w:w="1644" w:type="dxa"/>
            <w:gridSpan w:val="2"/>
            <w:tcBorders>
              <w:top w:val="nil"/>
              <w:left w:val="nil"/>
              <w:bottom w:val="single" w:sz="4" w:space="0" w:color="auto"/>
              <w:right w:val="single" w:sz="4" w:space="0" w:color="auto"/>
            </w:tcBorders>
            <w:shd w:val="clear" w:color="auto" w:fill="ABC4E3" w:themeFill="accent3" w:themeFillTint="66"/>
            <w:vAlign w:val="center"/>
            <w:hideMark/>
          </w:tcPr>
          <w:p w14:paraId="4D008A00" w14:textId="77777777" w:rsidR="00600075" w:rsidRPr="007F504D" w:rsidRDefault="00600075" w:rsidP="00525241">
            <w:pPr>
              <w:spacing w:before="0" w:after="0"/>
              <w:jc w:val="center"/>
              <w:rPr>
                <w:rFonts w:cs="Calibri"/>
                <w:b/>
                <w:bCs/>
                <w:color w:val="000000"/>
                <w:sz w:val="24"/>
                <w:szCs w:val="24"/>
              </w:rPr>
            </w:pPr>
            <w:r w:rsidRPr="007F504D">
              <w:rPr>
                <w:rFonts w:cs="Calibri"/>
                <w:b/>
                <w:bCs/>
                <w:color w:val="000000"/>
                <w:sz w:val="24"/>
                <w:szCs w:val="24"/>
              </w:rPr>
              <w:t>Field Format</w:t>
            </w:r>
          </w:p>
        </w:tc>
        <w:tc>
          <w:tcPr>
            <w:tcW w:w="8439" w:type="dxa"/>
            <w:tcBorders>
              <w:top w:val="nil"/>
              <w:left w:val="nil"/>
              <w:bottom w:val="single" w:sz="4" w:space="0" w:color="auto"/>
              <w:right w:val="single" w:sz="4" w:space="0" w:color="auto"/>
            </w:tcBorders>
            <w:shd w:val="clear" w:color="auto" w:fill="ABC4E3" w:themeFill="accent3" w:themeFillTint="66"/>
            <w:vAlign w:val="center"/>
            <w:hideMark/>
          </w:tcPr>
          <w:p w14:paraId="28BB11CB" w14:textId="77777777" w:rsidR="00600075" w:rsidRPr="007F504D" w:rsidRDefault="00600075" w:rsidP="00525241">
            <w:pPr>
              <w:spacing w:before="0" w:after="0"/>
              <w:rPr>
                <w:rFonts w:cs="Calibri"/>
                <w:b/>
                <w:bCs/>
                <w:color w:val="000000"/>
                <w:sz w:val="24"/>
                <w:szCs w:val="24"/>
              </w:rPr>
            </w:pPr>
            <w:r w:rsidRPr="007F504D">
              <w:rPr>
                <w:rFonts w:cs="Calibri"/>
                <w:b/>
                <w:bCs/>
                <w:color w:val="000000"/>
                <w:sz w:val="24"/>
                <w:szCs w:val="24"/>
              </w:rPr>
              <w:t>Description</w:t>
            </w:r>
          </w:p>
        </w:tc>
      </w:tr>
      <w:tr w:rsidR="00236DB9" w:rsidRPr="007F504D" w14:paraId="1C273D80"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039592A4" w14:textId="5AA6E81B" w:rsidR="00236DB9" w:rsidRPr="00401389" w:rsidRDefault="00236DB9" w:rsidP="009A45C3">
            <w:pPr>
              <w:spacing w:before="80" w:after="80"/>
              <w:rPr>
                <w:b/>
                <w:bCs/>
                <w:sz w:val="24"/>
                <w:szCs w:val="24"/>
              </w:rPr>
            </w:pPr>
            <w:r w:rsidRPr="00401389">
              <w:rPr>
                <w:b/>
                <w:bCs/>
                <w:color w:val="FFFFFF" w:themeColor="background1"/>
                <w:sz w:val="24"/>
                <w:szCs w:val="24"/>
              </w:rPr>
              <w:t>Entity Details</w:t>
            </w:r>
          </w:p>
        </w:tc>
      </w:tr>
      <w:tr w:rsidR="00857732" w:rsidRPr="007F504D" w14:paraId="228A1063"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86F1983" w14:textId="77777777" w:rsidR="00857732" w:rsidRPr="007F504D" w:rsidRDefault="00857732" w:rsidP="009A45C3">
            <w:pPr>
              <w:rPr>
                <w:rFonts w:cs="Calibri"/>
                <w:szCs w:val="22"/>
              </w:rPr>
            </w:pPr>
            <w:r w:rsidRPr="007F504D">
              <w:rPr>
                <w:rFonts w:cs="Calibri"/>
                <w:szCs w:val="22"/>
              </w:rPr>
              <w:t>Entity Name</w:t>
            </w:r>
          </w:p>
        </w:tc>
        <w:tc>
          <w:tcPr>
            <w:tcW w:w="3288" w:type="dxa"/>
            <w:gridSpan w:val="3"/>
            <w:tcBorders>
              <w:top w:val="nil"/>
              <w:left w:val="nil"/>
              <w:bottom w:val="single" w:sz="4" w:space="0" w:color="auto"/>
              <w:right w:val="single" w:sz="4" w:space="0" w:color="auto"/>
            </w:tcBorders>
            <w:shd w:val="clear" w:color="auto" w:fill="auto"/>
            <w:vAlign w:val="center"/>
            <w:hideMark/>
          </w:tcPr>
          <w:p w14:paraId="3400FBF4" w14:textId="041F2E01" w:rsidR="00857732" w:rsidRPr="007F504D" w:rsidRDefault="00857732" w:rsidP="00AF02BF">
            <w:pPr>
              <w:jc w:val="center"/>
              <w:rPr>
                <w:rFonts w:cs="Calibri"/>
                <w:color w:val="000000"/>
                <w:szCs w:val="22"/>
              </w:rPr>
            </w:pPr>
            <w:r w:rsidRPr="007F504D">
              <w:rPr>
                <w:rFonts w:cs="Calibri"/>
                <w:color w:val="000000"/>
                <w:szCs w:val="22"/>
              </w:rPr>
              <w:t>Pre-populated</w:t>
            </w:r>
          </w:p>
        </w:tc>
        <w:tc>
          <w:tcPr>
            <w:tcW w:w="8439" w:type="dxa"/>
            <w:tcBorders>
              <w:top w:val="nil"/>
              <w:left w:val="nil"/>
              <w:bottom w:val="single" w:sz="4" w:space="0" w:color="auto"/>
              <w:right w:val="single" w:sz="4" w:space="0" w:color="auto"/>
            </w:tcBorders>
            <w:shd w:val="clear" w:color="auto" w:fill="auto"/>
            <w:vAlign w:val="center"/>
            <w:hideMark/>
          </w:tcPr>
          <w:p w14:paraId="24CE89D2" w14:textId="0216473E" w:rsidR="00857732" w:rsidRPr="007F504D" w:rsidRDefault="00857732" w:rsidP="009279AF">
            <w:pPr>
              <w:rPr>
                <w:rFonts w:cs="Calibri"/>
                <w:color w:val="000000"/>
                <w:szCs w:val="22"/>
              </w:rPr>
            </w:pPr>
            <w:r w:rsidRPr="007F504D">
              <w:rPr>
                <w:rFonts w:cs="Calibri"/>
                <w:color w:val="000000"/>
                <w:szCs w:val="22"/>
              </w:rPr>
              <w:t>Reporting entity's name as registered on the Australian Business Register</w:t>
            </w:r>
            <w:r w:rsidR="002D2AA3">
              <w:rPr>
                <w:rFonts w:cs="Calibri"/>
                <w:color w:val="000000"/>
                <w:szCs w:val="22"/>
              </w:rPr>
              <w:t>.</w:t>
            </w:r>
          </w:p>
        </w:tc>
      </w:tr>
      <w:tr w:rsidR="00857732" w:rsidRPr="007F504D" w14:paraId="65AA14F9"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A36A4D" w14:textId="77777777" w:rsidR="00857732" w:rsidRPr="007F504D" w:rsidRDefault="00857732" w:rsidP="009A45C3">
            <w:pPr>
              <w:rPr>
                <w:rFonts w:cs="Calibri"/>
                <w:szCs w:val="22"/>
              </w:rPr>
            </w:pPr>
            <w:r w:rsidRPr="007F504D">
              <w:rPr>
                <w:rFonts w:cs="Calibri"/>
                <w:szCs w:val="22"/>
              </w:rPr>
              <w:t>Entity ABN</w:t>
            </w:r>
          </w:p>
        </w:tc>
        <w:tc>
          <w:tcPr>
            <w:tcW w:w="3288" w:type="dxa"/>
            <w:gridSpan w:val="3"/>
            <w:tcBorders>
              <w:top w:val="nil"/>
              <w:left w:val="nil"/>
              <w:bottom w:val="single" w:sz="4" w:space="0" w:color="auto"/>
              <w:right w:val="single" w:sz="4" w:space="0" w:color="auto"/>
            </w:tcBorders>
            <w:shd w:val="clear" w:color="auto" w:fill="auto"/>
            <w:vAlign w:val="center"/>
            <w:hideMark/>
          </w:tcPr>
          <w:p w14:paraId="585044FF" w14:textId="02F23936" w:rsidR="00857732" w:rsidRPr="007F504D" w:rsidRDefault="00857732" w:rsidP="00AF02BF">
            <w:pPr>
              <w:jc w:val="center"/>
              <w:rPr>
                <w:rFonts w:cs="Calibri"/>
                <w:color w:val="000000"/>
                <w:szCs w:val="22"/>
              </w:rPr>
            </w:pPr>
            <w:r w:rsidRPr="007F504D">
              <w:rPr>
                <w:rFonts w:cs="Calibri"/>
                <w:color w:val="000000"/>
                <w:szCs w:val="22"/>
              </w:rPr>
              <w:t>Pre-populated</w:t>
            </w:r>
          </w:p>
        </w:tc>
        <w:tc>
          <w:tcPr>
            <w:tcW w:w="8439" w:type="dxa"/>
            <w:tcBorders>
              <w:top w:val="nil"/>
              <w:left w:val="nil"/>
              <w:bottom w:val="single" w:sz="4" w:space="0" w:color="auto"/>
              <w:right w:val="single" w:sz="4" w:space="0" w:color="auto"/>
            </w:tcBorders>
            <w:shd w:val="clear" w:color="auto" w:fill="auto"/>
            <w:vAlign w:val="center"/>
            <w:hideMark/>
          </w:tcPr>
          <w:p w14:paraId="1A73C06F" w14:textId="0C2473B5" w:rsidR="00857732" w:rsidRPr="007F504D" w:rsidRDefault="00857732" w:rsidP="009279AF">
            <w:pPr>
              <w:rPr>
                <w:rFonts w:cs="Calibri"/>
                <w:color w:val="000000"/>
                <w:szCs w:val="22"/>
              </w:rPr>
            </w:pPr>
            <w:r w:rsidRPr="007F504D">
              <w:rPr>
                <w:rFonts w:cs="Calibri"/>
                <w:color w:val="000000"/>
                <w:szCs w:val="22"/>
              </w:rPr>
              <w:t>Reporting entity's Australian Business Number, if applicable</w:t>
            </w:r>
            <w:r w:rsidR="002D2AA3">
              <w:rPr>
                <w:rFonts w:cs="Calibri"/>
                <w:color w:val="000000"/>
                <w:szCs w:val="22"/>
              </w:rPr>
              <w:t>.</w:t>
            </w:r>
          </w:p>
        </w:tc>
      </w:tr>
      <w:tr w:rsidR="00857732" w:rsidRPr="007F504D" w14:paraId="25C5CFD2"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F38C91" w14:textId="77777777" w:rsidR="00857732" w:rsidRPr="007F504D" w:rsidRDefault="00857732" w:rsidP="009A45C3">
            <w:pPr>
              <w:rPr>
                <w:rFonts w:cs="Calibri"/>
                <w:szCs w:val="22"/>
              </w:rPr>
            </w:pPr>
            <w:r w:rsidRPr="007F504D">
              <w:rPr>
                <w:rFonts w:cs="Calibri"/>
                <w:szCs w:val="22"/>
              </w:rPr>
              <w:t>Entity ACN</w:t>
            </w:r>
          </w:p>
        </w:tc>
        <w:tc>
          <w:tcPr>
            <w:tcW w:w="3288" w:type="dxa"/>
            <w:gridSpan w:val="3"/>
            <w:tcBorders>
              <w:top w:val="nil"/>
              <w:left w:val="nil"/>
              <w:bottom w:val="single" w:sz="4" w:space="0" w:color="auto"/>
              <w:right w:val="single" w:sz="4" w:space="0" w:color="auto"/>
            </w:tcBorders>
            <w:shd w:val="clear" w:color="auto" w:fill="auto"/>
            <w:vAlign w:val="center"/>
            <w:hideMark/>
          </w:tcPr>
          <w:p w14:paraId="23375E60" w14:textId="1986FB98" w:rsidR="00857732" w:rsidRPr="007F504D" w:rsidRDefault="00857732" w:rsidP="00AF02BF">
            <w:pPr>
              <w:jc w:val="center"/>
              <w:rPr>
                <w:rFonts w:cs="Calibri"/>
                <w:color w:val="000000"/>
                <w:szCs w:val="22"/>
              </w:rPr>
            </w:pPr>
            <w:r w:rsidRPr="007F504D">
              <w:rPr>
                <w:rFonts w:cs="Calibri"/>
                <w:color w:val="000000"/>
                <w:szCs w:val="22"/>
              </w:rPr>
              <w:t>Pre-populated</w:t>
            </w:r>
          </w:p>
        </w:tc>
        <w:tc>
          <w:tcPr>
            <w:tcW w:w="8439" w:type="dxa"/>
            <w:tcBorders>
              <w:top w:val="nil"/>
              <w:left w:val="nil"/>
              <w:bottom w:val="single" w:sz="4" w:space="0" w:color="auto"/>
              <w:right w:val="single" w:sz="4" w:space="0" w:color="auto"/>
            </w:tcBorders>
            <w:shd w:val="clear" w:color="auto" w:fill="auto"/>
            <w:vAlign w:val="center"/>
            <w:hideMark/>
          </w:tcPr>
          <w:p w14:paraId="1E2C5501" w14:textId="68894AD2" w:rsidR="00857732" w:rsidRPr="007F504D" w:rsidRDefault="00857732" w:rsidP="009279AF">
            <w:pPr>
              <w:rPr>
                <w:rFonts w:cs="Calibri"/>
                <w:color w:val="000000"/>
                <w:szCs w:val="22"/>
              </w:rPr>
            </w:pPr>
            <w:r w:rsidRPr="007F504D">
              <w:rPr>
                <w:rFonts w:cs="Calibri"/>
                <w:color w:val="000000"/>
                <w:szCs w:val="22"/>
              </w:rPr>
              <w:t>Reporting entity's Australian Company Number, if applicable</w:t>
            </w:r>
            <w:r w:rsidR="002D2AA3">
              <w:rPr>
                <w:rFonts w:cs="Calibri"/>
                <w:color w:val="000000"/>
                <w:szCs w:val="22"/>
              </w:rPr>
              <w:t>.</w:t>
            </w:r>
          </w:p>
        </w:tc>
      </w:tr>
      <w:tr w:rsidR="00857732" w:rsidRPr="007F504D" w14:paraId="4F9AFFDA"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C27791" w14:textId="77777777" w:rsidR="00857732" w:rsidRPr="007F504D" w:rsidRDefault="00857732" w:rsidP="009A45C3">
            <w:pPr>
              <w:rPr>
                <w:rFonts w:cs="Calibri"/>
                <w:szCs w:val="22"/>
              </w:rPr>
            </w:pPr>
            <w:r w:rsidRPr="007F504D">
              <w:rPr>
                <w:rFonts w:cs="Calibri"/>
                <w:szCs w:val="22"/>
              </w:rPr>
              <w:t>Entity ARBN</w:t>
            </w:r>
          </w:p>
        </w:tc>
        <w:tc>
          <w:tcPr>
            <w:tcW w:w="3288" w:type="dxa"/>
            <w:gridSpan w:val="3"/>
            <w:tcBorders>
              <w:top w:val="nil"/>
              <w:left w:val="nil"/>
              <w:bottom w:val="single" w:sz="4" w:space="0" w:color="auto"/>
              <w:right w:val="single" w:sz="4" w:space="0" w:color="auto"/>
            </w:tcBorders>
            <w:shd w:val="clear" w:color="auto" w:fill="auto"/>
            <w:vAlign w:val="center"/>
            <w:hideMark/>
          </w:tcPr>
          <w:p w14:paraId="3BAE9293" w14:textId="1BF5B2F6" w:rsidR="00857732" w:rsidRPr="007F504D" w:rsidRDefault="00857732" w:rsidP="00AF02BF">
            <w:pPr>
              <w:jc w:val="center"/>
              <w:rPr>
                <w:rFonts w:cs="Calibri"/>
                <w:color w:val="000000"/>
                <w:szCs w:val="22"/>
              </w:rPr>
            </w:pPr>
            <w:r w:rsidRPr="007F504D">
              <w:rPr>
                <w:rFonts w:cs="Calibri"/>
                <w:color w:val="000000"/>
                <w:szCs w:val="22"/>
              </w:rPr>
              <w:t>Pre-populated</w:t>
            </w:r>
          </w:p>
        </w:tc>
        <w:tc>
          <w:tcPr>
            <w:tcW w:w="8439" w:type="dxa"/>
            <w:tcBorders>
              <w:top w:val="nil"/>
              <w:left w:val="nil"/>
              <w:bottom w:val="single" w:sz="4" w:space="0" w:color="auto"/>
              <w:right w:val="single" w:sz="4" w:space="0" w:color="auto"/>
            </w:tcBorders>
            <w:shd w:val="clear" w:color="auto" w:fill="auto"/>
            <w:vAlign w:val="center"/>
            <w:hideMark/>
          </w:tcPr>
          <w:p w14:paraId="3339E88C" w14:textId="506A5BA8" w:rsidR="00857732" w:rsidRPr="007F504D" w:rsidRDefault="00857732" w:rsidP="009279AF">
            <w:pPr>
              <w:rPr>
                <w:rFonts w:cs="Calibri"/>
                <w:color w:val="000000"/>
                <w:szCs w:val="22"/>
              </w:rPr>
            </w:pPr>
            <w:r w:rsidRPr="007F504D">
              <w:rPr>
                <w:rFonts w:cs="Calibri"/>
                <w:color w:val="000000"/>
                <w:szCs w:val="22"/>
              </w:rPr>
              <w:t>Reporting entity's Australian Registered Body Number, if applicable</w:t>
            </w:r>
            <w:r w:rsidR="002D2AA3">
              <w:rPr>
                <w:rFonts w:cs="Calibri"/>
                <w:color w:val="000000"/>
                <w:szCs w:val="22"/>
              </w:rPr>
              <w:t>.</w:t>
            </w:r>
          </w:p>
        </w:tc>
      </w:tr>
      <w:tr w:rsidR="00236DB9" w:rsidRPr="007F504D" w14:paraId="0BEB3B9D"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467EDCD9" w14:textId="0311BA2A" w:rsidR="00236DB9" w:rsidRPr="007F504D" w:rsidRDefault="00236DB9" w:rsidP="009A45C3">
            <w:pPr>
              <w:spacing w:before="80" w:after="80"/>
              <w:rPr>
                <w:szCs w:val="22"/>
              </w:rPr>
            </w:pPr>
            <w:r w:rsidRPr="00CA5EC4">
              <w:rPr>
                <w:b/>
                <w:bCs/>
                <w:color w:val="FFFFFF" w:themeColor="background1"/>
                <w:sz w:val="24"/>
                <w:szCs w:val="24"/>
              </w:rPr>
              <w:t>Report Details</w:t>
            </w:r>
          </w:p>
        </w:tc>
      </w:tr>
      <w:tr w:rsidR="00236DB9" w:rsidRPr="007F504D" w14:paraId="45A3DE0B"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C5E2E2"/>
            <w:noWrap/>
            <w:vAlign w:val="center"/>
            <w:hideMark/>
          </w:tcPr>
          <w:p w14:paraId="1DAE5FF4" w14:textId="27F2EF02" w:rsidR="00236DB9" w:rsidRPr="00F52060" w:rsidRDefault="00236DB9" w:rsidP="009A45C3">
            <w:pPr>
              <w:spacing w:before="40" w:after="40"/>
              <w:rPr>
                <w:rFonts w:cs="Calibri"/>
                <w:i/>
                <w:color w:val="000000"/>
                <w:szCs w:val="22"/>
              </w:rPr>
            </w:pPr>
            <w:r w:rsidRPr="00F52060">
              <w:rPr>
                <w:rFonts w:cs="Calibri"/>
                <w:i/>
                <w:color w:val="000000"/>
                <w:szCs w:val="22"/>
              </w:rPr>
              <w:t>Reporting Period</w:t>
            </w:r>
          </w:p>
        </w:tc>
      </w:tr>
      <w:tr w:rsidR="00655286" w:rsidRPr="007F504D" w14:paraId="1AD54D27"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8A33FF" w14:textId="77777777" w:rsidR="00600075" w:rsidRPr="007F504D" w:rsidRDefault="00600075" w:rsidP="009A45C3">
            <w:pPr>
              <w:rPr>
                <w:rFonts w:cs="Calibri"/>
                <w:szCs w:val="22"/>
              </w:rPr>
            </w:pPr>
            <w:r w:rsidRPr="007F504D">
              <w:rPr>
                <w:rFonts w:cs="Calibri"/>
                <w:szCs w:val="22"/>
              </w:rPr>
              <w:t xml:space="preserve">Reporting </w:t>
            </w:r>
            <w:proofErr w:type="gramStart"/>
            <w:r w:rsidRPr="007F504D">
              <w:rPr>
                <w:rFonts w:cs="Calibri"/>
                <w:szCs w:val="22"/>
              </w:rPr>
              <w:t>period</w:t>
            </w:r>
            <w:proofErr w:type="gramEnd"/>
            <w:r w:rsidRPr="007F504D">
              <w:rPr>
                <w:rFonts w:cs="Calibri"/>
                <w:szCs w:val="22"/>
              </w:rPr>
              <w:t xml:space="preserve"> start date</w:t>
            </w:r>
          </w:p>
        </w:tc>
        <w:tc>
          <w:tcPr>
            <w:tcW w:w="1644" w:type="dxa"/>
            <w:tcBorders>
              <w:top w:val="nil"/>
              <w:left w:val="nil"/>
              <w:bottom w:val="single" w:sz="4" w:space="0" w:color="auto"/>
              <w:right w:val="single" w:sz="4" w:space="0" w:color="auto"/>
            </w:tcBorders>
            <w:shd w:val="clear" w:color="auto" w:fill="auto"/>
            <w:vAlign w:val="center"/>
            <w:hideMark/>
          </w:tcPr>
          <w:p w14:paraId="62F99BF8"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CE16D3C" w14:textId="77777777" w:rsidR="00600075" w:rsidRPr="007F504D" w:rsidRDefault="00600075" w:rsidP="00AF02BF">
            <w:pPr>
              <w:jc w:val="center"/>
              <w:rPr>
                <w:rFonts w:cs="Calibri"/>
                <w:color w:val="000000"/>
                <w:szCs w:val="22"/>
              </w:rPr>
            </w:pPr>
            <w:r w:rsidRPr="007F504D">
              <w:rPr>
                <w:rFonts w:cs="Calibri"/>
                <w:color w:val="000000"/>
                <w:szCs w:val="22"/>
              </w:rPr>
              <w:t>DD/MM/YYYY</w:t>
            </w:r>
          </w:p>
        </w:tc>
        <w:tc>
          <w:tcPr>
            <w:tcW w:w="8439" w:type="dxa"/>
            <w:tcBorders>
              <w:top w:val="nil"/>
              <w:left w:val="nil"/>
              <w:bottom w:val="single" w:sz="4" w:space="0" w:color="auto"/>
              <w:right w:val="single" w:sz="4" w:space="0" w:color="auto"/>
            </w:tcBorders>
            <w:shd w:val="clear" w:color="auto" w:fill="auto"/>
            <w:vAlign w:val="center"/>
            <w:hideMark/>
          </w:tcPr>
          <w:p w14:paraId="0F285F1B" w14:textId="5696964A" w:rsidR="00600075" w:rsidRPr="007F504D" w:rsidRDefault="00600075" w:rsidP="009279AF">
            <w:pPr>
              <w:rPr>
                <w:rFonts w:cs="Calibri"/>
                <w:color w:val="000000"/>
                <w:szCs w:val="22"/>
              </w:rPr>
            </w:pPr>
            <w:r w:rsidRPr="007F504D">
              <w:rPr>
                <w:rFonts w:cs="Calibri"/>
                <w:color w:val="000000"/>
                <w:szCs w:val="22"/>
              </w:rPr>
              <w:t>The starting date of the reporting period covered in the report</w:t>
            </w:r>
            <w:r w:rsidR="002D2AA3">
              <w:rPr>
                <w:rFonts w:cs="Calibri"/>
                <w:color w:val="000000"/>
                <w:szCs w:val="22"/>
              </w:rPr>
              <w:t>.</w:t>
            </w:r>
          </w:p>
        </w:tc>
      </w:tr>
      <w:tr w:rsidR="00655286" w:rsidRPr="007F504D" w14:paraId="6A01D405"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3FD8971" w14:textId="77777777" w:rsidR="00600075" w:rsidRPr="007F504D" w:rsidRDefault="00600075" w:rsidP="009A45C3">
            <w:pPr>
              <w:rPr>
                <w:rFonts w:cs="Calibri"/>
                <w:szCs w:val="22"/>
              </w:rPr>
            </w:pPr>
            <w:r w:rsidRPr="007F504D">
              <w:rPr>
                <w:rFonts w:cs="Calibri"/>
                <w:szCs w:val="22"/>
              </w:rPr>
              <w:t>Reporting period end date</w:t>
            </w:r>
          </w:p>
        </w:tc>
        <w:tc>
          <w:tcPr>
            <w:tcW w:w="1644" w:type="dxa"/>
            <w:tcBorders>
              <w:top w:val="nil"/>
              <w:left w:val="nil"/>
              <w:bottom w:val="single" w:sz="4" w:space="0" w:color="auto"/>
              <w:right w:val="single" w:sz="4" w:space="0" w:color="auto"/>
            </w:tcBorders>
            <w:shd w:val="clear" w:color="auto" w:fill="auto"/>
            <w:vAlign w:val="center"/>
            <w:hideMark/>
          </w:tcPr>
          <w:p w14:paraId="308E7756"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484FC6D" w14:textId="77777777" w:rsidR="00600075" w:rsidRPr="007F504D" w:rsidRDefault="00600075" w:rsidP="00AF02BF">
            <w:pPr>
              <w:jc w:val="center"/>
              <w:rPr>
                <w:rFonts w:cs="Calibri"/>
                <w:color w:val="000000"/>
                <w:szCs w:val="22"/>
              </w:rPr>
            </w:pPr>
            <w:r w:rsidRPr="007F504D">
              <w:rPr>
                <w:rFonts w:cs="Calibri"/>
                <w:color w:val="000000"/>
                <w:szCs w:val="22"/>
              </w:rPr>
              <w:t>DD/MM/YYYY</w:t>
            </w:r>
          </w:p>
        </w:tc>
        <w:tc>
          <w:tcPr>
            <w:tcW w:w="8439" w:type="dxa"/>
            <w:tcBorders>
              <w:top w:val="nil"/>
              <w:left w:val="nil"/>
              <w:bottom w:val="single" w:sz="4" w:space="0" w:color="auto"/>
              <w:right w:val="single" w:sz="4" w:space="0" w:color="auto"/>
            </w:tcBorders>
            <w:shd w:val="clear" w:color="auto" w:fill="auto"/>
            <w:vAlign w:val="center"/>
            <w:hideMark/>
          </w:tcPr>
          <w:p w14:paraId="5CD4C7CC" w14:textId="621F1BBD" w:rsidR="00600075" w:rsidRPr="007F504D" w:rsidRDefault="00600075" w:rsidP="009279AF">
            <w:pPr>
              <w:rPr>
                <w:rFonts w:cs="Calibri"/>
                <w:color w:val="000000"/>
                <w:szCs w:val="22"/>
              </w:rPr>
            </w:pPr>
            <w:r w:rsidRPr="007F504D">
              <w:rPr>
                <w:rFonts w:cs="Calibri"/>
                <w:color w:val="000000"/>
                <w:szCs w:val="22"/>
              </w:rPr>
              <w:t>The end date of the reporting period covered in the report</w:t>
            </w:r>
            <w:r w:rsidR="002D2AA3">
              <w:rPr>
                <w:rFonts w:cs="Calibri"/>
                <w:color w:val="000000"/>
                <w:szCs w:val="22"/>
              </w:rPr>
              <w:t>.</w:t>
            </w:r>
          </w:p>
        </w:tc>
      </w:tr>
      <w:tr w:rsidR="00236DB9" w:rsidRPr="007F504D" w14:paraId="0A742FBF"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C5E2E2"/>
            <w:noWrap/>
            <w:vAlign w:val="center"/>
            <w:hideMark/>
          </w:tcPr>
          <w:p w14:paraId="07FCDB42" w14:textId="407D1B92" w:rsidR="00236DB9" w:rsidRPr="007F504D" w:rsidRDefault="00236DB9" w:rsidP="009A45C3">
            <w:pPr>
              <w:spacing w:before="40" w:after="40"/>
              <w:rPr>
                <w:rFonts w:cs="Calibri"/>
                <w:i/>
                <w:color w:val="000000"/>
                <w:szCs w:val="22"/>
              </w:rPr>
            </w:pPr>
            <w:r w:rsidRPr="00930D20">
              <w:rPr>
                <w:rFonts w:cs="Calibri"/>
                <w:i/>
                <w:color w:val="000000"/>
                <w:szCs w:val="22"/>
              </w:rPr>
              <w:t>Approver</w:t>
            </w:r>
          </w:p>
        </w:tc>
      </w:tr>
      <w:tr w:rsidR="00AD2DE8" w:rsidRPr="007F504D" w14:paraId="7F8126CB"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65871C7" w14:textId="6FEC506F" w:rsidR="00600075" w:rsidRPr="007F504D" w:rsidRDefault="00600075" w:rsidP="009A45C3">
            <w:pPr>
              <w:rPr>
                <w:rFonts w:cs="Calibri"/>
                <w:szCs w:val="22"/>
              </w:rPr>
            </w:pPr>
            <w:r w:rsidRPr="007F504D">
              <w:rPr>
                <w:rFonts w:cs="Calibri"/>
                <w:szCs w:val="22"/>
              </w:rPr>
              <w:t xml:space="preserve">Approving responsible member </w:t>
            </w:r>
            <w:r w:rsidR="00F25D41">
              <w:rPr>
                <w:rFonts w:cs="Calibri"/>
                <w:szCs w:val="22"/>
              </w:rPr>
              <w:t>given name</w:t>
            </w:r>
          </w:p>
        </w:tc>
        <w:tc>
          <w:tcPr>
            <w:tcW w:w="1644" w:type="dxa"/>
            <w:tcBorders>
              <w:top w:val="nil"/>
              <w:left w:val="nil"/>
              <w:bottom w:val="single" w:sz="4" w:space="0" w:color="auto"/>
              <w:right w:val="single" w:sz="4" w:space="0" w:color="auto"/>
            </w:tcBorders>
            <w:shd w:val="clear" w:color="auto" w:fill="auto"/>
            <w:vAlign w:val="center"/>
            <w:hideMark/>
          </w:tcPr>
          <w:p w14:paraId="2A11AC65" w14:textId="77777777" w:rsidR="00600075" w:rsidRPr="007F504D" w:rsidRDefault="00600075" w:rsidP="00AF02BF">
            <w:pPr>
              <w:jc w:val="center"/>
              <w:rPr>
                <w:rFonts w:cs="Calibri"/>
                <w:color w:val="000000"/>
                <w:szCs w:val="22"/>
              </w:rPr>
            </w:pPr>
            <w:r w:rsidRPr="007F504D">
              <w:rPr>
                <w:rFonts w:cs="Calibri"/>
                <w:color w:val="000000"/>
                <w:szCs w:val="22"/>
              </w:rPr>
              <w:t>Recommended</w:t>
            </w:r>
          </w:p>
        </w:tc>
        <w:tc>
          <w:tcPr>
            <w:tcW w:w="1644" w:type="dxa"/>
            <w:gridSpan w:val="2"/>
            <w:tcBorders>
              <w:top w:val="nil"/>
              <w:left w:val="nil"/>
              <w:bottom w:val="single" w:sz="4" w:space="0" w:color="auto"/>
              <w:right w:val="single" w:sz="4" w:space="0" w:color="auto"/>
            </w:tcBorders>
            <w:shd w:val="clear" w:color="auto" w:fill="auto"/>
            <w:vAlign w:val="center"/>
            <w:hideMark/>
          </w:tcPr>
          <w:p w14:paraId="030F7503" w14:textId="7124A39B" w:rsidR="00600075" w:rsidRPr="007F504D" w:rsidRDefault="00600075" w:rsidP="00AF02BF">
            <w:pPr>
              <w:jc w:val="center"/>
              <w:rPr>
                <w:rFonts w:cs="Calibri"/>
                <w:color w:val="000000"/>
                <w:szCs w:val="22"/>
              </w:rPr>
            </w:pPr>
            <w:r w:rsidRPr="007F504D">
              <w:rPr>
                <w:rFonts w:cs="Calibri"/>
                <w:color w:val="000000"/>
                <w:szCs w:val="22"/>
              </w:rPr>
              <w:t>Text</w:t>
            </w:r>
          </w:p>
        </w:tc>
        <w:tc>
          <w:tcPr>
            <w:tcW w:w="8439" w:type="dxa"/>
            <w:tcBorders>
              <w:top w:val="nil"/>
              <w:left w:val="nil"/>
              <w:bottom w:val="single" w:sz="4" w:space="0" w:color="auto"/>
              <w:right w:val="single" w:sz="4" w:space="0" w:color="auto"/>
            </w:tcBorders>
            <w:shd w:val="clear" w:color="auto" w:fill="auto"/>
            <w:vAlign w:val="center"/>
            <w:hideMark/>
          </w:tcPr>
          <w:p w14:paraId="0308B129" w14:textId="5FDCB59F" w:rsidR="00600075" w:rsidRPr="007F504D" w:rsidRDefault="00F25D41" w:rsidP="009279AF">
            <w:pPr>
              <w:rPr>
                <w:rFonts w:cs="Calibri"/>
                <w:color w:val="000000"/>
                <w:szCs w:val="22"/>
              </w:rPr>
            </w:pPr>
            <w:r>
              <w:rPr>
                <w:rFonts w:cs="Calibri"/>
                <w:color w:val="000000"/>
                <w:szCs w:val="22"/>
              </w:rPr>
              <w:t>Given name</w:t>
            </w:r>
            <w:r w:rsidR="00600075" w:rsidRPr="007F504D">
              <w:rPr>
                <w:rFonts w:cs="Calibri"/>
                <w:color w:val="000000"/>
                <w:szCs w:val="22"/>
              </w:rPr>
              <w:t xml:space="preserve"> of the responsible member who approved the report. </w:t>
            </w:r>
          </w:p>
        </w:tc>
      </w:tr>
      <w:tr w:rsidR="00655286" w:rsidRPr="007F504D" w14:paraId="34F8D371"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8BA33BA" w14:textId="4FE3BFFA" w:rsidR="00600075" w:rsidRPr="007F504D" w:rsidRDefault="00600075" w:rsidP="009A45C3">
            <w:pPr>
              <w:rPr>
                <w:rFonts w:cs="Calibri"/>
                <w:szCs w:val="22"/>
              </w:rPr>
            </w:pPr>
            <w:r w:rsidRPr="007F504D">
              <w:rPr>
                <w:rFonts w:cs="Calibri"/>
                <w:szCs w:val="22"/>
              </w:rPr>
              <w:t xml:space="preserve">Approving responsible member </w:t>
            </w:r>
            <w:r w:rsidR="00F25D41">
              <w:rPr>
                <w:rFonts w:cs="Calibri"/>
                <w:szCs w:val="22"/>
              </w:rPr>
              <w:t>family name</w:t>
            </w:r>
          </w:p>
        </w:tc>
        <w:tc>
          <w:tcPr>
            <w:tcW w:w="1644" w:type="dxa"/>
            <w:tcBorders>
              <w:top w:val="nil"/>
              <w:left w:val="nil"/>
              <w:bottom w:val="single" w:sz="4" w:space="0" w:color="auto"/>
              <w:right w:val="single" w:sz="4" w:space="0" w:color="auto"/>
            </w:tcBorders>
            <w:shd w:val="clear" w:color="auto" w:fill="auto"/>
            <w:vAlign w:val="center"/>
            <w:hideMark/>
          </w:tcPr>
          <w:p w14:paraId="3A5F2DD4"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06DEDE3" w14:textId="25A5630D" w:rsidR="00600075" w:rsidRPr="007F504D" w:rsidRDefault="00600075" w:rsidP="00AF02BF">
            <w:pPr>
              <w:jc w:val="center"/>
              <w:rPr>
                <w:rFonts w:cs="Calibri"/>
                <w:color w:val="000000"/>
                <w:szCs w:val="22"/>
              </w:rPr>
            </w:pPr>
            <w:r w:rsidRPr="007F504D">
              <w:rPr>
                <w:rFonts w:cs="Calibri"/>
                <w:color w:val="000000"/>
                <w:szCs w:val="22"/>
              </w:rPr>
              <w:t>Text</w:t>
            </w:r>
          </w:p>
        </w:tc>
        <w:tc>
          <w:tcPr>
            <w:tcW w:w="8439" w:type="dxa"/>
            <w:tcBorders>
              <w:top w:val="nil"/>
              <w:left w:val="nil"/>
              <w:bottom w:val="single" w:sz="4" w:space="0" w:color="auto"/>
              <w:right w:val="single" w:sz="4" w:space="0" w:color="auto"/>
            </w:tcBorders>
            <w:shd w:val="clear" w:color="auto" w:fill="auto"/>
            <w:vAlign w:val="center"/>
            <w:hideMark/>
          </w:tcPr>
          <w:p w14:paraId="444C0F6E" w14:textId="516C3FB9" w:rsidR="00600075" w:rsidRPr="007F504D" w:rsidRDefault="00F25D41" w:rsidP="009279AF">
            <w:pPr>
              <w:rPr>
                <w:rFonts w:cs="Calibri"/>
                <w:color w:val="000000"/>
                <w:szCs w:val="22"/>
              </w:rPr>
            </w:pPr>
            <w:r>
              <w:rPr>
                <w:rFonts w:cs="Calibri"/>
                <w:color w:val="000000"/>
                <w:szCs w:val="22"/>
              </w:rPr>
              <w:t>Family name</w:t>
            </w:r>
            <w:r w:rsidR="00600075" w:rsidRPr="007F504D">
              <w:rPr>
                <w:rFonts w:cs="Calibri"/>
                <w:color w:val="000000"/>
                <w:szCs w:val="22"/>
              </w:rPr>
              <w:t xml:space="preserve"> of the responsible member who approved the report. </w:t>
            </w:r>
          </w:p>
        </w:tc>
      </w:tr>
      <w:tr w:rsidR="00AD2DE8" w:rsidRPr="007F504D" w14:paraId="4C338381"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D45FC8" w14:textId="77777777" w:rsidR="00600075" w:rsidRPr="007F504D" w:rsidRDefault="00600075" w:rsidP="009A45C3">
            <w:pPr>
              <w:rPr>
                <w:rFonts w:cs="Calibri"/>
                <w:szCs w:val="22"/>
              </w:rPr>
            </w:pPr>
            <w:r w:rsidRPr="007F504D">
              <w:rPr>
                <w:rFonts w:cs="Calibri"/>
                <w:szCs w:val="22"/>
              </w:rPr>
              <w:t>Responsible member approval date</w:t>
            </w:r>
          </w:p>
        </w:tc>
        <w:tc>
          <w:tcPr>
            <w:tcW w:w="1644" w:type="dxa"/>
            <w:tcBorders>
              <w:top w:val="nil"/>
              <w:left w:val="nil"/>
              <w:bottom w:val="single" w:sz="4" w:space="0" w:color="auto"/>
              <w:right w:val="single" w:sz="4" w:space="0" w:color="auto"/>
            </w:tcBorders>
            <w:shd w:val="clear" w:color="auto" w:fill="auto"/>
            <w:vAlign w:val="center"/>
            <w:hideMark/>
          </w:tcPr>
          <w:p w14:paraId="166B4B4F"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D34CC66" w14:textId="77777777" w:rsidR="00600075" w:rsidRPr="007F504D" w:rsidRDefault="00600075" w:rsidP="00AF02BF">
            <w:pPr>
              <w:jc w:val="center"/>
              <w:rPr>
                <w:rFonts w:cs="Calibri"/>
                <w:color w:val="000000"/>
                <w:szCs w:val="22"/>
              </w:rPr>
            </w:pPr>
            <w:r w:rsidRPr="007F504D">
              <w:rPr>
                <w:rFonts w:cs="Calibri"/>
                <w:color w:val="000000"/>
                <w:szCs w:val="22"/>
              </w:rPr>
              <w:t>DD/MM/YYYY</w:t>
            </w:r>
          </w:p>
        </w:tc>
        <w:tc>
          <w:tcPr>
            <w:tcW w:w="8439" w:type="dxa"/>
            <w:tcBorders>
              <w:top w:val="nil"/>
              <w:left w:val="nil"/>
              <w:bottom w:val="single" w:sz="4" w:space="0" w:color="auto"/>
              <w:right w:val="single" w:sz="4" w:space="0" w:color="auto"/>
            </w:tcBorders>
            <w:shd w:val="clear" w:color="auto" w:fill="auto"/>
            <w:vAlign w:val="center"/>
            <w:hideMark/>
          </w:tcPr>
          <w:p w14:paraId="5D922F75" w14:textId="77777777" w:rsidR="00600075" w:rsidRPr="007F504D" w:rsidRDefault="00600075" w:rsidP="009279AF">
            <w:pPr>
              <w:rPr>
                <w:rFonts w:cs="Calibri"/>
                <w:color w:val="000000"/>
                <w:szCs w:val="22"/>
              </w:rPr>
            </w:pPr>
            <w:r w:rsidRPr="007F504D">
              <w:rPr>
                <w:rFonts w:cs="Calibri"/>
                <w:color w:val="000000"/>
                <w:szCs w:val="22"/>
              </w:rPr>
              <w:t xml:space="preserve">The date that the responsible member who approved the report. </w:t>
            </w:r>
          </w:p>
        </w:tc>
      </w:tr>
      <w:tr w:rsidR="00236DB9" w:rsidRPr="007F504D" w14:paraId="1D087093"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06524407" w14:textId="6AEE3B81" w:rsidR="00236DB9" w:rsidRPr="007F504D" w:rsidRDefault="00236DB9" w:rsidP="009A45C3">
            <w:pPr>
              <w:keepNext/>
              <w:spacing w:before="80" w:after="80"/>
              <w:rPr>
                <w:i/>
                <w:iCs/>
                <w:szCs w:val="22"/>
              </w:rPr>
            </w:pPr>
            <w:r w:rsidRPr="00CA5EC4">
              <w:rPr>
                <w:b/>
                <w:bCs/>
                <w:color w:val="FFFFFF" w:themeColor="background1"/>
                <w:sz w:val="24"/>
                <w:szCs w:val="24"/>
              </w:rPr>
              <w:lastRenderedPageBreak/>
              <w:t>Payment Practices</w:t>
            </w:r>
          </w:p>
        </w:tc>
      </w:tr>
      <w:tr w:rsidR="00F95BF0" w:rsidRPr="007F504D" w14:paraId="116903F1"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D37B6F" w14:textId="77777777" w:rsidR="00600075" w:rsidRPr="007F504D" w:rsidRDefault="00600075" w:rsidP="009A45C3">
            <w:pPr>
              <w:rPr>
                <w:rFonts w:cs="Calibri"/>
                <w:szCs w:val="22"/>
              </w:rPr>
            </w:pPr>
            <w:r w:rsidRPr="007F504D">
              <w:rPr>
                <w:rFonts w:cs="Calibri"/>
                <w:szCs w:val="22"/>
              </w:rPr>
              <w:t>Offers supply chain finance arrangements</w:t>
            </w:r>
          </w:p>
        </w:tc>
        <w:tc>
          <w:tcPr>
            <w:tcW w:w="1644" w:type="dxa"/>
            <w:tcBorders>
              <w:top w:val="nil"/>
              <w:left w:val="nil"/>
              <w:bottom w:val="single" w:sz="4" w:space="0" w:color="auto"/>
              <w:right w:val="single" w:sz="4" w:space="0" w:color="auto"/>
            </w:tcBorders>
            <w:shd w:val="clear" w:color="auto" w:fill="auto"/>
            <w:vAlign w:val="center"/>
            <w:hideMark/>
          </w:tcPr>
          <w:p w14:paraId="37334ED4"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4663FE5F" w14:textId="786A7D4E" w:rsidR="00600075" w:rsidRPr="007F504D" w:rsidRDefault="00600075" w:rsidP="00AF02BF">
            <w:pPr>
              <w:jc w:val="center"/>
              <w:rPr>
                <w:rFonts w:cs="Calibri"/>
                <w:color w:val="000000"/>
                <w:szCs w:val="22"/>
              </w:rPr>
            </w:pPr>
            <w:r w:rsidRPr="007F504D">
              <w:rPr>
                <w:rFonts w:cs="Calibri"/>
                <w:color w:val="000000"/>
                <w:szCs w:val="22"/>
              </w:rPr>
              <w:t>Single selection from list/</w:t>
            </w:r>
            <w:r w:rsidR="00525241">
              <w:rPr>
                <w:rFonts w:cs="Calibri"/>
                <w:color w:val="000000"/>
                <w:szCs w:val="22"/>
              </w:rPr>
              <w:t xml:space="preserve"> </w:t>
            </w:r>
            <w:r w:rsidRPr="007F504D">
              <w:rPr>
                <w:rFonts w:cs="Calibri"/>
                <w:color w:val="000000"/>
                <w:szCs w:val="22"/>
              </w:rPr>
              <w:t>dropdown</w:t>
            </w:r>
          </w:p>
        </w:tc>
        <w:tc>
          <w:tcPr>
            <w:tcW w:w="8439" w:type="dxa"/>
            <w:tcBorders>
              <w:top w:val="nil"/>
              <w:left w:val="nil"/>
              <w:bottom w:val="single" w:sz="4" w:space="0" w:color="auto"/>
              <w:right w:val="single" w:sz="4" w:space="0" w:color="auto"/>
            </w:tcBorders>
            <w:shd w:val="clear" w:color="auto" w:fill="auto"/>
            <w:vAlign w:val="center"/>
            <w:hideMark/>
          </w:tcPr>
          <w:p w14:paraId="3327FC1A" w14:textId="77777777" w:rsidR="009279AF" w:rsidRPr="007F504D" w:rsidRDefault="00600075" w:rsidP="009279AF">
            <w:pPr>
              <w:rPr>
                <w:color w:val="000000"/>
                <w:szCs w:val="22"/>
              </w:rPr>
            </w:pPr>
            <w:r w:rsidRPr="007F504D">
              <w:rPr>
                <w:rFonts w:cs="Calibri"/>
                <w:color w:val="000000"/>
                <w:szCs w:val="22"/>
              </w:rPr>
              <w:t xml:space="preserve">Whether or not, during the reporting period, the reporting entity or any of its controlled entities, offered supply chain financing options to small business suppliers. </w:t>
            </w:r>
          </w:p>
          <w:p w14:paraId="1E293604" w14:textId="77777777" w:rsidR="009279AF" w:rsidRPr="007F504D" w:rsidRDefault="00600075" w:rsidP="009279AF">
            <w:pPr>
              <w:rPr>
                <w:color w:val="000000"/>
                <w:szCs w:val="22"/>
              </w:rPr>
            </w:pPr>
            <w:r w:rsidRPr="007F504D">
              <w:rPr>
                <w:rFonts w:cs="Calibri"/>
                <w:color w:val="000000"/>
                <w:szCs w:val="22"/>
              </w:rPr>
              <w:t>Select from options: Yes / No</w:t>
            </w:r>
          </w:p>
          <w:p w14:paraId="052256CF" w14:textId="1FFF3F39" w:rsidR="00600075" w:rsidRPr="0084343A" w:rsidRDefault="00600075" w:rsidP="009279AF">
            <w:pPr>
              <w:rPr>
                <w:rFonts w:cs="Calibri"/>
                <w:i/>
                <w:iCs/>
                <w:color w:val="000000"/>
                <w:szCs w:val="22"/>
              </w:rPr>
            </w:pPr>
            <w:r w:rsidRPr="0084343A">
              <w:rPr>
                <w:b/>
                <w:bCs/>
                <w:i/>
                <w:iCs/>
                <w:color w:val="000000"/>
                <w:szCs w:val="22"/>
              </w:rPr>
              <w:t>Note</w:t>
            </w:r>
            <w:r w:rsidRPr="0084343A">
              <w:rPr>
                <w:i/>
                <w:iCs/>
                <w:color w:val="000000"/>
                <w:szCs w:val="22"/>
              </w:rPr>
              <w:t>:</w:t>
            </w:r>
            <w:r w:rsidRPr="0084343A">
              <w:rPr>
                <w:rFonts w:cs="Calibri"/>
                <w:i/>
                <w:iCs/>
                <w:color w:val="000000"/>
                <w:szCs w:val="22"/>
              </w:rPr>
              <w:t xml:space="preserve"> If answered yes, details of supply chain financing options are to be provided in the 'Report Comments' field.</w:t>
            </w:r>
          </w:p>
        </w:tc>
      </w:tr>
      <w:tr w:rsidR="00F95BF0" w:rsidRPr="007F504D" w14:paraId="35F9A19B"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C8E5A2" w14:textId="77777777" w:rsidR="00600075" w:rsidRPr="007F504D" w:rsidRDefault="00600075" w:rsidP="009A45C3">
            <w:pPr>
              <w:rPr>
                <w:rFonts w:cs="Calibri"/>
                <w:szCs w:val="22"/>
              </w:rPr>
            </w:pPr>
            <w:r w:rsidRPr="007F504D">
              <w:rPr>
                <w:rFonts w:cs="Calibri"/>
                <w:szCs w:val="22"/>
              </w:rPr>
              <w:t>Practices or arrangements to charge fees in the procurement process</w:t>
            </w:r>
          </w:p>
        </w:tc>
        <w:tc>
          <w:tcPr>
            <w:tcW w:w="1644" w:type="dxa"/>
            <w:tcBorders>
              <w:top w:val="nil"/>
              <w:left w:val="nil"/>
              <w:bottom w:val="single" w:sz="4" w:space="0" w:color="auto"/>
              <w:right w:val="single" w:sz="4" w:space="0" w:color="auto"/>
            </w:tcBorders>
            <w:shd w:val="clear" w:color="auto" w:fill="auto"/>
            <w:vAlign w:val="center"/>
            <w:hideMark/>
          </w:tcPr>
          <w:p w14:paraId="2A1E2A5B"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24BA8DE" w14:textId="2D118BF3" w:rsidR="00600075" w:rsidRPr="007F504D" w:rsidRDefault="00600075" w:rsidP="00AF02BF">
            <w:pPr>
              <w:jc w:val="center"/>
              <w:rPr>
                <w:rFonts w:cs="Calibri"/>
                <w:color w:val="000000"/>
                <w:szCs w:val="22"/>
              </w:rPr>
            </w:pPr>
            <w:r w:rsidRPr="007F504D">
              <w:rPr>
                <w:rFonts w:cs="Calibri"/>
                <w:color w:val="000000"/>
                <w:szCs w:val="22"/>
              </w:rPr>
              <w:t>Single selection from list/</w:t>
            </w:r>
            <w:r w:rsidR="00525241">
              <w:rPr>
                <w:rFonts w:cs="Calibri"/>
                <w:color w:val="000000"/>
                <w:szCs w:val="22"/>
              </w:rPr>
              <w:t xml:space="preserve"> </w:t>
            </w:r>
            <w:r w:rsidRPr="007F504D">
              <w:rPr>
                <w:rFonts w:cs="Calibri"/>
                <w:color w:val="000000"/>
                <w:szCs w:val="22"/>
              </w:rPr>
              <w:t>dropdown</w:t>
            </w:r>
          </w:p>
        </w:tc>
        <w:tc>
          <w:tcPr>
            <w:tcW w:w="8439" w:type="dxa"/>
            <w:tcBorders>
              <w:top w:val="nil"/>
              <w:left w:val="nil"/>
              <w:bottom w:val="single" w:sz="4" w:space="0" w:color="auto"/>
              <w:right w:val="single" w:sz="4" w:space="0" w:color="auto"/>
            </w:tcBorders>
            <w:shd w:val="clear" w:color="auto" w:fill="auto"/>
            <w:vAlign w:val="center"/>
            <w:hideMark/>
          </w:tcPr>
          <w:p w14:paraId="4F274B61" w14:textId="77777777" w:rsidR="009279AF" w:rsidRPr="007F504D" w:rsidRDefault="00600075" w:rsidP="009279AF">
            <w:pPr>
              <w:rPr>
                <w:color w:val="000000"/>
                <w:szCs w:val="22"/>
              </w:rPr>
            </w:pPr>
            <w:r w:rsidRPr="007F504D">
              <w:rPr>
                <w:rFonts w:cs="Calibri"/>
                <w:color w:val="000000"/>
                <w:szCs w:val="22"/>
              </w:rPr>
              <w:t xml:space="preserve">Whether or not, during the reporting period, the reporting entity or any of its controlled entities, charged fees for small businesses to participate in procurement processes. </w:t>
            </w:r>
          </w:p>
          <w:p w14:paraId="244C2FA7" w14:textId="77777777" w:rsidR="009279AF" w:rsidRPr="007F504D" w:rsidRDefault="00600075" w:rsidP="009279AF">
            <w:pPr>
              <w:rPr>
                <w:color w:val="000000"/>
                <w:szCs w:val="22"/>
              </w:rPr>
            </w:pPr>
            <w:r w:rsidRPr="007F504D">
              <w:rPr>
                <w:rFonts w:cs="Calibri"/>
                <w:color w:val="000000"/>
                <w:szCs w:val="22"/>
              </w:rPr>
              <w:t>Select from options: Yes / No</w:t>
            </w:r>
          </w:p>
          <w:p w14:paraId="0B9A3540" w14:textId="3183B1E3" w:rsidR="00600075" w:rsidRPr="0084343A" w:rsidRDefault="00600075" w:rsidP="009279AF">
            <w:pPr>
              <w:rPr>
                <w:rFonts w:cs="Calibri"/>
                <w:i/>
                <w:iCs/>
                <w:color w:val="000000"/>
                <w:szCs w:val="22"/>
              </w:rPr>
            </w:pPr>
            <w:r w:rsidRPr="0084343A">
              <w:rPr>
                <w:b/>
                <w:bCs/>
                <w:i/>
                <w:iCs/>
                <w:color w:val="000000"/>
                <w:szCs w:val="22"/>
              </w:rPr>
              <w:t>Note</w:t>
            </w:r>
            <w:r w:rsidRPr="0084343A">
              <w:rPr>
                <w:i/>
                <w:iCs/>
                <w:color w:val="000000"/>
                <w:szCs w:val="22"/>
              </w:rPr>
              <w:t>:</w:t>
            </w:r>
            <w:r w:rsidRPr="0084343A">
              <w:rPr>
                <w:rFonts w:cs="Calibri"/>
                <w:i/>
                <w:iCs/>
                <w:color w:val="000000"/>
                <w:szCs w:val="22"/>
              </w:rPr>
              <w:t xml:space="preserve"> If answered yes, details of any fees collected by the reporting entity or entities it controls are to be provided in the 'Report Comments' field.</w:t>
            </w:r>
          </w:p>
        </w:tc>
      </w:tr>
      <w:tr w:rsidR="00AD2DE8" w:rsidRPr="007F504D" w14:paraId="5F0F38F4"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4B98A7B" w14:textId="77777777" w:rsidR="00600075" w:rsidRPr="007F504D" w:rsidRDefault="00600075" w:rsidP="009A45C3">
            <w:pPr>
              <w:rPr>
                <w:rFonts w:cs="Calibri"/>
                <w:szCs w:val="22"/>
              </w:rPr>
            </w:pPr>
            <w:r w:rsidRPr="007F504D">
              <w:rPr>
                <w:rFonts w:cs="Calibri"/>
                <w:szCs w:val="22"/>
              </w:rPr>
              <w:t>Payment practices to small business - legal or voluntary obligations</w:t>
            </w:r>
          </w:p>
        </w:tc>
        <w:tc>
          <w:tcPr>
            <w:tcW w:w="1644" w:type="dxa"/>
            <w:tcBorders>
              <w:top w:val="nil"/>
              <w:left w:val="nil"/>
              <w:bottom w:val="single" w:sz="4" w:space="0" w:color="auto"/>
              <w:right w:val="single" w:sz="4" w:space="0" w:color="auto"/>
            </w:tcBorders>
            <w:shd w:val="clear" w:color="auto" w:fill="auto"/>
            <w:vAlign w:val="center"/>
            <w:hideMark/>
          </w:tcPr>
          <w:p w14:paraId="1D025BFD"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E8FC170" w14:textId="321273B7" w:rsidR="00600075" w:rsidRPr="007F504D" w:rsidRDefault="00600075" w:rsidP="00AF02BF">
            <w:pPr>
              <w:jc w:val="center"/>
              <w:rPr>
                <w:rFonts w:cs="Calibri"/>
                <w:color w:val="000000"/>
                <w:szCs w:val="22"/>
              </w:rPr>
            </w:pPr>
            <w:r w:rsidRPr="007F504D">
              <w:rPr>
                <w:rFonts w:cs="Calibri"/>
                <w:color w:val="000000"/>
                <w:szCs w:val="22"/>
              </w:rPr>
              <w:t>Single selection from list/</w:t>
            </w:r>
            <w:r w:rsidR="00525241">
              <w:rPr>
                <w:rFonts w:cs="Calibri"/>
                <w:color w:val="000000"/>
                <w:szCs w:val="22"/>
              </w:rPr>
              <w:t xml:space="preserve"> </w:t>
            </w:r>
            <w:r w:rsidRPr="007F504D">
              <w:rPr>
                <w:rFonts w:cs="Calibri"/>
                <w:color w:val="000000"/>
                <w:szCs w:val="22"/>
              </w:rPr>
              <w:t>dropdown</w:t>
            </w:r>
          </w:p>
        </w:tc>
        <w:tc>
          <w:tcPr>
            <w:tcW w:w="8439" w:type="dxa"/>
            <w:tcBorders>
              <w:top w:val="nil"/>
              <w:left w:val="nil"/>
              <w:bottom w:val="single" w:sz="4" w:space="0" w:color="auto"/>
              <w:right w:val="single" w:sz="4" w:space="0" w:color="auto"/>
            </w:tcBorders>
            <w:shd w:val="clear" w:color="auto" w:fill="auto"/>
            <w:vAlign w:val="center"/>
            <w:hideMark/>
          </w:tcPr>
          <w:p w14:paraId="62C120C6" w14:textId="623FB94E" w:rsidR="009279AF" w:rsidRPr="007F504D" w:rsidRDefault="00600075" w:rsidP="009279AF">
            <w:pPr>
              <w:rPr>
                <w:color w:val="000000"/>
                <w:szCs w:val="22"/>
              </w:rPr>
            </w:pPr>
            <w:r w:rsidRPr="007F504D">
              <w:rPr>
                <w:rFonts w:cs="Calibri"/>
                <w:color w:val="000000"/>
                <w:szCs w:val="22"/>
              </w:rPr>
              <w:t>Whether or not the reporting entity, or any of its controlled entities, have legal or voluntary obligations regarding payment times and practi</w:t>
            </w:r>
            <w:r w:rsidR="00D00ED0">
              <w:rPr>
                <w:rFonts w:cs="Calibri"/>
                <w:color w:val="000000"/>
                <w:szCs w:val="22"/>
              </w:rPr>
              <w:t>c</w:t>
            </w:r>
            <w:r w:rsidRPr="007F504D">
              <w:rPr>
                <w:rFonts w:cs="Calibri"/>
                <w:color w:val="000000"/>
                <w:szCs w:val="22"/>
              </w:rPr>
              <w:t xml:space="preserve">es for small business suppliers (e.g. industry codes or security of payment laws). </w:t>
            </w:r>
          </w:p>
          <w:p w14:paraId="4920D6C7" w14:textId="77777777" w:rsidR="009279AF" w:rsidRPr="007F504D" w:rsidRDefault="00600075" w:rsidP="009279AF">
            <w:pPr>
              <w:rPr>
                <w:color w:val="000000"/>
                <w:szCs w:val="22"/>
              </w:rPr>
            </w:pPr>
            <w:r w:rsidRPr="007F504D">
              <w:rPr>
                <w:rFonts w:cs="Calibri"/>
                <w:color w:val="000000"/>
                <w:szCs w:val="22"/>
              </w:rPr>
              <w:t>Select from options: Yes / No</w:t>
            </w:r>
          </w:p>
          <w:p w14:paraId="6BFCDF4B" w14:textId="77777777" w:rsidR="00600075" w:rsidRPr="007F504D" w:rsidRDefault="00966A2E" w:rsidP="009279AF">
            <w:pPr>
              <w:rPr>
                <w:rFonts w:cs="Calibri"/>
                <w:color w:val="000000"/>
                <w:szCs w:val="22"/>
              </w:rPr>
            </w:pPr>
            <w:r>
              <w:rPr>
                <w:rFonts w:cs="Calibri"/>
                <w:b/>
                <w:bCs/>
                <w:i/>
                <w:iCs/>
                <w:color w:val="000000"/>
                <w:szCs w:val="22"/>
              </w:rPr>
              <w:t xml:space="preserve">Note: </w:t>
            </w:r>
            <w:r w:rsidR="00600075" w:rsidRPr="00966A2E">
              <w:rPr>
                <w:rFonts w:cs="Calibri"/>
                <w:i/>
                <w:iCs/>
                <w:color w:val="000000"/>
                <w:szCs w:val="22"/>
              </w:rPr>
              <w:t xml:space="preserve"> If answered yes, details of obligations are to be provided in the 'Report Comments' field</w:t>
            </w:r>
            <w:r w:rsidR="00600075" w:rsidRPr="007F504D">
              <w:rPr>
                <w:rFonts w:cs="Calibri"/>
                <w:color w:val="000000"/>
                <w:szCs w:val="22"/>
              </w:rPr>
              <w:t>.</w:t>
            </w:r>
          </w:p>
        </w:tc>
      </w:tr>
      <w:tr w:rsidR="00AA7BAE" w:rsidRPr="007F504D" w14:paraId="51AAA810"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5B0E60F6" w14:textId="47FB9A21" w:rsidR="00AA7BAE" w:rsidRPr="007F504D" w:rsidRDefault="00AA7BAE" w:rsidP="009A45C3">
            <w:pPr>
              <w:keepNext/>
              <w:spacing w:before="80" w:after="80"/>
              <w:rPr>
                <w:i/>
                <w:iCs/>
                <w:szCs w:val="22"/>
              </w:rPr>
            </w:pPr>
            <w:r w:rsidRPr="00E3372F">
              <w:rPr>
                <w:b/>
                <w:bCs/>
                <w:color w:val="FFFFFF" w:themeColor="background1"/>
                <w:sz w:val="24"/>
                <w:szCs w:val="24"/>
              </w:rPr>
              <w:lastRenderedPageBreak/>
              <w:t>Payment Terms</w:t>
            </w:r>
          </w:p>
        </w:tc>
      </w:tr>
      <w:tr w:rsidR="00F95BF0" w:rsidRPr="007F504D" w14:paraId="1C3BAB06"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1AFE60D4" w14:textId="1EAA3421" w:rsidR="00600075" w:rsidRPr="007F504D" w:rsidRDefault="00962F53" w:rsidP="009A45C3">
            <w:pPr>
              <w:rPr>
                <w:rFonts w:cs="Calibri"/>
                <w:szCs w:val="22"/>
              </w:rPr>
            </w:pPr>
            <w:r w:rsidRPr="004E3304">
              <w:rPr>
                <w:szCs w:val="22"/>
              </w:rPr>
              <w:t>Most common payment term (statistical mode)</w:t>
            </w:r>
          </w:p>
        </w:tc>
        <w:tc>
          <w:tcPr>
            <w:tcW w:w="1644" w:type="dxa"/>
            <w:tcBorders>
              <w:top w:val="nil"/>
              <w:left w:val="nil"/>
              <w:bottom w:val="single" w:sz="4" w:space="0" w:color="auto"/>
              <w:right w:val="single" w:sz="4" w:space="0" w:color="auto"/>
            </w:tcBorders>
            <w:shd w:val="clear" w:color="auto" w:fill="auto"/>
            <w:vAlign w:val="center"/>
          </w:tcPr>
          <w:p w14:paraId="2BD577E3"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tcPr>
          <w:p w14:paraId="37651542" w14:textId="26DDBEA9" w:rsidR="00600075" w:rsidRPr="007F504D" w:rsidRDefault="00962F53" w:rsidP="00AF02BF">
            <w:pPr>
              <w:jc w:val="center"/>
              <w:rPr>
                <w:rFonts w:cs="Calibri"/>
                <w:color w:val="000000"/>
                <w:szCs w:val="22"/>
              </w:rPr>
            </w:pPr>
            <w:r w:rsidRPr="004E3304">
              <w:rPr>
                <w:color w:val="000000"/>
                <w:szCs w:val="22"/>
              </w:rPr>
              <w:t xml:space="preserve">Whole </w:t>
            </w:r>
            <w:r>
              <w:rPr>
                <w:color w:val="000000"/>
                <w:szCs w:val="22"/>
              </w:rPr>
              <w:t xml:space="preserve">Number </w:t>
            </w:r>
            <w:r>
              <w:rPr>
                <w:color w:val="000000"/>
                <w:szCs w:val="22"/>
              </w:rPr>
              <w:br/>
              <w:t>[</w:t>
            </w:r>
            <w:r w:rsidRPr="004E3304">
              <w:rPr>
                <w:color w:val="000000"/>
                <w:szCs w:val="22"/>
              </w:rPr>
              <w:t>0]</w:t>
            </w:r>
          </w:p>
        </w:tc>
        <w:tc>
          <w:tcPr>
            <w:tcW w:w="8439" w:type="dxa"/>
            <w:tcBorders>
              <w:top w:val="nil"/>
              <w:left w:val="nil"/>
              <w:bottom w:val="single" w:sz="4" w:space="0" w:color="auto"/>
              <w:right w:val="single" w:sz="4" w:space="0" w:color="auto"/>
            </w:tcBorders>
            <w:shd w:val="clear" w:color="auto" w:fill="auto"/>
            <w:vAlign w:val="center"/>
          </w:tcPr>
          <w:p w14:paraId="23E815B7" w14:textId="513C9DC8" w:rsidR="00962F53" w:rsidRPr="004E3304" w:rsidRDefault="00962F53" w:rsidP="00962F53">
            <w:pPr>
              <w:rPr>
                <w:color w:val="000000"/>
                <w:szCs w:val="22"/>
              </w:rPr>
            </w:pPr>
            <w:r w:rsidRPr="004E3304">
              <w:rPr>
                <w:color w:val="000000"/>
                <w:szCs w:val="22"/>
              </w:rPr>
              <w:t xml:space="preserve">The statistical mode of all payment terms in the </w:t>
            </w:r>
            <w:r w:rsidRPr="004E3304">
              <w:rPr>
                <w:b/>
                <w:color w:val="000000"/>
                <w:szCs w:val="22"/>
              </w:rPr>
              <w:t>SBTCP Dataset</w:t>
            </w:r>
            <w:r>
              <w:rPr>
                <w:b/>
                <w:color w:val="000000"/>
                <w:szCs w:val="22"/>
              </w:rPr>
              <w:t>.</w:t>
            </w:r>
          </w:p>
          <w:p w14:paraId="3BED5DFE" w14:textId="78D57A45" w:rsidR="00600075" w:rsidRPr="007F504D" w:rsidRDefault="00962F53" w:rsidP="009279AF">
            <w:pPr>
              <w:rPr>
                <w:rFonts w:cs="Calibri"/>
                <w:color w:val="000000"/>
                <w:szCs w:val="22"/>
              </w:rPr>
            </w:pPr>
            <w:r w:rsidRPr="004E3304">
              <w:rPr>
                <w:color w:val="000000"/>
                <w:szCs w:val="22"/>
              </w:rPr>
              <w:t>This is the most common payment term of all payments that have been made under a trade credit arrangement to small business suppliers</w:t>
            </w:r>
            <w:r>
              <w:rPr>
                <w:color w:val="000000"/>
                <w:szCs w:val="22"/>
              </w:rPr>
              <w:t xml:space="preserve"> by</w:t>
            </w:r>
            <w:r w:rsidRPr="007F504D">
              <w:rPr>
                <w:rFonts w:cs="Calibri"/>
                <w:color w:val="000000"/>
                <w:szCs w:val="22"/>
              </w:rPr>
              <w:t xml:space="preserve"> the reporting entity and all its controlled entities (considered as a group)</w:t>
            </w:r>
            <w:r>
              <w:rPr>
                <w:rFonts w:cs="Calibri"/>
                <w:color w:val="000000"/>
                <w:szCs w:val="22"/>
              </w:rPr>
              <w:t>.</w:t>
            </w:r>
          </w:p>
        </w:tc>
      </w:tr>
      <w:tr w:rsidR="00962F53" w:rsidRPr="007F504D" w14:paraId="0CDF2B88" w14:textId="77777777" w:rsidTr="009A45C3">
        <w:trPr>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6E6D51B" w14:textId="2BBE763D" w:rsidR="00962F53" w:rsidRPr="007F504D" w:rsidRDefault="00962F53" w:rsidP="009A45C3">
            <w:pPr>
              <w:rPr>
                <w:rFonts w:cs="Calibri"/>
                <w:szCs w:val="22"/>
              </w:rPr>
            </w:pPr>
            <w:r w:rsidRPr="007F504D">
              <w:rPr>
                <w:rFonts w:cs="Calibri"/>
                <w:szCs w:val="22"/>
              </w:rPr>
              <w:t>Receivable terms compared to most common payment term</w:t>
            </w:r>
          </w:p>
        </w:tc>
        <w:tc>
          <w:tcPr>
            <w:tcW w:w="1644" w:type="dxa"/>
            <w:tcBorders>
              <w:top w:val="nil"/>
              <w:left w:val="nil"/>
              <w:bottom w:val="single" w:sz="4" w:space="0" w:color="auto"/>
              <w:right w:val="single" w:sz="4" w:space="0" w:color="auto"/>
            </w:tcBorders>
            <w:shd w:val="clear" w:color="auto" w:fill="auto"/>
            <w:vAlign w:val="center"/>
          </w:tcPr>
          <w:p w14:paraId="108A71CF" w14:textId="44CAC512" w:rsidR="00962F53" w:rsidRPr="007F504D" w:rsidRDefault="00962F53" w:rsidP="00962F53">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tcPr>
          <w:p w14:paraId="2A3CD590" w14:textId="46DC81BC" w:rsidR="00962F53" w:rsidRPr="007F504D" w:rsidRDefault="007A57C3" w:rsidP="00962F53">
            <w:pPr>
              <w:jc w:val="center"/>
              <w:rPr>
                <w:rFonts w:cs="Calibri"/>
                <w:color w:val="000000"/>
                <w:szCs w:val="22"/>
              </w:rPr>
            </w:pPr>
            <w:r>
              <w:rPr>
                <w:rFonts w:cs="Calibri"/>
                <w:color w:val="000000"/>
                <w:szCs w:val="22"/>
              </w:rPr>
              <w:t>S</w:t>
            </w:r>
            <w:r w:rsidR="00962F53" w:rsidRPr="007F504D">
              <w:rPr>
                <w:rFonts w:cs="Calibri"/>
                <w:color w:val="000000"/>
                <w:szCs w:val="22"/>
              </w:rPr>
              <w:t>ingle selection from list/</w:t>
            </w:r>
            <w:r w:rsidR="00525241">
              <w:rPr>
                <w:rFonts w:cs="Calibri"/>
                <w:color w:val="000000"/>
                <w:szCs w:val="22"/>
              </w:rPr>
              <w:t xml:space="preserve"> </w:t>
            </w:r>
            <w:r w:rsidR="00962F53" w:rsidRPr="007F504D">
              <w:rPr>
                <w:rFonts w:cs="Calibri"/>
                <w:color w:val="000000"/>
                <w:szCs w:val="22"/>
              </w:rPr>
              <w:t>dropdown</w:t>
            </w:r>
          </w:p>
        </w:tc>
        <w:tc>
          <w:tcPr>
            <w:tcW w:w="8447" w:type="dxa"/>
            <w:gridSpan w:val="2"/>
            <w:tcBorders>
              <w:top w:val="nil"/>
              <w:left w:val="nil"/>
              <w:bottom w:val="single" w:sz="4" w:space="0" w:color="auto"/>
              <w:right w:val="single" w:sz="4" w:space="0" w:color="auto"/>
            </w:tcBorders>
            <w:shd w:val="clear" w:color="auto" w:fill="auto"/>
            <w:vAlign w:val="center"/>
          </w:tcPr>
          <w:p w14:paraId="715CB654" w14:textId="77777777" w:rsidR="00962F53" w:rsidRPr="007F504D" w:rsidRDefault="00962F53" w:rsidP="00962F53">
            <w:pPr>
              <w:rPr>
                <w:color w:val="000000"/>
                <w:szCs w:val="22"/>
              </w:rPr>
            </w:pPr>
            <w:r w:rsidRPr="007F504D">
              <w:rPr>
                <w:rFonts w:cs="Calibri"/>
                <w:color w:val="000000"/>
                <w:szCs w:val="22"/>
              </w:rPr>
              <w:t>Whether the most commonly offered receivable term for the reporting entity and all its controlled entities (considered as a group) is shorter, longer, or the same as the most common payment term.</w:t>
            </w:r>
          </w:p>
          <w:p w14:paraId="7AD9B419" w14:textId="0CCBA98F" w:rsidR="00962F53" w:rsidRPr="007F504D" w:rsidRDefault="00962F53" w:rsidP="00962F53">
            <w:pPr>
              <w:rPr>
                <w:rFonts w:cs="Calibri"/>
                <w:color w:val="000000"/>
                <w:szCs w:val="22"/>
              </w:rPr>
            </w:pPr>
            <w:r w:rsidRPr="007F504D">
              <w:rPr>
                <w:rFonts w:cs="Calibri"/>
                <w:color w:val="000000"/>
                <w:szCs w:val="22"/>
              </w:rPr>
              <w:t>Select from options: Longer / Shorter / Same</w:t>
            </w:r>
          </w:p>
        </w:tc>
      </w:tr>
      <w:tr w:rsidR="00F95BF0" w:rsidRPr="007F504D" w14:paraId="67BBD8F4"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1CBF2D" w14:textId="77777777" w:rsidR="00600075" w:rsidRPr="007F504D" w:rsidRDefault="00600075" w:rsidP="009A45C3">
            <w:pPr>
              <w:rPr>
                <w:rFonts w:cs="Calibri"/>
                <w:szCs w:val="22"/>
              </w:rPr>
            </w:pPr>
            <w:r w:rsidRPr="007F504D">
              <w:rPr>
                <w:rFonts w:cs="Calibri"/>
                <w:szCs w:val="22"/>
              </w:rPr>
              <w:t xml:space="preserve">Range of </w:t>
            </w:r>
            <w:r w:rsidRPr="00FF348D">
              <w:rPr>
                <w:rFonts w:cs="Calibri"/>
                <w:szCs w:val="22"/>
              </w:rPr>
              <w:t>most common payment terms - minimum</w:t>
            </w:r>
          </w:p>
        </w:tc>
        <w:tc>
          <w:tcPr>
            <w:tcW w:w="1644" w:type="dxa"/>
            <w:tcBorders>
              <w:top w:val="nil"/>
              <w:left w:val="nil"/>
              <w:bottom w:val="single" w:sz="4" w:space="0" w:color="auto"/>
              <w:right w:val="single" w:sz="4" w:space="0" w:color="auto"/>
            </w:tcBorders>
            <w:shd w:val="clear" w:color="auto" w:fill="auto"/>
            <w:vAlign w:val="center"/>
            <w:hideMark/>
          </w:tcPr>
          <w:p w14:paraId="0BA5E0C2" w14:textId="77777777" w:rsidR="009279AF" w:rsidRPr="007F504D" w:rsidRDefault="00600075" w:rsidP="00AF02BF">
            <w:pPr>
              <w:jc w:val="center"/>
              <w:rPr>
                <w:color w:val="000000"/>
                <w:szCs w:val="22"/>
              </w:rPr>
            </w:pPr>
            <w:r w:rsidRPr="007F504D">
              <w:rPr>
                <w:rFonts w:cs="Calibri"/>
                <w:color w:val="000000"/>
                <w:szCs w:val="22"/>
              </w:rPr>
              <w:t>Mandatory*</w:t>
            </w:r>
          </w:p>
          <w:p w14:paraId="41DEEB74" w14:textId="5711FB5B" w:rsidR="00600075" w:rsidRPr="00B270F7" w:rsidRDefault="003205D4" w:rsidP="00AF02BF">
            <w:pPr>
              <w:jc w:val="center"/>
              <w:rPr>
                <w:rFonts w:cs="Calibri"/>
                <w:color w:val="000000"/>
                <w:sz w:val="18"/>
                <w:szCs w:val="18"/>
              </w:rPr>
            </w:pPr>
            <w:r w:rsidRPr="00B270F7">
              <w:rPr>
                <w:rFonts w:cs="Calibri"/>
                <w:i/>
                <w:color w:val="000000"/>
                <w:sz w:val="18"/>
                <w:szCs w:val="18"/>
              </w:rPr>
              <w:t xml:space="preserve">*Displayed </w:t>
            </w:r>
            <w:r w:rsidR="00A43C6E" w:rsidRPr="00B270F7">
              <w:rPr>
                <w:rFonts w:cs="Calibri"/>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1FFB8D45" w14:textId="758AF681" w:rsidR="00600075" w:rsidRPr="007F504D" w:rsidRDefault="00600075" w:rsidP="00AF02BF">
            <w:pPr>
              <w:jc w:val="center"/>
              <w:rPr>
                <w:rFonts w:cs="Calibri"/>
                <w:color w:val="000000"/>
                <w:szCs w:val="22"/>
              </w:rPr>
            </w:pPr>
            <w:r w:rsidRPr="007F504D">
              <w:rPr>
                <w:rFonts w:cs="Calibri"/>
                <w:color w:val="000000"/>
                <w:szCs w:val="22"/>
              </w:rPr>
              <w:t xml:space="preserve">Whole </w:t>
            </w:r>
            <w:r w:rsidR="003205D4">
              <w:rPr>
                <w:rFonts w:cs="Calibri"/>
                <w:color w:val="000000"/>
                <w:szCs w:val="22"/>
              </w:rPr>
              <w:t xml:space="preserve">Number </w:t>
            </w:r>
            <w:r w:rsidR="003205D4">
              <w:rPr>
                <w:rFonts w:cs="Calibri"/>
                <w:color w:val="000000"/>
                <w:szCs w:val="22"/>
              </w:rPr>
              <w:br/>
              <w:t>[</w:t>
            </w:r>
            <w:r w:rsidRPr="007F504D">
              <w:rPr>
                <w:rFonts w:cs="Calibri"/>
                <w:color w:val="000000"/>
                <w:szCs w:val="22"/>
              </w:rPr>
              <w:t>0]</w:t>
            </w:r>
          </w:p>
        </w:tc>
        <w:tc>
          <w:tcPr>
            <w:tcW w:w="8439" w:type="dxa"/>
            <w:tcBorders>
              <w:top w:val="nil"/>
              <w:left w:val="nil"/>
              <w:bottom w:val="single" w:sz="4" w:space="0" w:color="auto"/>
              <w:right w:val="single" w:sz="4" w:space="0" w:color="auto"/>
            </w:tcBorders>
            <w:shd w:val="clear" w:color="auto" w:fill="auto"/>
            <w:vAlign w:val="center"/>
            <w:hideMark/>
          </w:tcPr>
          <w:p w14:paraId="66F1220E" w14:textId="77777777" w:rsidR="009279AF" w:rsidRPr="007F504D" w:rsidRDefault="00600075" w:rsidP="009279AF">
            <w:pPr>
              <w:rPr>
                <w:color w:val="000000"/>
                <w:szCs w:val="22"/>
              </w:rPr>
            </w:pPr>
            <w:r w:rsidRPr="007F504D">
              <w:rPr>
                <w:rFonts w:cs="Calibri"/>
                <w:color w:val="000000"/>
                <w:szCs w:val="22"/>
              </w:rPr>
              <w:t xml:space="preserve">The minimum value in the range of the most common payment terms for each individual entity within in the consolidated group, as per the </w:t>
            </w:r>
            <w:r w:rsidR="00761A6E" w:rsidRPr="007F504D">
              <w:rPr>
                <w:rFonts w:cs="Calibri"/>
                <w:b/>
                <w:color w:val="000000"/>
                <w:szCs w:val="22"/>
              </w:rPr>
              <w:t>SBTCP Dataset</w:t>
            </w:r>
            <w:r w:rsidRPr="007F504D">
              <w:rPr>
                <w:rFonts w:cs="Calibri"/>
                <w:color w:val="000000"/>
                <w:szCs w:val="22"/>
              </w:rPr>
              <w:t>.</w:t>
            </w:r>
          </w:p>
          <w:p w14:paraId="22007CCE" w14:textId="77777777" w:rsidR="009279AF" w:rsidRPr="007F504D" w:rsidRDefault="00600075" w:rsidP="009279AF">
            <w:pPr>
              <w:rPr>
                <w:rFonts w:cs="Calibri"/>
                <w:color w:val="000000"/>
                <w:sz w:val="20"/>
              </w:rPr>
            </w:pPr>
            <w:r w:rsidRPr="007F504D">
              <w:rPr>
                <w:rFonts w:cs="Calibri"/>
                <w:color w:val="000000"/>
                <w:szCs w:val="22"/>
              </w:rPr>
              <w:t>This is the lowest of the following values:</w:t>
            </w:r>
          </w:p>
          <w:p w14:paraId="07BF041D" w14:textId="37686D7C" w:rsidR="009279AF" w:rsidRPr="007F504D" w:rsidRDefault="00600075" w:rsidP="00426B59">
            <w:pPr>
              <w:pStyle w:val="Bullet"/>
              <w:ind w:left="284" w:hanging="284"/>
              <w:rPr>
                <w:rFonts w:cs="Calibri"/>
                <w:color w:val="000000"/>
                <w:sz w:val="20"/>
              </w:rPr>
            </w:pPr>
            <w:r w:rsidRPr="007415CC">
              <w:t>the</w:t>
            </w:r>
            <w:r w:rsidRPr="007F504D">
              <w:rPr>
                <w:rFonts w:cs="Calibri"/>
                <w:color w:val="000000"/>
                <w:szCs w:val="22"/>
              </w:rPr>
              <w:t xml:space="preserve"> statistical mode payment term of the reporting entity itself and</w:t>
            </w:r>
          </w:p>
          <w:p w14:paraId="10675886" w14:textId="3C3D0018" w:rsidR="00600075" w:rsidRPr="007F504D" w:rsidRDefault="00600075" w:rsidP="00581C01">
            <w:pPr>
              <w:pStyle w:val="Bullet"/>
              <w:ind w:left="284" w:hanging="284"/>
              <w:rPr>
                <w:rFonts w:cs="Calibri"/>
                <w:color w:val="000000"/>
                <w:szCs w:val="22"/>
              </w:rPr>
            </w:pPr>
            <w:r w:rsidRPr="007415CC">
              <w:t>the</w:t>
            </w:r>
            <w:r w:rsidRPr="007F504D">
              <w:rPr>
                <w:rFonts w:cs="Calibri"/>
                <w:color w:val="000000"/>
                <w:szCs w:val="22"/>
              </w:rPr>
              <w:t xml:space="preserve"> statistical mode payment term of each of its controlled </w:t>
            </w:r>
            <w:r w:rsidR="00D40744" w:rsidRPr="007F504D">
              <w:rPr>
                <w:rFonts w:cs="Calibri"/>
                <w:color w:val="000000"/>
                <w:szCs w:val="22"/>
              </w:rPr>
              <w:t>entities</w:t>
            </w:r>
          </w:p>
        </w:tc>
      </w:tr>
      <w:tr w:rsidR="00F95BF0" w:rsidRPr="007F504D" w14:paraId="26B2BC12"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C7F0566" w14:textId="77777777" w:rsidR="00600075" w:rsidRPr="007F504D" w:rsidRDefault="00600075" w:rsidP="009A45C3">
            <w:pPr>
              <w:rPr>
                <w:rFonts w:cs="Calibri"/>
                <w:szCs w:val="22"/>
              </w:rPr>
            </w:pPr>
            <w:r w:rsidRPr="007F504D">
              <w:rPr>
                <w:rFonts w:cs="Calibri"/>
                <w:szCs w:val="22"/>
              </w:rPr>
              <w:t>Range of most common payment terms - maximum</w:t>
            </w:r>
          </w:p>
        </w:tc>
        <w:tc>
          <w:tcPr>
            <w:tcW w:w="1644" w:type="dxa"/>
            <w:tcBorders>
              <w:top w:val="nil"/>
              <w:left w:val="nil"/>
              <w:bottom w:val="single" w:sz="4" w:space="0" w:color="auto"/>
              <w:right w:val="single" w:sz="4" w:space="0" w:color="auto"/>
            </w:tcBorders>
            <w:shd w:val="clear" w:color="auto" w:fill="auto"/>
            <w:vAlign w:val="center"/>
            <w:hideMark/>
          </w:tcPr>
          <w:p w14:paraId="6050E240" w14:textId="77777777" w:rsidR="009279AF" w:rsidRPr="007F504D" w:rsidRDefault="00600075" w:rsidP="00AF02BF">
            <w:pPr>
              <w:jc w:val="center"/>
              <w:rPr>
                <w:color w:val="000000"/>
                <w:szCs w:val="22"/>
              </w:rPr>
            </w:pPr>
            <w:r w:rsidRPr="007F504D">
              <w:rPr>
                <w:rFonts w:cs="Calibri"/>
                <w:color w:val="000000"/>
                <w:szCs w:val="22"/>
              </w:rPr>
              <w:t>Mandatory*</w:t>
            </w:r>
          </w:p>
          <w:p w14:paraId="1FFEDE18" w14:textId="49A9537A" w:rsidR="00600075" w:rsidRPr="00B270F7" w:rsidRDefault="003205D4" w:rsidP="00AF02BF">
            <w:pPr>
              <w:jc w:val="center"/>
              <w:rPr>
                <w:rFonts w:cs="Calibri"/>
                <w:color w:val="000000"/>
                <w:sz w:val="18"/>
                <w:szCs w:val="18"/>
              </w:rPr>
            </w:pPr>
            <w:r w:rsidRPr="00B270F7">
              <w:rPr>
                <w:rFonts w:cs="Calibri"/>
                <w:i/>
                <w:color w:val="000000"/>
                <w:sz w:val="18"/>
                <w:szCs w:val="18"/>
              </w:rPr>
              <w:t xml:space="preserve">*Displayed </w:t>
            </w:r>
            <w:r w:rsidR="00A43C6E" w:rsidRPr="00B270F7">
              <w:rPr>
                <w:rFonts w:cs="Calibri"/>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0F9AEF80" w14:textId="2C9B96B7" w:rsidR="00600075" w:rsidRPr="007F504D" w:rsidRDefault="00600075" w:rsidP="00AF02BF">
            <w:pPr>
              <w:jc w:val="center"/>
              <w:rPr>
                <w:rFonts w:cs="Calibri"/>
                <w:color w:val="000000"/>
                <w:szCs w:val="22"/>
              </w:rPr>
            </w:pPr>
            <w:r w:rsidRPr="007F504D">
              <w:rPr>
                <w:rFonts w:cs="Calibri"/>
                <w:color w:val="000000"/>
                <w:szCs w:val="22"/>
              </w:rPr>
              <w:t xml:space="preserve">Whole </w:t>
            </w:r>
            <w:r w:rsidR="003205D4">
              <w:rPr>
                <w:rFonts w:cs="Calibri"/>
                <w:color w:val="000000"/>
                <w:szCs w:val="22"/>
              </w:rPr>
              <w:t xml:space="preserve">Number </w:t>
            </w:r>
            <w:r w:rsidR="003205D4">
              <w:rPr>
                <w:rFonts w:cs="Calibri"/>
                <w:color w:val="000000"/>
                <w:szCs w:val="22"/>
              </w:rPr>
              <w:br/>
              <w:t>[</w:t>
            </w:r>
            <w:r w:rsidRPr="007F504D">
              <w:rPr>
                <w:rFonts w:cs="Calibri"/>
                <w:color w:val="000000"/>
                <w:szCs w:val="22"/>
              </w:rPr>
              <w:t>0]</w:t>
            </w:r>
          </w:p>
        </w:tc>
        <w:tc>
          <w:tcPr>
            <w:tcW w:w="8439" w:type="dxa"/>
            <w:tcBorders>
              <w:top w:val="nil"/>
              <w:left w:val="nil"/>
              <w:bottom w:val="single" w:sz="4" w:space="0" w:color="auto"/>
              <w:right w:val="single" w:sz="4" w:space="0" w:color="auto"/>
            </w:tcBorders>
            <w:shd w:val="clear" w:color="auto" w:fill="auto"/>
            <w:vAlign w:val="center"/>
            <w:hideMark/>
          </w:tcPr>
          <w:p w14:paraId="3BE87C90" w14:textId="77777777" w:rsidR="009279AF" w:rsidRPr="007F504D" w:rsidRDefault="00600075" w:rsidP="009279AF">
            <w:r w:rsidRPr="007F504D">
              <w:t xml:space="preserve">The maximum value in the range of the most common payment terms for each individual entity within the consolidated group, as per the </w:t>
            </w:r>
            <w:r w:rsidR="00761A6E" w:rsidRPr="00761A6E">
              <w:rPr>
                <w:b/>
              </w:rPr>
              <w:t>SBTCP Dataset</w:t>
            </w:r>
            <w:r w:rsidRPr="007F504D">
              <w:t>.</w:t>
            </w:r>
          </w:p>
          <w:p w14:paraId="7BF07B9B" w14:textId="1A048ED7" w:rsidR="00147934" w:rsidRPr="007F504D" w:rsidRDefault="00600075" w:rsidP="009279AF">
            <w:r w:rsidRPr="007F504D">
              <w:t>This is the highest of the following values:</w:t>
            </w:r>
          </w:p>
          <w:p w14:paraId="779AAED7" w14:textId="77777777" w:rsidR="00147934" w:rsidRPr="007F504D" w:rsidRDefault="00600075" w:rsidP="007F504D">
            <w:pPr>
              <w:pStyle w:val="Bullet"/>
            </w:pPr>
            <w:r w:rsidRPr="007F504D">
              <w:t>the statistical mode payment term of the reporting entity itself and</w:t>
            </w:r>
          </w:p>
          <w:p w14:paraId="45E2BE7E" w14:textId="758B2F18" w:rsidR="00600075" w:rsidRPr="007F504D" w:rsidRDefault="00600075" w:rsidP="007F504D">
            <w:pPr>
              <w:pStyle w:val="Bullet"/>
            </w:pPr>
            <w:r w:rsidRPr="007F504D">
              <w:t xml:space="preserve">the statistical mode payment term of each of its controlled </w:t>
            </w:r>
            <w:r w:rsidR="00D40744" w:rsidRPr="007F504D">
              <w:t>entities</w:t>
            </w:r>
          </w:p>
        </w:tc>
      </w:tr>
      <w:tr w:rsidR="00655286" w:rsidRPr="007F504D" w14:paraId="7F2F2846"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1E5BF47" w14:textId="77777777" w:rsidR="00600075" w:rsidRPr="007F504D" w:rsidRDefault="00600075" w:rsidP="00836A29">
            <w:pPr>
              <w:rPr>
                <w:rFonts w:cs="Calibri"/>
                <w:szCs w:val="22"/>
              </w:rPr>
            </w:pPr>
            <w:r w:rsidRPr="007F504D">
              <w:rPr>
                <w:rFonts w:cs="Calibri"/>
                <w:szCs w:val="22"/>
              </w:rPr>
              <w:lastRenderedPageBreak/>
              <w:t>Expected most common payment term for next period (estimate)</w:t>
            </w:r>
          </w:p>
        </w:tc>
        <w:tc>
          <w:tcPr>
            <w:tcW w:w="1644" w:type="dxa"/>
            <w:tcBorders>
              <w:top w:val="nil"/>
              <w:left w:val="nil"/>
              <w:bottom w:val="single" w:sz="4" w:space="0" w:color="auto"/>
              <w:right w:val="single" w:sz="4" w:space="0" w:color="auto"/>
            </w:tcBorders>
            <w:shd w:val="clear" w:color="auto" w:fill="auto"/>
            <w:vAlign w:val="center"/>
            <w:hideMark/>
          </w:tcPr>
          <w:p w14:paraId="55E7DE3C"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B457CAA" w14:textId="416CCACE" w:rsidR="00600075" w:rsidRPr="007F504D" w:rsidRDefault="00600075" w:rsidP="00AF02BF">
            <w:pPr>
              <w:jc w:val="center"/>
              <w:rPr>
                <w:rFonts w:cs="Calibri"/>
                <w:color w:val="000000"/>
                <w:szCs w:val="22"/>
              </w:rPr>
            </w:pPr>
            <w:r w:rsidRPr="007F504D">
              <w:rPr>
                <w:rFonts w:cs="Calibri"/>
                <w:color w:val="000000"/>
                <w:szCs w:val="22"/>
              </w:rPr>
              <w:t xml:space="preserve">Whole </w:t>
            </w:r>
            <w:r w:rsidR="003205D4">
              <w:rPr>
                <w:rFonts w:cs="Calibri"/>
                <w:color w:val="000000"/>
                <w:szCs w:val="22"/>
              </w:rPr>
              <w:t xml:space="preserve">Number </w:t>
            </w:r>
            <w:r w:rsidR="003205D4">
              <w:rPr>
                <w:rFonts w:cs="Calibri"/>
                <w:color w:val="000000"/>
                <w:szCs w:val="22"/>
              </w:rPr>
              <w:br/>
              <w:t>[</w:t>
            </w:r>
            <w:r w:rsidRPr="007F504D">
              <w:rPr>
                <w:rFonts w:cs="Calibri"/>
                <w:color w:val="000000"/>
                <w:szCs w:val="22"/>
              </w:rPr>
              <w:t>0]</w:t>
            </w:r>
          </w:p>
        </w:tc>
        <w:tc>
          <w:tcPr>
            <w:tcW w:w="8439" w:type="dxa"/>
            <w:tcBorders>
              <w:top w:val="nil"/>
              <w:left w:val="nil"/>
              <w:bottom w:val="single" w:sz="4" w:space="0" w:color="auto"/>
              <w:right w:val="single" w:sz="4" w:space="0" w:color="auto"/>
            </w:tcBorders>
            <w:shd w:val="clear" w:color="auto" w:fill="auto"/>
            <w:vAlign w:val="center"/>
            <w:hideMark/>
          </w:tcPr>
          <w:p w14:paraId="6948639F" w14:textId="7E0F83F3" w:rsidR="009279AF" w:rsidRPr="007F504D" w:rsidRDefault="00600075" w:rsidP="009279AF">
            <w:pPr>
              <w:rPr>
                <w:color w:val="000000"/>
                <w:szCs w:val="22"/>
              </w:rPr>
            </w:pPr>
            <w:r w:rsidRPr="007F504D">
              <w:rPr>
                <w:rFonts w:cs="Calibri"/>
                <w:color w:val="000000"/>
                <w:szCs w:val="22"/>
              </w:rPr>
              <w:t xml:space="preserve">An estimate, for the next reporting period, of the expected most common payment term for the reporting entity and all its controlled entities (considered as a group), based on any anticipated changes in payment practices. </w:t>
            </w:r>
          </w:p>
          <w:p w14:paraId="73CC4991" w14:textId="5B65BE75" w:rsidR="00600075" w:rsidRPr="007F504D" w:rsidRDefault="00600075" w:rsidP="009279AF">
            <w:pPr>
              <w:rPr>
                <w:rFonts w:cs="Calibri"/>
                <w:color w:val="000000"/>
                <w:szCs w:val="22"/>
              </w:rPr>
            </w:pPr>
            <w:r w:rsidRPr="007F504D">
              <w:rPr>
                <w:rFonts w:cs="Calibri"/>
                <w:color w:val="000000"/>
                <w:szCs w:val="22"/>
              </w:rPr>
              <w:t>If no changes are expected, the same values as in the current period can be reported.</w:t>
            </w:r>
          </w:p>
        </w:tc>
      </w:tr>
      <w:tr w:rsidR="00AD2DE8" w:rsidRPr="007F504D" w14:paraId="486F10B8"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28F526" w14:textId="77777777" w:rsidR="00600075" w:rsidRPr="007F504D" w:rsidRDefault="00600075" w:rsidP="00836A29">
            <w:pPr>
              <w:rPr>
                <w:rFonts w:cs="Calibri"/>
                <w:szCs w:val="22"/>
              </w:rPr>
            </w:pPr>
            <w:r w:rsidRPr="007F504D">
              <w:rPr>
                <w:rFonts w:cs="Calibri"/>
                <w:szCs w:val="22"/>
              </w:rPr>
              <w:t>Expected range of most common payment terms for next period - minimum (estimate)</w:t>
            </w:r>
          </w:p>
        </w:tc>
        <w:tc>
          <w:tcPr>
            <w:tcW w:w="1644" w:type="dxa"/>
            <w:tcBorders>
              <w:top w:val="nil"/>
              <w:left w:val="nil"/>
              <w:bottom w:val="single" w:sz="4" w:space="0" w:color="auto"/>
              <w:right w:val="single" w:sz="4" w:space="0" w:color="auto"/>
            </w:tcBorders>
            <w:shd w:val="clear" w:color="auto" w:fill="auto"/>
            <w:vAlign w:val="center"/>
            <w:hideMark/>
          </w:tcPr>
          <w:p w14:paraId="7E432B87" w14:textId="77777777" w:rsidR="009279AF" w:rsidRPr="007F504D" w:rsidRDefault="00600075" w:rsidP="00AF02BF">
            <w:pPr>
              <w:jc w:val="center"/>
              <w:rPr>
                <w:color w:val="000000"/>
                <w:szCs w:val="22"/>
              </w:rPr>
            </w:pPr>
            <w:r w:rsidRPr="007F504D">
              <w:rPr>
                <w:rFonts w:cs="Calibri"/>
                <w:color w:val="000000"/>
                <w:szCs w:val="22"/>
              </w:rPr>
              <w:t>Mandatory*</w:t>
            </w:r>
          </w:p>
          <w:p w14:paraId="7151860C" w14:textId="5B930573" w:rsidR="00600075" w:rsidRPr="00B270F7" w:rsidRDefault="003205D4" w:rsidP="00AF02BF">
            <w:pPr>
              <w:jc w:val="center"/>
              <w:rPr>
                <w:rFonts w:cs="Calibri"/>
                <w:color w:val="000000"/>
                <w:sz w:val="18"/>
                <w:szCs w:val="18"/>
              </w:rPr>
            </w:pPr>
            <w:r w:rsidRPr="00B270F7">
              <w:rPr>
                <w:rFonts w:cs="Calibri"/>
                <w:i/>
                <w:color w:val="000000"/>
                <w:sz w:val="18"/>
                <w:szCs w:val="18"/>
              </w:rPr>
              <w:t xml:space="preserve">*Displayed </w:t>
            </w:r>
            <w:r w:rsidR="00A43C6E" w:rsidRPr="00B270F7">
              <w:rPr>
                <w:rFonts w:cs="Calibri"/>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5F9072FE" w14:textId="5D976880" w:rsidR="00600075" w:rsidRPr="007F504D" w:rsidRDefault="00600075" w:rsidP="00AF02BF">
            <w:pPr>
              <w:jc w:val="center"/>
              <w:rPr>
                <w:rFonts w:cs="Calibri"/>
                <w:color w:val="000000"/>
                <w:szCs w:val="22"/>
              </w:rPr>
            </w:pPr>
            <w:r w:rsidRPr="007F504D">
              <w:rPr>
                <w:rFonts w:cs="Calibri"/>
                <w:color w:val="000000"/>
                <w:szCs w:val="22"/>
              </w:rPr>
              <w:t xml:space="preserve">Whole </w:t>
            </w:r>
            <w:r w:rsidR="003205D4">
              <w:rPr>
                <w:rFonts w:cs="Calibri"/>
                <w:color w:val="000000"/>
                <w:szCs w:val="22"/>
              </w:rPr>
              <w:t xml:space="preserve">Number </w:t>
            </w:r>
            <w:r w:rsidR="003205D4">
              <w:rPr>
                <w:rFonts w:cs="Calibri"/>
                <w:color w:val="000000"/>
                <w:szCs w:val="22"/>
              </w:rPr>
              <w:br/>
              <w:t>[</w:t>
            </w:r>
            <w:r w:rsidRPr="007F504D">
              <w:rPr>
                <w:rFonts w:cs="Calibri"/>
                <w:color w:val="000000"/>
                <w:szCs w:val="22"/>
              </w:rPr>
              <w:t>0]</w:t>
            </w:r>
          </w:p>
        </w:tc>
        <w:tc>
          <w:tcPr>
            <w:tcW w:w="8439" w:type="dxa"/>
            <w:tcBorders>
              <w:top w:val="nil"/>
              <w:left w:val="nil"/>
              <w:bottom w:val="single" w:sz="4" w:space="0" w:color="auto"/>
              <w:right w:val="single" w:sz="4" w:space="0" w:color="auto"/>
            </w:tcBorders>
            <w:shd w:val="clear" w:color="auto" w:fill="auto"/>
            <w:vAlign w:val="center"/>
            <w:hideMark/>
          </w:tcPr>
          <w:p w14:paraId="3010BB1F" w14:textId="77777777" w:rsidR="009279AF" w:rsidRPr="007F504D" w:rsidRDefault="00600075" w:rsidP="009279AF">
            <w:pPr>
              <w:rPr>
                <w:color w:val="000000"/>
                <w:szCs w:val="22"/>
              </w:rPr>
            </w:pPr>
            <w:r w:rsidRPr="007F504D">
              <w:rPr>
                <w:rFonts w:cs="Calibri"/>
                <w:color w:val="000000"/>
                <w:szCs w:val="22"/>
              </w:rPr>
              <w:t>An estimate, for the next reporting period, of the expected minimum value in the range for the most common payment terms for each individual entity within the consolidated group, based on any anticipated changes in payment practices.</w:t>
            </w:r>
          </w:p>
          <w:p w14:paraId="43986532" w14:textId="71E9C3FD" w:rsidR="00600075" w:rsidRPr="007F504D" w:rsidRDefault="00600075" w:rsidP="009279AF">
            <w:pPr>
              <w:rPr>
                <w:rFonts w:cs="Calibri"/>
                <w:color w:val="000000"/>
                <w:szCs w:val="22"/>
              </w:rPr>
            </w:pPr>
            <w:r w:rsidRPr="007F504D">
              <w:rPr>
                <w:rFonts w:cs="Calibri"/>
                <w:color w:val="000000"/>
                <w:szCs w:val="22"/>
              </w:rPr>
              <w:t>If no changes are expected, the same values as in the current period can be reported.</w:t>
            </w:r>
          </w:p>
        </w:tc>
      </w:tr>
      <w:tr w:rsidR="00AD2DE8" w:rsidRPr="007F504D" w14:paraId="7796F24A"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E14FB6" w14:textId="77777777" w:rsidR="00600075" w:rsidRPr="007F504D" w:rsidRDefault="00600075" w:rsidP="00836A29">
            <w:pPr>
              <w:rPr>
                <w:rFonts w:cs="Calibri"/>
                <w:szCs w:val="22"/>
              </w:rPr>
            </w:pPr>
            <w:r w:rsidRPr="007F504D">
              <w:rPr>
                <w:rFonts w:cs="Calibri"/>
                <w:szCs w:val="22"/>
              </w:rPr>
              <w:t>Expected range of most common payment terms for next period - maximum (estimate)</w:t>
            </w:r>
          </w:p>
        </w:tc>
        <w:tc>
          <w:tcPr>
            <w:tcW w:w="1644" w:type="dxa"/>
            <w:tcBorders>
              <w:top w:val="nil"/>
              <w:left w:val="nil"/>
              <w:bottom w:val="single" w:sz="4" w:space="0" w:color="auto"/>
              <w:right w:val="single" w:sz="4" w:space="0" w:color="auto"/>
            </w:tcBorders>
            <w:shd w:val="clear" w:color="auto" w:fill="auto"/>
            <w:vAlign w:val="center"/>
            <w:hideMark/>
          </w:tcPr>
          <w:p w14:paraId="21335E43" w14:textId="77777777" w:rsidR="009279AF" w:rsidRPr="007F504D" w:rsidRDefault="00600075" w:rsidP="00AF02BF">
            <w:pPr>
              <w:jc w:val="center"/>
              <w:rPr>
                <w:color w:val="000000"/>
                <w:szCs w:val="22"/>
              </w:rPr>
            </w:pPr>
            <w:r w:rsidRPr="007F504D">
              <w:rPr>
                <w:rFonts w:cs="Calibri"/>
                <w:color w:val="000000"/>
                <w:szCs w:val="22"/>
              </w:rPr>
              <w:t>Mandatory*</w:t>
            </w:r>
          </w:p>
          <w:p w14:paraId="49BBF666" w14:textId="53351FC1" w:rsidR="00600075" w:rsidRPr="00B270F7" w:rsidRDefault="003205D4" w:rsidP="00AF02BF">
            <w:pPr>
              <w:jc w:val="center"/>
              <w:rPr>
                <w:rFonts w:cs="Calibri"/>
                <w:color w:val="000000"/>
                <w:sz w:val="18"/>
                <w:szCs w:val="18"/>
              </w:rPr>
            </w:pPr>
            <w:r w:rsidRPr="00B270F7">
              <w:rPr>
                <w:rFonts w:cs="Calibri"/>
                <w:i/>
                <w:color w:val="000000"/>
                <w:sz w:val="18"/>
                <w:szCs w:val="18"/>
              </w:rPr>
              <w:t xml:space="preserve">*Displayed </w:t>
            </w:r>
            <w:r w:rsidR="00A43C6E" w:rsidRPr="00B270F7">
              <w:rPr>
                <w:rFonts w:cs="Calibri"/>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4AE87581" w14:textId="1478558E" w:rsidR="00600075" w:rsidRPr="007F504D" w:rsidRDefault="00600075" w:rsidP="00AF02BF">
            <w:pPr>
              <w:jc w:val="center"/>
              <w:rPr>
                <w:rFonts w:cs="Calibri"/>
                <w:color w:val="000000"/>
                <w:szCs w:val="22"/>
              </w:rPr>
            </w:pPr>
            <w:r w:rsidRPr="007F504D">
              <w:rPr>
                <w:rFonts w:cs="Calibri"/>
                <w:color w:val="000000"/>
                <w:szCs w:val="22"/>
              </w:rPr>
              <w:t xml:space="preserve">Whole </w:t>
            </w:r>
            <w:r w:rsidR="003205D4">
              <w:rPr>
                <w:rFonts w:cs="Calibri"/>
                <w:color w:val="000000"/>
                <w:szCs w:val="22"/>
              </w:rPr>
              <w:t xml:space="preserve">Number </w:t>
            </w:r>
            <w:r w:rsidR="003205D4">
              <w:rPr>
                <w:rFonts w:cs="Calibri"/>
                <w:color w:val="000000"/>
                <w:szCs w:val="22"/>
              </w:rPr>
              <w:br/>
              <w:t>[</w:t>
            </w:r>
            <w:r w:rsidRPr="007F504D">
              <w:rPr>
                <w:rFonts w:cs="Calibri"/>
                <w:color w:val="000000"/>
                <w:szCs w:val="22"/>
              </w:rPr>
              <w:t>0]</w:t>
            </w:r>
          </w:p>
        </w:tc>
        <w:tc>
          <w:tcPr>
            <w:tcW w:w="8439" w:type="dxa"/>
            <w:tcBorders>
              <w:top w:val="nil"/>
              <w:left w:val="nil"/>
              <w:bottom w:val="single" w:sz="4" w:space="0" w:color="auto"/>
              <w:right w:val="single" w:sz="4" w:space="0" w:color="auto"/>
            </w:tcBorders>
            <w:shd w:val="clear" w:color="auto" w:fill="auto"/>
            <w:vAlign w:val="center"/>
            <w:hideMark/>
          </w:tcPr>
          <w:p w14:paraId="76DDA50E" w14:textId="77777777" w:rsidR="009279AF" w:rsidRPr="007F504D" w:rsidRDefault="00600075" w:rsidP="009279AF">
            <w:pPr>
              <w:rPr>
                <w:color w:val="000000"/>
                <w:szCs w:val="22"/>
              </w:rPr>
            </w:pPr>
            <w:r w:rsidRPr="007F504D">
              <w:rPr>
                <w:rFonts w:cs="Calibri"/>
                <w:color w:val="000000"/>
                <w:szCs w:val="22"/>
              </w:rPr>
              <w:t>An estimate, for the next reporting period, of the expected maximum value in the range of the most common payment terms for each individual entity within the consolidated group, based on any anticipated changes in payment practices.</w:t>
            </w:r>
          </w:p>
          <w:p w14:paraId="52F0B685" w14:textId="72F0CA09" w:rsidR="00600075" w:rsidRPr="007F504D" w:rsidRDefault="00600075" w:rsidP="009279AF">
            <w:pPr>
              <w:rPr>
                <w:rFonts w:cs="Calibri"/>
                <w:color w:val="000000"/>
                <w:szCs w:val="22"/>
              </w:rPr>
            </w:pPr>
            <w:r w:rsidRPr="007F504D">
              <w:rPr>
                <w:rFonts w:cs="Calibri"/>
                <w:color w:val="000000"/>
                <w:szCs w:val="22"/>
              </w:rPr>
              <w:t>If no changes are expected, the same values as in the current period can be reported</w:t>
            </w:r>
            <w:r w:rsidR="0027575B">
              <w:rPr>
                <w:rFonts w:cs="Calibri"/>
                <w:color w:val="000000"/>
                <w:szCs w:val="22"/>
              </w:rPr>
              <w:t>.</w:t>
            </w:r>
          </w:p>
        </w:tc>
      </w:tr>
      <w:tr w:rsidR="00232B41" w14:paraId="3B4408A4"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43EB7714" w14:textId="57721A99" w:rsidR="00232B41" w:rsidRPr="007F504D" w:rsidRDefault="00232B41" w:rsidP="00836A29">
            <w:pPr>
              <w:spacing w:before="80" w:after="80"/>
              <w:rPr>
                <w:i/>
                <w:iCs/>
                <w:szCs w:val="22"/>
              </w:rPr>
            </w:pPr>
            <w:r w:rsidRPr="00E3372F">
              <w:rPr>
                <w:b/>
                <w:bCs/>
                <w:color w:val="FFFFFF" w:themeColor="background1"/>
                <w:sz w:val="24"/>
                <w:szCs w:val="24"/>
              </w:rPr>
              <w:t>Payment Times</w:t>
            </w:r>
          </w:p>
        </w:tc>
      </w:tr>
      <w:tr w:rsidR="00AD2DE8" w:rsidRPr="007F504D" w14:paraId="7A626950"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0C5545" w14:textId="77777777" w:rsidR="00600075" w:rsidRPr="007F504D" w:rsidRDefault="00600075" w:rsidP="00836A29">
            <w:pPr>
              <w:rPr>
                <w:rFonts w:cs="Calibri"/>
                <w:szCs w:val="22"/>
              </w:rPr>
            </w:pPr>
            <w:r w:rsidRPr="007F504D">
              <w:rPr>
                <w:rFonts w:cs="Calibri"/>
                <w:szCs w:val="22"/>
              </w:rPr>
              <w:t>Average payment time</w:t>
            </w:r>
          </w:p>
        </w:tc>
        <w:tc>
          <w:tcPr>
            <w:tcW w:w="1843" w:type="dxa"/>
            <w:gridSpan w:val="2"/>
            <w:tcBorders>
              <w:top w:val="nil"/>
              <w:left w:val="nil"/>
              <w:bottom w:val="single" w:sz="4" w:space="0" w:color="auto"/>
              <w:right w:val="single" w:sz="4" w:space="0" w:color="auto"/>
            </w:tcBorders>
            <w:shd w:val="clear" w:color="auto" w:fill="auto"/>
            <w:vAlign w:val="center"/>
            <w:hideMark/>
          </w:tcPr>
          <w:p w14:paraId="402FFBCD"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0BDBC91C" w14:textId="558EE75D"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3C58AAB4" w14:textId="77777777" w:rsidR="009279AF" w:rsidRPr="007F504D" w:rsidRDefault="00600075" w:rsidP="009279AF">
            <w:pPr>
              <w:rPr>
                <w:color w:val="000000"/>
                <w:szCs w:val="22"/>
              </w:rPr>
            </w:pPr>
            <w:r w:rsidRPr="007F504D">
              <w:rPr>
                <w:rFonts w:cs="Calibri"/>
                <w:color w:val="000000"/>
                <w:szCs w:val="22"/>
              </w:rPr>
              <w:t xml:space="preserve">The statistical mean of all payment times in the </w:t>
            </w:r>
            <w:r w:rsidR="00761A6E" w:rsidRPr="007F504D">
              <w:rPr>
                <w:rFonts w:cs="Calibri"/>
                <w:b/>
                <w:color w:val="000000"/>
                <w:szCs w:val="22"/>
              </w:rPr>
              <w:t>SBTCP Dataset</w:t>
            </w:r>
            <w:r w:rsidRPr="007F504D">
              <w:rPr>
                <w:rFonts w:cs="Calibri"/>
                <w:color w:val="000000"/>
                <w:szCs w:val="22"/>
              </w:rPr>
              <w:t>.</w:t>
            </w:r>
          </w:p>
          <w:p w14:paraId="09BEDE4A" w14:textId="3011F7B5" w:rsidR="00600075" w:rsidRPr="007F504D" w:rsidRDefault="00600075" w:rsidP="009279AF">
            <w:pPr>
              <w:rPr>
                <w:rFonts w:cs="Calibri"/>
                <w:color w:val="000000"/>
                <w:szCs w:val="22"/>
              </w:rPr>
            </w:pPr>
            <w:r w:rsidRPr="007F504D">
              <w:rPr>
                <w:rFonts w:cs="Calibri"/>
                <w:color w:val="000000"/>
                <w:szCs w:val="22"/>
              </w:rPr>
              <w:t>This is the (arithmetic) average payment time of all payments made under a trade credit arrangement to small business suppliers by the reporting entity and all its controlled entities (considered as a group).</w:t>
            </w:r>
          </w:p>
        </w:tc>
      </w:tr>
      <w:tr w:rsidR="00AD2DE8" w:rsidRPr="007F504D" w14:paraId="19FCF8F9" w14:textId="77777777" w:rsidTr="009A45C3">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C6F1740" w14:textId="77777777" w:rsidR="00600075" w:rsidRPr="007F504D" w:rsidRDefault="00600075" w:rsidP="00836A29">
            <w:pPr>
              <w:rPr>
                <w:rFonts w:cs="Calibri"/>
                <w:szCs w:val="22"/>
              </w:rPr>
            </w:pPr>
            <w:r w:rsidRPr="007F504D">
              <w:rPr>
                <w:rFonts w:cs="Calibri"/>
                <w:szCs w:val="22"/>
              </w:rPr>
              <w:t>Median payment time</w:t>
            </w:r>
          </w:p>
        </w:tc>
        <w:tc>
          <w:tcPr>
            <w:tcW w:w="1843" w:type="dxa"/>
            <w:gridSpan w:val="2"/>
            <w:tcBorders>
              <w:top w:val="nil"/>
              <w:left w:val="nil"/>
              <w:bottom w:val="single" w:sz="4" w:space="0" w:color="auto"/>
              <w:right w:val="single" w:sz="4" w:space="0" w:color="auto"/>
            </w:tcBorders>
            <w:shd w:val="clear" w:color="auto" w:fill="auto"/>
            <w:vAlign w:val="center"/>
            <w:hideMark/>
          </w:tcPr>
          <w:p w14:paraId="3CDBCF63"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57AFDA56" w14:textId="75AAA1D4"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0DE7F6A7" w14:textId="77777777" w:rsidR="009279AF" w:rsidRPr="007F504D" w:rsidRDefault="00600075" w:rsidP="009279AF">
            <w:pPr>
              <w:rPr>
                <w:color w:val="000000"/>
                <w:szCs w:val="22"/>
              </w:rPr>
            </w:pPr>
            <w:r w:rsidRPr="007F504D">
              <w:rPr>
                <w:rFonts w:cs="Calibri"/>
                <w:color w:val="000000"/>
                <w:szCs w:val="22"/>
              </w:rPr>
              <w:t xml:space="preserve">The statistical median of all payment times in the </w:t>
            </w:r>
            <w:r w:rsidR="00761A6E" w:rsidRPr="007F504D">
              <w:rPr>
                <w:rFonts w:cs="Calibri"/>
                <w:b/>
                <w:color w:val="000000"/>
                <w:szCs w:val="22"/>
              </w:rPr>
              <w:t>SBTCP Dataset</w:t>
            </w:r>
            <w:r w:rsidRPr="007F504D">
              <w:rPr>
                <w:rFonts w:cs="Calibri"/>
                <w:color w:val="000000"/>
                <w:szCs w:val="22"/>
              </w:rPr>
              <w:t>.</w:t>
            </w:r>
          </w:p>
          <w:p w14:paraId="1057F920" w14:textId="30998DF6" w:rsidR="00600075" w:rsidRPr="007F504D" w:rsidRDefault="00600075" w:rsidP="009279AF">
            <w:pPr>
              <w:rPr>
                <w:rFonts w:cs="Calibri"/>
                <w:color w:val="000000"/>
                <w:szCs w:val="22"/>
              </w:rPr>
            </w:pPr>
            <w:r w:rsidRPr="007F504D">
              <w:rPr>
                <w:rFonts w:cs="Calibri"/>
                <w:color w:val="000000"/>
                <w:szCs w:val="22"/>
              </w:rPr>
              <w:t>This is the median payment time of all payments made under a trade credit arrangement to small business suppliers by the reporting entity and all its controlled entities (considered as a group).</w:t>
            </w:r>
          </w:p>
        </w:tc>
      </w:tr>
      <w:tr w:rsidR="00AD2DE8" w:rsidRPr="007F504D" w14:paraId="157005FF"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8E832B7" w14:textId="77777777" w:rsidR="00600075" w:rsidRPr="007F504D" w:rsidRDefault="00600075" w:rsidP="00836A29">
            <w:pPr>
              <w:rPr>
                <w:rFonts w:cs="Calibri"/>
                <w:szCs w:val="22"/>
              </w:rPr>
            </w:pPr>
            <w:r w:rsidRPr="007F504D">
              <w:rPr>
                <w:rFonts w:cs="Calibri"/>
                <w:szCs w:val="22"/>
              </w:rPr>
              <w:lastRenderedPageBreak/>
              <w:t>80th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1EEE4A2F"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6A0AD4A" w14:textId="16E598B4"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4979DA15" w14:textId="77777777" w:rsidR="009279AF" w:rsidRPr="007F504D" w:rsidRDefault="00600075" w:rsidP="009279AF">
            <w:pPr>
              <w:rPr>
                <w:color w:val="000000"/>
                <w:szCs w:val="22"/>
              </w:rPr>
            </w:pPr>
            <w:r w:rsidRPr="007F504D">
              <w:rPr>
                <w:rFonts w:cs="Calibri"/>
                <w:color w:val="000000"/>
                <w:szCs w:val="22"/>
              </w:rPr>
              <w:t xml:space="preserve">The 80th percentile value of all payment times in the </w:t>
            </w:r>
            <w:r w:rsidR="00761A6E" w:rsidRPr="007F504D">
              <w:rPr>
                <w:rFonts w:cs="Calibri"/>
                <w:b/>
                <w:color w:val="000000"/>
                <w:szCs w:val="22"/>
              </w:rPr>
              <w:t>SBTCP Dataset</w:t>
            </w:r>
            <w:r w:rsidRPr="007F504D">
              <w:rPr>
                <w:rFonts w:cs="Calibri"/>
                <w:color w:val="000000"/>
                <w:szCs w:val="22"/>
              </w:rPr>
              <w:t>.</w:t>
            </w:r>
          </w:p>
          <w:p w14:paraId="4D24BCE9" w14:textId="16EE27CE" w:rsidR="00600075" w:rsidRPr="007F504D" w:rsidRDefault="00600075" w:rsidP="009279AF">
            <w:pPr>
              <w:rPr>
                <w:rFonts w:cs="Calibri"/>
                <w:color w:val="000000"/>
                <w:szCs w:val="22"/>
              </w:rPr>
            </w:pPr>
            <w:r w:rsidRPr="007F504D">
              <w:rPr>
                <w:rFonts w:cs="Calibri"/>
                <w:color w:val="000000"/>
                <w:szCs w:val="22"/>
              </w:rPr>
              <w:t>This is the number of days it took the reporting entity and all its controlled entities (considered as a group) to make 80% of the payments under a trade credit arrangement to small business suppliers.</w:t>
            </w:r>
          </w:p>
        </w:tc>
      </w:tr>
      <w:tr w:rsidR="00AD2DE8" w:rsidRPr="007F504D" w14:paraId="1A91B0E7"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A2C8D4" w14:textId="77777777" w:rsidR="00600075" w:rsidRPr="007F504D" w:rsidRDefault="00600075" w:rsidP="00836A29">
            <w:pPr>
              <w:rPr>
                <w:rFonts w:cs="Calibri"/>
                <w:szCs w:val="22"/>
              </w:rPr>
            </w:pPr>
            <w:r w:rsidRPr="007F504D">
              <w:rPr>
                <w:rFonts w:cs="Calibri"/>
                <w:szCs w:val="22"/>
              </w:rPr>
              <w:t>95th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50FF218A"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6B691A2" w14:textId="3F0950EB"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1F7D16B4" w14:textId="77777777" w:rsidR="009279AF" w:rsidRPr="007F504D" w:rsidRDefault="00600075" w:rsidP="009279AF">
            <w:pPr>
              <w:rPr>
                <w:color w:val="000000"/>
                <w:szCs w:val="22"/>
              </w:rPr>
            </w:pPr>
            <w:r w:rsidRPr="007F504D">
              <w:rPr>
                <w:rFonts w:cs="Calibri"/>
                <w:color w:val="000000"/>
                <w:szCs w:val="22"/>
              </w:rPr>
              <w:t xml:space="preserve">The 95th percentile value of all payment times in the </w:t>
            </w:r>
            <w:r w:rsidR="00761A6E" w:rsidRPr="007F504D">
              <w:rPr>
                <w:rFonts w:cs="Calibri"/>
                <w:b/>
                <w:color w:val="000000"/>
                <w:szCs w:val="22"/>
              </w:rPr>
              <w:t>SBTCP Dataset</w:t>
            </w:r>
            <w:r w:rsidRPr="007F504D">
              <w:rPr>
                <w:rFonts w:cs="Calibri"/>
                <w:color w:val="000000"/>
                <w:szCs w:val="22"/>
              </w:rPr>
              <w:t>.</w:t>
            </w:r>
          </w:p>
          <w:p w14:paraId="04FDE047" w14:textId="62B04612" w:rsidR="00600075" w:rsidRPr="007F504D" w:rsidRDefault="00600075" w:rsidP="009279AF">
            <w:pPr>
              <w:rPr>
                <w:rFonts w:cs="Calibri"/>
                <w:color w:val="000000"/>
                <w:szCs w:val="22"/>
              </w:rPr>
            </w:pPr>
            <w:r w:rsidRPr="007F504D">
              <w:rPr>
                <w:rFonts w:cs="Calibri"/>
                <w:color w:val="000000"/>
                <w:szCs w:val="22"/>
              </w:rPr>
              <w:t>This is the number of days it took the reporting entity and all its controlled entities (considered as a group) to make 95% of the payments under a trade credit arrangement to small business suppliers.</w:t>
            </w:r>
          </w:p>
        </w:tc>
      </w:tr>
      <w:tr w:rsidR="00655286" w:rsidRPr="007F504D" w14:paraId="04CB14D7"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3C4EBB" w14:textId="77777777" w:rsidR="00600075" w:rsidRPr="007F504D" w:rsidRDefault="00600075" w:rsidP="00836A29">
            <w:pPr>
              <w:rPr>
                <w:rFonts w:cs="Calibri"/>
                <w:szCs w:val="22"/>
              </w:rPr>
            </w:pPr>
            <w:r w:rsidRPr="007F504D">
              <w:rPr>
                <w:rFonts w:cs="Calibri"/>
                <w:szCs w:val="22"/>
              </w:rPr>
              <w:t>Percentage of small business trade credit arrangements paid within payment terms</w:t>
            </w:r>
          </w:p>
        </w:tc>
        <w:tc>
          <w:tcPr>
            <w:tcW w:w="1644" w:type="dxa"/>
            <w:tcBorders>
              <w:top w:val="nil"/>
              <w:left w:val="nil"/>
              <w:bottom w:val="single" w:sz="4" w:space="0" w:color="auto"/>
              <w:right w:val="single" w:sz="4" w:space="0" w:color="auto"/>
            </w:tcBorders>
            <w:shd w:val="clear" w:color="auto" w:fill="auto"/>
            <w:vAlign w:val="center"/>
            <w:hideMark/>
          </w:tcPr>
          <w:p w14:paraId="3EA53A58"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3BC16B6" w14:textId="29603510"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5B261AB4" w14:textId="776D87D7" w:rsidR="009279AF" w:rsidRPr="009C5D55" w:rsidRDefault="009C5D55" w:rsidP="009279AF">
            <w:pPr>
              <w:rPr>
                <w:bCs/>
                <w:color w:val="000000"/>
                <w:szCs w:val="22"/>
              </w:rPr>
            </w:pPr>
            <w:r>
              <w:rPr>
                <w:rFonts w:cs="Calibri"/>
                <w:color w:val="000000"/>
                <w:szCs w:val="22"/>
              </w:rPr>
              <w:t>(</w:t>
            </w:r>
            <w:r w:rsidR="00B70D10">
              <w:rPr>
                <w:rFonts w:cs="Calibri"/>
                <w:color w:val="000000"/>
                <w:szCs w:val="22"/>
              </w:rPr>
              <w:t>(</w:t>
            </w:r>
            <w:r w:rsidR="00600075" w:rsidRPr="007F504D">
              <w:rPr>
                <w:rFonts w:cs="Calibri"/>
                <w:color w:val="000000"/>
                <w:szCs w:val="22"/>
              </w:rPr>
              <w:t xml:space="preserve">Number of payments in </w:t>
            </w:r>
            <w:r w:rsidR="00761A6E" w:rsidRPr="007F504D">
              <w:rPr>
                <w:rFonts w:cs="Calibri"/>
                <w:b/>
                <w:color w:val="000000"/>
                <w:szCs w:val="22"/>
              </w:rPr>
              <w:t>SBTCP Dataset</w:t>
            </w:r>
            <w:r w:rsidR="00600075" w:rsidRPr="007F504D">
              <w:rPr>
                <w:rFonts w:cs="Calibri"/>
                <w:color w:val="000000"/>
                <w:szCs w:val="22"/>
              </w:rPr>
              <w:t xml:space="preserve"> where payment time ≤ payment term</w:t>
            </w:r>
            <w:r w:rsidR="00B70D10">
              <w:rPr>
                <w:rFonts w:cs="Calibri"/>
                <w:color w:val="000000"/>
                <w:szCs w:val="22"/>
              </w:rPr>
              <w:t>)</w:t>
            </w:r>
            <w:r w:rsidR="00600075" w:rsidRPr="007F504D">
              <w:rPr>
                <w:rFonts w:cs="Calibri"/>
                <w:color w:val="000000"/>
                <w:szCs w:val="22"/>
              </w:rPr>
              <w:t xml:space="preserve"> ÷ Number of payments in </w:t>
            </w:r>
            <w:r w:rsidR="00761A6E" w:rsidRPr="007F504D">
              <w:rPr>
                <w:rFonts w:cs="Calibri"/>
                <w:b/>
                <w:color w:val="000000"/>
                <w:szCs w:val="22"/>
              </w:rPr>
              <w:t>SBTCP Dataset</w:t>
            </w:r>
            <w:r>
              <w:rPr>
                <w:rFonts w:cs="Calibri"/>
                <w:bCs/>
                <w:color w:val="000000"/>
                <w:szCs w:val="22"/>
              </w:rPr>
              <w:t>) x 100</w:t>
            </w:r>
          </w:p>
          <w:p w14:paraId="41C02EAA" w14:textId="1CDCBC07" w:rsidR="00600075" w:rsidRPr="007F504D" w:rsidRDefault="00600075" w:rsidP="009279AF">
            <w:pPr>
              <w:rPr>
                <w:rFonts w:cs="Calibri"/>
                <w:color w:val="000000"/>
                <w:szCs w:val="22"/>
              </w:rPr>
            </w:pPr>
            <w:r w:rsidRPr="007F504D">
              <w:rPr>
                <w:rFonts w:cs="Calibri"/>
                <w:color w:val="000000"/>
                <w:szCs w:val="22"/>
              </w:rPr>
              <w:t>This is the proportion of the number payments, made under a trade credit arrangement to small business suppliers by the reporting entity and all its controlled entities (considered as a group), where the payment time is less than or equal to the payment term (for that particular payment).</w:t>
            </w:r>
          </w:p>
        </w:tc>
      </w:tr>
      <w:tr w:rsidR="00AD2DE8" w:rsidRPr="007F504D" w14:paraId="218FD182" w14:textId="77777777" w:rsidTr="00836A29">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EB30DA" w14:textId="77777777" w:rsidR="00600075" w:rsidRPr="007F504D" w:rsidRDefault="00600075" w:rsidP="00836A29">
            <w:pPr>
              <w:rPr>
                <w:rFonts w:cs="Calibri"/>
                <w:szCs w:val="22"/>
              </w:rPr>
            </w:pPr>
            <w:r w:rsidRPr="007F504D">
              <w:rPr>
                <w:rFonts w:cs="Calibri"/>
                <w:szCs w:val="22"/>
              </w:rPr>
              <w:t>Invoices paid within 30 days (%)</w:t>
            </w:r>
          </w:p>
        </w:tc>
        <w:tc>
          <w:tcPr>
            <w:tcW w:w="1644" w:type="dxa"/>
            <w:tcBorders>
              <w:top w:val="nil"/>
              <w:left w:val="nil"/>
              <w:bottom w:val="single" w:sz="4" w:space="0" w:color="auto"/>
              <w:right w:val="single" w:sz="4" w:space="0" w:color="auto"/>
            </w:tcBorders>
            <w:shd w:val="clear" w:color="auto" w:fill="auto"/>
            <w:vAlign w:val="center"/>
            <w:hideMark/>
          </w:tcPr>
          <w:p w14:paraId="42BE169A"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175F215" w14:textId="3C8FD392"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7C37C05E" w14:textId="6DD1A383" w:rsidR="009279AF" w:rsidRPr="007F504D" w:rsidRDefault="00835AA4" w:rsidP="009279AF">
            <w:pPr>
              <w:rPr>
                <w:color w:val="000000"/>
                <w:szCs w:val="22"/>
              </w:rPr>
            </w:pPr>
            <w:r>
              <w:rPr>
                <w:rFonts w:cs="Calibri"/>
                <w:color w:val="000000"/>
                <w:szCs w:val="22"/>
              </w:rPr>
              <w:t>(</w:t>
            </w:r>
            <w:r w:rsidR="009A6921">
              <w:rPr>
                <w:rFonts w:cs="Calibri"/>
                <w:color w:val="000000"/>
                <w:szCs w:val="22"/>
              </w:rPr>
              <w:t>(</w:t>
            </w:r>
            <w:r>
              <w:rPr>
                <w:rFonts w:cs="Calibri"/>
                <w:color w:val="000000"/>
                <w:szCs w:val="22"/>
              </w:rPr>
              <w:t>N</w:t>
            </w:r>
            <w:r w:rsidR="00533F7A">
              <w:rPr>
                <w:rFonts w:cs="Calibri"/>
                <w:color w:val="000000"/>
                <w:szCs w:val="22"/>
              </w:rPr>
              <w:t>u</w:t>
            </w:r>
            <w:r w:rsidR="00600075" w:rsidRPr="007F504D">
              <w:rPr>
                <w:rFonts w:cs="Calibri"/>
                <w:color w:val="000000"/>
                <w:szCs w:val="22"/>
              </w:rPr>
              <w:t xml:space="preserve">mber of payments in </w:t>
            </w:r>
            <w:r w:rsidR="00761A6E" w:rsidRPr="007F504D">
              <w:rPr>
                <w:rFonts w:cs="Calibri"/>
                <w:b/>
                <w:color w:val="000000"/>
                <w:szCs w:val="22"/>
              </w:rPr>
              <w:t>SBTCP Dataset</w:t>
            </w:r>
            <w:r w:rsidR="00600075" w:rsidRPr="007F504D">
              <w:rPr>
                <w:rFonts w:cs="Calibri"/>
                <w:color w:val="000000"/>
                <w:szCs w:val="22"/>
              </w:rPr>
              <w:t xml:space="preserve"> where Payment Time ≤ 30 days</w:t>
            </w:r>
            <w:r w:rsidR="009A6921">
              <w:rPr>
                <w:rFonts w:cs="Calibri"/>
                <w:color w:val="000000"/>
                <w:szCs w:val="22"/>
              </w:rPr>
              <w:t>)</w:t>
            </w:r>
            <w:r w:rsidR="009820EB" w:rsidRPr="007F504D">
              <w:rPr>
                <w:rFonts w:cs="Calibri"/>
                <w:color w:val="000000"/>
                <w:szCs w:val="22"/>
              </w:rPr>
              <w:t xml:space="preserve"> ÷ Number of payments in </w:t>
            </w:r>
            <w:r w:rsidR="009820EB" w:rsidRPr="007F504D">
              <w:rPr>
                <w:rFonts w:cs="Calibri"/>
                <w:b/>
                <w:color w:val="000000"/>
                <w:szCs w:val="22"/>
              </w:rPr>
              <w:t>SBTCP Dataset</w:t>
            </w:r>
            <w:r w:rsidR="009820EB">
              <w:rPr>
                <w:rFonts w:cs="Calibri"/>
                <w:bCs/>
                <w:color w:val="000000"/>
                <w:szCs w:val="22"/>
              </w:rPr>
              <w:t>) x 100</w:t>
            </w:r>
          </w:p>
          <w:p w14:paraId="74D4C4D3" w14:textId="5FDB5424" w:rsidR="00600075" w:rsidRPr="007F504D" w:rsidRDefault="00600075" w:rsidP="009279AF">
            <w:pPr>
              <w:rPr>
                <w:rFonts w:cs="Calibri"/>
                <w:color w:val="000000"/>
                <w:szCs w:val="22"/>
              </w:rPr>
            </w:pPr>
            <w:r w:rsidRPr="007F504D">
              <w:rPr>
                <w:rFonts w:cs="Calibri"/>
                <w:color w:val="000000"/>
                <w:szCs w:val="22"/>
              </w:rPr>
              <w:t>This is the proportion of the number of payments, made under a trade credit arrangement to small business suppliers by the reporting entity and all its controlled entities (considered as a group), where the payment time is less than or equal to 30 days.</w:t>
            </w:r>
          </w:p>
        </w:tc>
      </w:tr>
      <w:tr w:rsidR="00AD2DE8" w:rsidRPr="007F504D" w14:paraId="69A520CD" w14:textId="77777777" w:rsidTr="00D9223B">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652FA3" w14:textId="77777777" w:rsidR="00600075" w:rsidRPr="007F504D" w:rsidRDefault="00600075" w:rsidP="00D9223B">
            <w:pPr>
              <w:rPr>
                <w:rFonts w:cs="Calibri"/>
                <w:szCs w:val="22"/>
              </w:rPr>
            </w:pPr>
            <w:r w:rsidRPr="007F504D">
              <w:rPr>
                <w:rFonts w:cs="Calibri"/>
                <w:szCs w:val="22"/>
              </w:rPr>
              <w:lastRenderedPageBreak/>
              <w:t>Invoices paid in 31-60 days (%)</w:t>
            </w:r>
          </w:p>
        </w:tc>
        <w:tc>
          <w:tcPr>
            <w:tcW w:w="1644" w:type="dxa"/>
            <w:tcBorders>
              <w:top w:val="nil"/>
              <w:left w:val="nil"/>
              <w:bottom w:val="single" w:sz="4" w:space="0" w:color="auto"/>
              <w:right w:val="single" w:sz="4" w:space="0" w:color="auto"/>
            </w:tcBorders>
            <w:shd w:val="clear" w:color="auto" w:fill="auto"/>
            <w:vAlign w:val="center"/>
            <w:hideMark/>
          </w:tcPr>
          <w:p w14:paraId="35E137AA"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C21381F" w14:textId="482FB9FF"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677F061A" w14:textId="69696029" w:rsidR="009279AF" w:rsidRPr="007F504D" w:rsidRDefault="009820EB" w:rsidP="009279AF">
            <w:pPr>
              <w:rPr>
                <w:color w:val="000000"/>
                <w:szCs w:val="22"/>
              </w:rPr>
            </w:pPr>
            <w:r>
              <w:rPr>
                <w:rFonts w:cs="Calibri"/>
                <w:color w:val="000000"/>
                <w:szCs w:val="22"/>
              </w:rPr>
              <w:t>(</w:t>
            </w:r>
            <w:r w:rsidR="009A6921">
              <w:rPr>
                <w:rFonts w:cs="Calibri"/>
                <w:color w:val="000000"/>
                <w:szCs w:val="22"/>
              </w:rPr>
              <w:t>(</w:t>
            </w:r>
            <w:r>
              <w:rPr>
                <w:rFonts w:cs="Calibri"/>
                <w:color w:val="000000"/>
                <w:szCs w:val="22"/>
              </w:rPr>
              <w:t>N</w:t>
            </w:r>
            <w:r w:rsidR="00600075" w:rsidRPr="007F504D">
              <w:rPr>
                <w:rFonts w:cs="Calibri"/>
                <w:color w:val="000000"/>
                <w:szCs w:val="22"/>
              </w:rPr>
              <w:t xml:space="preserve">umber of payments in </w:t>
            </w:r>
            <w:r w:rsidR="00761A6E" w:rsidRPr="007F504D">
              <w:rPr>
                <w:rFonts w:cs="Calibri"/>
                <w:b/>
                <w:color w:val="000000"/>
                <w:szCs w:val="22"/>
              </w:rPr>
              <w:t>SBTCP Dataset</w:t>
            </w:r>
            <w:r w:rsidR="00600075" w:rsidRPr="007F504D">
              <w:rPr>
                <w:rFonts w:cs="Calibri"/>
                <w:color w:val="000000"/>
                <w:szCs w:val="22"/>
              </w:rPr>
              <w:t xml:space="preserve"> where Payment Time &gt; 30 days and ≤ 60 days</w:t>
            </w:r>
            <w:r w:rsidR="009A6921">
              <w:rPr>
                <w:rFonts w:cs="Calibri"/>
                <w:color w:val="000000"/>
                <w:szCs w:val="22"/>
              </w:rPr>
              <w:t>)</w:t>
            </w:r>
            <w:r w:rsidR="00B47E0B">
              <w:rPr>
                <w:rFonts w:cs="Calibri"/>
                <w:color w:val="000000"/>
                <w:szCs w:val="22"/>
              </w:rPr>
              <w:t xml:space="preserve"> </w:t>
            </w:r>
            <w:r w:rsidR="00B47E0B" w:rsidRPr="007F504D">
              <w:rPr>
                <w:rFonts w:cs="Calibri"/>
                <w:color w:val="000000"/>
                <w:szCs w:val="22"/>
              </w:rPr>
              <w:t xml:space="preserve">÷ Number of payments in </w:t>
            </w:r>
            <w:r w:rsidR="00B47E0B" w:rsidRPr="007F504D">
              <w:rPr>
                <w:rFonts w:cs="Calibri"/>
                <w:b/>
                <w:color w:val="000000"/>
                <w:szCs w:val="22"/>
              </w:rPr>
              <w:t>SBTCP Dataset</w:t>
            </w:r>
            <w:r w:rsidR="00B47E0B">
              <w:rPr>
                <w:rFonts w:cs="Calibri"/>
                <w:bCs/>
                <w:color w:val="000000"/>
                <w:szCs w:val="22"/>
              </w:rPr>
              <w:t>) x 100</w:t>
            </w:r>
          </w:p>
          <w:p w14:paraId="4172BC0D" w14:textId="01DBC772" w:rsidR="00600075" w:rsidRPr="007F504D" w:rsidRDefault="00600075" w:rsidP="009279AF">
            <w:pPr>
              <w:rPr>
                <w:rFonts w:cs="Calibri"/>
                <w:color w:val="000000"/>
                <w:szCs w:val="22"/>
              </w:rPr>
            </w:pPr>
            <w:r w:rsidRPr="007F504D">
              <w:rPr>
                <w:rFonts w:cs="Calibri"/>
                <w:color w:val="000000"/>
                <w:szCs w:val="22"/>
              </w:rPr>
              <w:t>This is the proportion of the number of payments, made under a trade credit arrangement to small business suppliers by the reporting entity and all its controlled entities (considered as a group), where the payment time is between 31 and 60 days.</w:t>
            </w:r>
          </w:p>
        </w:tc>
      </w:tr>
      <w:tr w:rsidR="00AD2DE8" w:rsidRPr="007F504D" w14:paraId="35549BEB" w14:textId="77777777" w:rsidTr="00D9223B">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EE84FC1" w14:textId="77777777" w:rsidR="00600075" w:rsidRPr="007F504D" w:rsidRDefault="00600075" w:rsidP="00D9223B">
            <w:pPr>
              <w:rPr>
                <w:rFonts w:cs="Calibri"/>
                <w:szCs w:val="22"/>
              </w:rPr>
            </w:pPr>
            <w:r w:rsidRPr="007F504D">
              <w:rPr>
                <w:rFonts w:cs="Calibri"/>
                <w:szCs w:val="22"/>
              </w:rPr>
              <w:t>Invoices paid over 60 days (%)</w:t>
            </w:r>
          </w:p>
        </w:tc>
        <w:tc>
          <w:tcPr>
            <w:tcW w:w="1644" w:type="dxa"/>
            <w:tcBorders>
              <w:top w:val="nil"/>
              <w:left w:val="nil"/>
              <w:bottom w:val="single" w:sz="4" w:space="0" w:color="auto"/>
              <w:right w:val="single" w:sz="4" w:space="0" w:color="auto"/>
            </w:tcBorders>
            <w:shd w:val="clear" w:color="auto" w:fill="auto"/>
            <w:vAlign w:val="center"/>
            <w:hideMark/>
          </w:tcPr>
          <w:p w14:paraId="3148A5E9"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4B11ACCB" w14:textId="7F41C033"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72CA7A02" w14:textId="10DFFD31" w:rsidR="009279AF" w:rsidRPr="007F504D" w:rsidRDefault="006476BE" w:rsidP="009279AF">
            <w:pPr>
              <w:rPr>
                <w:color w:val="000000"/>
                <w:szCs w:val="22"/>
              </w:rPr>
            </w:pPr>
            <w:r>
              <w:rPr>
                <w:rFonts w:cs="Calibri"/>
                <w:color w:val="000000"/>
                <w:szCs w:val="22"/>
              </w:rPr>
              <w:t>(</w:t>
            </w:r>
            <w:r w:rsidR="009A6921">
              <w:rPr>
                <w:rFonts w:cs="Calibri"/>
                <w:color w:val="000000"/>
                <w:szCs w:val="22"/>
              </w:rPr>
              <w:t>(</w:t>
            </w:r>
            <w:r>
              <w:rPr>
                <w:rFonts w:cs="Calibri"/>
                <w:color w:val="000000"/>
                <w:szCs w:val="22"/>
              </w:rPr>
              <w:t>N</w:t>
            </w:r>
            <w:r w:rsidR="00600075" w:rsidRPr="007F504D">
              <w:rPr>
                <w:rFonts w:cs="Calibri"/>
                <w:color w:val="000000"/>
                <w:szCs w:val="22"/>
              </w:rPr>
              <w:t xml:space="preserve">umber of payments in </w:t>
            </w:r>
            <w:r w:rsidR="00761A6E" w:rsidRPr="007F504D">
              <w:rPr>
                <w:rFonts w:cs="Calibri"/>
                <w:b/>
                <w:color w:val="000000"/>
                <w:szCs w:val="22"/>
              </w:rPr>
              <w:t>SBTCP Dataset</w:t>
            </w:r>
            <w:r w:rsidR="00600075" w:rsidRPr="007F504D">
              <w:rPr>
                <w:rFonts w:cs="Calibri"/>
                <w:color w:val="000000"/>
                <w:szCs w:val="22"/>
              </w:rPr>
              <w:t xml:space="preserve"> where Payment Time &gt; 60 days</w:t>
            </w:r>
            <w:r w:rsidR="009A6921">
              <w:rPr>
                <w:rFonts w:cs="Calibri"/>
                <w:color w:val="000000"/>
                <w:szCs w:val="22"/>
              </w:rPr>
              <w:t>)</w:t>
            </w:r>
            <w:r>
              <w:rPr>
                <w:rFonts w:cs="Calibri"/>
                <w:color w:val="000000"/>
                <w:szCs w:val="22"/>
              </w:rPr>
              <w:t xml:space="preserve"> </w:t>
            </w:r>
            <w:r w:rsidRPr="007F504D">
              <w:rPr>
                <w:rFonts w:cs="Calibri"/>
                <w:color w:val="000000"/>
                <w:szCs w:val="22"/>
              </w:rPr>
              <w:t xml:space="preserve">÷ Number of payments in </w:t>
            </w:r>
            <w:r w:rsidRPr="007F504D">
              <w:rPr>
                <w:rFonts w:cs="Calibri"/>
                <w:b/>
                <w:color w:val="000000"/>
                <w:szCs w:val="22"/>
              </w:rPr>
              <w:t>SBTCP Dataset</w:t>
            </w:r>
            <w:r>
              <w:rPr>
                <w:rFonts w:cs="Calibri"/>
                <w:bCs/>
                <w:color w:val="000000"/>
                <w:szCs w:val="22"/>
              </w:rPr>
              <w:t>) x 100</w:t>
            </w:r>
          </w:p>
          <w:p w14:paraId="001EB6BA" w14:textId="0F19FB4D" w:rsidR="00600075" w:rsidRPr="007F504D" w:rsidRDefault="00600075" w:rsidP="009279AF">
            <w:pPr>
              <w:rPr>
                <w:rFonts w:cs="Calibri"/>
                <w:color w:val="000000"/>
                <w:szCs w:val="22"/>
              </w:rPr>
            </w:pPr>
            <w:r w:rsidRPr="007F504D">
              <w:rPr>
                <w:rFonts w:cs="Calibri"/>
                <w:color w:val="000000"/>
                <w:szCs w:val="22"/>
              </w:rPr>
              <w:t>This is the proportion of the number of payments, made under a trade credit arrangement to small business suppliers by the reporting entity and all its controlled entities (considered as a group), where the payment time is more than 60 days.</w:t>
            </w:r>
          </w:p>
        </w:tc>
      </w:tr>
      <w:tr w:rsidR="00887000" w:rsidRPr="007F504D" w14:paraId="0987206F"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6CD6DA71" w14:textId="219114F7" w:rsidR="00887000" w:rsidRPr="007F504D" w:rsidRDefault="00887000" w:rsidP="00D9223B">
            <w:pPr>
              <w:spacing w:before="80" w:after="80"/>
              <w:rPr>
                <w:i/>
                <w:iCs/>
                <w:szCs w:val="22"/>
              </w:rPr>
            </w:pPr>
            <w:r w:rsidRPr="00E3372F">
              <w:rPr>
                <w:b/>
                <w:bCs/>
                <w:color w:val="FFFFFF" w:themeColor="background1"/>
                <w:sz w:val="24"/>
                <w:szCs w:val="24"/>
              </w:rPr>
              <w:t>Miscellaneous</w:t>
            </w:r>
          </w:p>
        </w:tc>
      </w:tr>
      <w:tr w:rsidR="00AD2DE8" w:rsidRPr="007F504D" w14:paraId="6AAD7A14" w14:textId="77777777" w:rsidTr="00D9223B">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F3EDB6" w14:textId="77777777" w:rsidR="00600075" w:rsidRPr="007F504D" w:rsidRDefault="00600075" w:rsidP="00D9223B">
            <w:pPr>
              <w:rPr>
                <w:rFonts w:cs="Calibri"/>
                <w:szCs w:val="22"/>
              </w:rPr>
            </w:pPr>
            <w:r w:rsidRPr="007F504D">
              <w:rPr>
                <w:rFonts w:cs="Calibri"/>
                <w:szCs w:val="22"/>
              </w:rPr>
              <w:t>Small business trade credit payments as a percentage of total number of trade credit payments</w:t>
            </w:r>
          </w:p>
        </w:tc>
        <w:tc>
          <w:tcPr>
            <w:tcW w:w="1644" w:type="dxa"/>
            <w:tcBorders>
              <w:top w:val="nil"/>
              <w:left w:val="nil"/>
              <w:bottom w:val="single" w:sz="4" w:space="0" w:color="auto"/>
              <w:right w:val="single" w:sz="4" w:space="0" w:color="auto"/>
            </w:tcBorders>
            <w:shd w:val="clear" w:color="auto" w:fill="auto"/>
            <w:vAlign w:val="center"/>
            <w:hideMark/>
          </w:tcPr>
          <w:p w14:paraId="6BF3191C"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81737A3" w14:textId="351B85CE"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096A7875" w14:textId="5BD7E673" w:rsidR="009279AF" w:rsidRPr="007F504D" w:rsidRDefault="006476BE" w:rsidP="009279AF">
            <w:pPr>
              <w:rPr>
                <w:color w:val="000000"/>
                <w:szCs w:val="22"/>
              </w:rPr>
            </w:pPr>
            <w:r>
              <w:rPr>
                <w:rFonts w:cs="Calibri"/>
                <w:color w:val="000000"/>
                <w:szCs w:val="22"/>
              </w:rPr>
              <w:t>(</w:t>
            </w:r>
            <w:r w:rsidR="00600075" w:rsidRPr="007F504D">
              <w:rPr>
                <w:rFonts w:cs="Calibri"/>
                <w:color w:val="000000"/>
                <w:szCs w:val="22"/>
              </w:rPr>
              <w:t xml:space="preserve">(Number of payments in the </w:t>
            </w:r>
            <w:r w:rsidR="00761A6E" w:rsidRPr="007F504D">
              <w:rPr>
                <w:rFonts w:cs="Calibri"/>
                <w:b/>
                <w:color w:val="000000"/>
                <w:szCs w:val="22"/>
              </w:rPr>
              <w:t>SBTCP Dataset</w:t>
            </w:r>
            <w:r w:rsidR="00600075" w:rsidRPr="007F504D">
              <w:rPr>
                <w:rFonts w:cs="Calibri"/>
                <w:color w:val="000000"/>
                <w:szCs w:val="22"/>
              </w:rPr>
              <w:t xml:space="preserve"> + number of partial payments to Australian small business suppliers) ÷ Number of payments in the </w:t>
            </w:r>
            <w:r w:rsidR="00600075" w:rsidRPr="006476BE">
              <w:rPr>
                <w:rFonts w:cs="Calibri"/>
                <w:b/>
                <w:bCs/>
                <w:color w:val="000000"/>
                <w:szCs w:val="22"/>
              </w:rPr>
              <w:t>TCP Dataset</w:t>
            </w:r>
            <w:r>
              <w:rPr>
                <w:rFonts w:cs="Calibri"/>
                <w:color w:val="000000"/>
                <w:szCs w:val="22"/>
              </w:rPr>
              <w:t>) x 100</w:t>
            </w:r>
          </w:p>
          <w:p w14:paraId="5DBE5AC7" w14:textId="5CB7920A" w:rsidR="00600075" w:rsidRPr="007F504D" w:rsidRDefault="00600075" w:rsidP="009279AF">
            <w:pPr>
              <w:rPr>
                <w:rFonts w:cs="Calibri"/>
                <w:color w:val="000000"/>
                <w:szCs w:val="22"/>
              </w:rPr>
            </w:pPr>
            <w:r w:rsidRPr="007F504D">
              <w:rPr>
                <w:rFonts w:cs="Calibri"/>
                <w:color w:val="000000"/>
                <w:szCs w:val="22"/>
              </w:rPr>
              <w:t>This is the number of payments made under a trade credit arrangement to small business suppliers as a percentage of the total number of payments made under a trade credit arrangement (to all Australian entities) by the reporting entity and all its controlled entities (considered as a group).</w:t>
            </w:r>
          </w:p>
        </w:tc>
      </w:tr>
      <w:tr w:rsidR="00AD2DE8" w:rsidRPr="007F504D" w14:paraId="0B188E96" w14:textId="77777777" w:rsidTr="00D9223B">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313FCA" w14:textId="77777777" w:rsidR="00600075" w:rsidRPr="007F504D" w:rsidRDefault="00600075" w:rsidP="00D9223B">
            <w:pPr>
              <w:rPr>
                <w:rFonts w:cs="Calibri"/>
                <w:szCs w:val="22"/>
              </w:rPr>
            </w:pPr>
            <w:r w:rsidRPr="007F504D">
              <w:rPr>
                <w:rFonts w:cs="Calibri"/>
                <w:szCs w:val="22"/>
              </w:rPr>
              <w:t>Percentage of Peppol enabled small business procurement</w:t>
            </w:r>
          </w:p>
        </w:tc>
        <w:tc>
          <w:tcPr>
            <w:tcW w:w="1644" w:type="dxa"/>
            <w:tcBorders>
              <w:top w:val="nil"/>
              <w:left w:val="nil"/>
              <w:bottom w:val="single" w:sz="4" w:space="0" w:color="auto"/>
              <w:right w:val="single" w:sz="4" w:space="0" w:color="auto"/>
            </w:tcBorders>
            <w:shd w:val="clear" w:color="auto" w:fill="auto"/>
            <w:vAlign w:val="center"/>
            <w:hideMark/>
          </w:tcPr>
          <w:p w14:paraId="2868D8CA"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59517DE5" w14:textId="35646C2F" w:rsidR="00600075" w:rsidRPr="007F504D" w:rsidRDefault="003205D4" w:rsidP="00AF02BF">
            <w:pPr>
              <w:jc w:val="center"/>
              <w:rPr>
                <w:rFonts w:cs="Calibri"/>
                <w:color w:val="000000"/>
                <w:szCs w:val="22"/>
              </w:rPr>
            </w:pPr>
            <w:r>
              <w:rPr>
                <w:rFonts w:cs="Calibri"/>
                <w:color w:val="000000"/>
                <w:szCs w:val="22"/>
              </w:rPr>
              <w:t xml:space="preserve">Number </w:t>
            </w:r>
            <w:r>
              <w:rPr>
                <w:rFonts w:cs="Calibri"/>
                <w:color w:val="000000"/>
                <w:szCs w:val="22"/>
              </w:rPr>
              <w:br/>
              <w:t>[</w:t>
            </w:r>
            <w:r w:rsidR="00600075" w:rsidRPr="007F504D">
              <w:rPr>
                <w:rFonts w:cs="Calibri"/>
                <w:color w:val="000000"/>
                <w:szCs w:val="22"/>
              </w:rPr>
              <w:t>0.00]</w:t>
            </w:r>
          </w:p>
        </w:tc>
        <w:tc>
          <w:tcPr>
            <w:tcW w:w="8439" w:type="dxa"/>
            <w:tcBorders>
              <w:top w:val="nil"/>
              <w:left w:val="nil"/>
              <w:bottom w:val="single" w:sz="4" w:space="0" w:color="auto"/>
              <w:right w:val="single" w:sz="4" w:space="0" w:color="auto"/>
            </w:tcBorders>
            <w:shd w:val="clear" w:color="auto" w:fill="auto"/>
            <w:vAlign w:val="center"/>
            <w:hideMark/>
          </w:tcPr>
          <w:p w14:paraId="61C0C2CD" w14:textId="0245107A" w:rsidR="009279AF" w:rsidRPr="007F504D" w:rsidRDefault="006476BE" w:rsidP="009279AF">
            <w:pPr>
              <w:rPr>
                <w:color w:val="000000"/>
                <w:szCs w:val="22"/>
              </w:rPr>
            </w:pPr>
            <w:r>
              <w:rPr>
                <w:rFonts w:cs="Calibri"/>
                <w:color w:val="000000"/>
                <w:szCs w:val="22"/>
              </w:rPr>
              <w:t>(</w:t>
            </w:r>
            <w:r w:rsidR="00600075" w:rsidRPr="007F504D">
              <w:rPr>
                <w:rFonts w:cs="Calibri"/>
                <w:color w:val="000000"/>
                <w:szCs w:val="22"/>
              </w:rPr>
              <w:t xml:space="preserve">Number of payments that are Peppol capable payments in the </w:t>
            </w:r>
            <w:r w:rsidR="00761A6E" w:rsidRPr="007F504D">
              <w:rPr>
                <w:rFonts w:cs="Calibri"/>
                <w:b/>
                <w:color w:val="000000"/>
                <w:szCs w:val="22"/>
              </w:rPr>
              <w:t>SBTCP Dataset</w:t>
            </w:r>
            <w:r w:rsidR="00600075" w:rsidRPr="007F504D">
              <w:rPr>
                <w:rFonts w:cs="Calibri"/>
                <w:color w:val="000000"/>
                <w:szCs w:val="22"/>
              </w:rPr>
              <w:t xml:space="preserve"> ÷ Number of payments in the </w:t>
            </w:r>
            <w:r w:rsidR="00761A6E" w:rsidRPr="007F504D">
              <w:rPr>
                <w:rFonts w:cs="Calibri"/>
                <w:b/>
                <w:color w:val="000000"/>
                <w:szCs w:val="22"/>
              </w:rPr>
              <w:t>SBTCP Dataset</w:t>
            </w:r>
            <w:r w:rsidRPr="006476BE">
              <w:rPr>
                <w:rFonts w:cs="Calibri"/>
                <w:bCs/>
                <w:color w:val="000000"/>
                <w:szCs w:val="22"/>
              </w:rPr>
              <w:t>)</w:t>
            </w:r>
            <w:r>
              <w:rPr>
                <w:rFonts w:cs="Calibri"/>
                <w:bCs/>
                <w:color w:val="000000"/>
                <w:szCs w:val="22"/>
              </w:rPr>
              <w:t xml:space="preserve"> x 100</w:t>
            </w:r>
          </w:p>
          <w:p w14:paraId="2657A318" w14:textId="672A6DBC" w:rsidR="00600075" w:rsidRPr="007F504D" w:rsidRDefault="00600075" w:rsidP="009279AF">
            <w:pPr>
              <w:rPr>
                <w:rFonts w:cs="Calibri"/>
                <w:color w:val="000000"/>
                <w:szCs w:val="22"/>
              </w:rPr>
            </w:pPr>
            <w:r w:rsidRPr="007F504D">
              <w:rPr>
                <w:rFonts w:cs="Calibri"/>
                <w:color w:val="000000"/>
                <w:szCs w:val="22"/>
              </w:rPr>
              <w:t xml:space="preserve">This is the proportion of payments made under a trade credit arrangement to small business suppliers by the reporting entity and all its controlled entities (considered as a group) under that used Peppol-enabled systems. </w:t>
            </w:r>
          </w:p>
        </w:tc>
      </w:tr>
      <w:tr w:rsidR="00AD2DE8" w:rsidRPr="007F504D" w14:paraId="7E19DC12" w14:textId="77777777" w:rsidTr="00D9223B">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22D32E" w14:textId="77777777" w:rsidR="00600075" w:rsidRPr="007F504D" w:rsidRDefault="00600075" w:rsidP="00D9223B">
            <w:pPr>
              <w:rPr>
                <w:rFonts w:cs="Calibri"/>
                <w:szCs w:val="22"/>
              </w:rPr>
            </w:pPr>
            <w:r w:rsidRPr="007F504D">
              <w:rPr>
                <w:rFonts w:cs="Calibri"/>
                <w:szCs w:val="22"/>
              </w:rPr>
              <w:lastRenderedPageBreak/>
              <w:t>Report comments</w:t>
            </w:r>
          </w:p>
        </w:tc>
        <w:tc>
          <w:tcPr>
            <w:tcW w:w="1644" w:type="dxa"/>
            <w:tcBorders>
              <w:top w:val="nil"/>
              <w:left w:val="nil"/>
              <w:bottom w:val="single" w:sz="4" w:space="0" w:color="auto"/>
              <w:right w:val="single" w:sz="4" w:space="0" w:color="auto"/>
            </w:tcBorders>
            <w:shd w:val="clear" w:color="auto" w:fill="auto"/>
            <w:vAlign w:val="center"/>
            <w:hideMark/>
          </w:tcPr>
          <w:p w14:paraId="599F8AB7" w14:textId="77777777" w:rsidR="007846FF" w:rsidRDefault="00600075" w:rsidP="007846FF">
            <w:pPr>
              <w:jc w:val="center"/>
              <w:rPr>
                <w:color w:val="000000"/>
                <w:szCs w:val="22"/>
              </w:rPr>
            </w:pPr>
            <w:r w:rsidRPr="007F504D">
              <w:rPr>
                <w:rFonts w:cs="Calibri"/>
                <w:color w:val="000000"/>
                <w:szCs w:val="22"/>
              </w:rPr>
              <w:t>Optional</w:t>
            </w:r>
          </w:p>
          <w:p w14:paraId="7B0C5882" w14:textId="4F5B3E9B" w:rsidR="00600075" w:rsidRPr="007F504D" w:rsidRDefault="007846FF" w:rsidP="00AF02BF">
            <w:pPr>
              <w:jc w:val="center"/>
              <w:rPr>
                <w:rFonts w:cs="Calibri"/>
                <w:color w:val="000000"/>
                <w:szCs w:val="22"/>
              </w:rPr>
            </w:pPr>
            <w:r w:rsidRPr="00233D68">
              <w:rPr>
                <w:color w:val="000000"/>
                <w:sz w:val="18"/>
                <w:szCs w:val="18"/>
              </w:rPr>
              <w:t xml:space="preserve">(Note: </w:t>
            </w:r>
            <w:r>
              <w:rPr>
                <w:color w:val="000000"/>
                <w:sz w:val="18"/>
                <w:szCs w:val="18"/>
              </w:rPr>
              <w:t>mandatory in certain circumstances</w:t>
            </w:r>
            <w:r w:rsidR="00636C81">
              <w:rPr>
                <w:color w:val="000000"/>
                <w:sz w:val="18"/>
                <w:szCs w:val="18"/>
              </w:rPr>
              <w:t xml:space="preserve"> – see description</w:t>
            </w:r>
            <w:r>
              <w:rPr>
                <w:color w:val="000000"/>
                <w:sz w:val="18"/>
                <w:szCs w:val="18"/>
              </w:rPr>
              <w:t>)</w:t>
            </w:r>
          </w:p>
        </w:tc>
        <w:tc>
          <w:tcPr>
            <w:tcW w:w="1644" w:type="dxa"/>
            <w:gridSpan w:val="2"/>
            <w:tcBorders>
              <w:top w:val="nil"/>
              <w:left w:val="nil"/>
              <w:bottom w:val="single" w:sz="4" w:space="0" w:color="auto"/>
              <w:right w:val="single" w:sz="4" w:space="0" w:color="auto"/>
            </w:tcBorders>
            <w:shd w:val="clear" w:color="auto" w:fill="auto"/>
            <w:vAlign w:val="center"/>
            <w:hideMark/>
          </w:tcPr>
          <w:p w14:paraId="23AC7A66" w14:textId="77777777" w:rsidR="00600075" w:rsidRPr="007F504D" w:rsidRDefault="00600075" w:rsidP="00AF02BF">
            <w:pPr>
              <w:jc w:val="center"/>
              <w:rPr>
                <w:rFonts w:cs="Calibri"/>
                <w:color w:val="000000"/>
                <w:szCs w:val="22"/>
              </w:rPr>
            </w:pPr>
            <w:r w:rsidRPr="007F504D">
              <w:rPr>
                <w:rFonts w:cs="Calibri"/>
                <w:color w:val="000000"/>
                <w:szCs w:val="22"/>
              </w:rPr>
              <w:t>Text</w:t>
            </w:r>
          </w:p>
        </w:tc>
        <w:tc>
          <w:tcPr>
            <w:tcW w:w="8439" w:type="dxa"/>
            <w:tcBorders>
              <w:top w:val="nil"/>
              <w:left w:val="nil"/>
              <w:bottom w:val="single" w:sz="4" w:space="0" w:color="auto"/>
              <w:right w:val="single" w:sz="4" w:space="0" w:color="auto"/>
            </w:tcBorders>
            <w:shd w:val="clear" w:color="auto" w:fill="auto"/>
            <w:vAlign w:val="center"/>
            <w:hideMark/>
          </w:tcPr>
          <w:p w14:paraId="623726DF" w14:textId="77777777" w:rsidR="007846FF" w:rsidRDefault="00600075" w:rsidP="007846FF">
            <w:pPr>
              <w:spacing w:before="0" w:after="0"/>
              <w:rPr>
                <w:rFonts w:cs="Calibri"/>
                <w:color w:val="000000"/>
                <w:sz w:val="20"/>
              </w:rPr>
            </w:pPr>
            <w:r w:rsidRPr="007F504D">
              <w:rPr>
                <w:rFonts w:cs="Calibri"/>
                <w:color w:val="000000"/>
                <w:szCs w:val="22"/>
              </w:rPr>
              <w:t xml:space="preserve">Explain and provide context for the reporting entity’s payment times and practices. </w:t>
            </w:r>
          </w:p>
          <w:p w14:paraId="428B24B2" w14:textId="77777777" w:rsidR="00636C81" w:rsidRPr="004E3304" w:rsidRDefault="00636C81" w:rsidP="00636C81">
            <w:pPr>
              <w:rPr>
                <w:color w:val="000000"/>
                <w:szCs w:val="22"/>
              </w:rPr>
            </w:pPr>
            <w:r>
              <w:t xml:space="preserve">Entities must provide </w:t>
            </w:r>
            <w:r w:rsidRPr="00104A8C">
              <w:rPr>
                <w:color w:val="000000"/>
                <w:szCs w:val="22"/>
              </w:rPr>
              <w:t>reasonable additional information relating to any of the following</w:t>
            </w:r>
            <w:r w:rsidRPr="004E3304">
              <w:rPr>
                <w:color w:val="000000"/>
                <w:szCs w:val="22"/>
              </w:rPr>
              <w:t>:</w:t>
            </w:r>
          </w:p>
          <w:p w14:paraId="0C8AEC07" w14:textId="2927146D" w:rsidR="007846FF" w:rsidRPr="004E3304" w:rsidRDefault="007846FF" w:rsidP="007846FF">
            <w:pPr>
              <w:pStyle w:val="Bullet"/>
            </w:pPr>
            <w:r w:rsidRPr="004E3304">
              <w:t>Material events that affected payment times</w:t>
            </w:r>
            <w:r>
              <w:t xml:space="preserve"> and practi</w:t>
            </w:r>
            <w:r w:rsidR="00D00ED0">
              <w:t>c</w:t>
            </w:r>
            <w:r>
              <w:t>es</w:t>
            </w:r>
            <w:r w:rsidRPr="004E3304">
              <w:t>.</w:t>
            </w:r>
          </w:p>
          <w:p w14:paraId="249DD50F" w14:textId="40465E76" w:rsidR="009279AF" w:rsidRPr="007F504D" w:rsidRDefault="00600075" w:rsidP="005977D3">
            <w:pPr>
              <w:pStyle w:val="Bullet"/>
            </w:pPr>
            <w:r w:rsidRPr="007F504D">
              <w:t>Changes to financial reporting practices or methods.</w:t>
            </w:r>
          </w:p>
          <w:p w14:paraId="40983A4F" w14:textId="0A574474" w:rsidR="009279AF" w:rsidRPr="007F504D" w:rsidRDefault="00600075" w:rsidP="005977D3">
            <w:pPr>
              <w:pStyle w:val="Bullet"/>
            </w:pPr>
            <w:r w:rsidRPr="007F504D">
              <w:t xml:space="preserve">Identification of controlled entities for which payment data was excluded, explaining why the information was not accessible. </w:t>
            </w:r>
          </w:p>
          <w:p w14:paraId="191BE1B2" w14:textId="73FA328A" w:rsidR="00E748B0" w:rsidRPr="004E3304" w:rsidRDefault="00E748B0" w:rsidP="00636C81">
            <w:pPr>
              <w:pStyle w:val="Bullet"/>
            </w:pPr>
            <w:r>
              <w:t>Any other details without which the report is likely to be misleading in a material respect</w:t>
            </w:r>
            <w:r w:rsidR="00F01345">
              <w:t>.</w:t>
            </w:r>
          </w:p>
          <w:p w14:paraId="2AE0689B" w14:textId="3AFE15D4" w:rsidR="00600075" w:rsidRPr="007F504D" w:rsidRDefault="00600075" w:rsidP="009279AF">
            <w:pPr>
              <w:rPr>
                <w:rFonts w:cs="Calibri"/>
                <w:color w:val="000000"/>
                <w:szCs w:val="22"/>
              </w:rPr>
            </w:pPr>
            <w:r w:rsidRPr="007F504D">
              <w:rPr>
                <w:rFonts w:cs="Calibri"/>
                <w:color w:val="000000"/>
                <w:szCs w:val="22"/>
              </w:rPr>
              <w:t>Comments should not include any personal or commercially sensitive information.</w:t>
            </w:r>
          </w:p>
        </w:tc>
      </w:tr>
      <w:tr w:rsidR="00887000" w14:paraId="1BB2B97C" w14:textId="77777777" w:rsidTr="00E335B6">
        <w:trPr>
          <w:cantSplit/>
          <w:trHeight w:val="283"/>
          <w:jc w:val="center"/>
        </w:trPr>
        <w:tc>
          <w:tcPr>
            <w:tcW w:w="14565"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0A69E63F" w14:textId="76847B92" w:rsidR="00887000" w:rsidRPr="007F504D" w:rsidRDefault="00887000" w:rsidP="00D9223B">
            <w:pPr>
              <w:spacing w:before="80" w:after="80"/>
              <w:rPr>
                <w:i/>
                <w:iCs/>
                <w:szCs w:val="22"/>
              </w:rPr>
            </w:pPr>
            <w:r w:rsidRPr="00E3372F">
              <w:rPr>
                <w:b/>
                <w:bCs/>
                <w:color w:val="FFFFFF" w:themeColor="background1"/>
                <w:sz w:val="24"/>
                <w:szCs w:val="24"/>
              </w:rPr>
              <w:t>Declaration</w:t>
            </w:r>
          </w:p>
        </w:tc>
      </w:tr>
      <w:tr w:rsidR="00AD2DE8" w:rsidRPr="007F504D" w14:paraId="72F03536" w14:textId="77777777" w:rsidTr="00D9223B">
        <w:trPr>
          <w:gridAfter w:val="1"/>
          <w:wAfter w:w="8" w:type="dxa"/>
          <w:cantSplit/>
          <w:trHeight w:val="28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827F2C" w14:textId="0AEA9586" w:rsidR="00600075" w:rsidRPr="007F504D" w:rsidRDefault="00600075" w:rsidP="00D9223B">
            <w:pPr>
              <w:rPr>
                <w:rFonts w:cs="Calibri"/>
                <w:szCs w:val="22"/>
              </w:rPr>
            </w:pPr>
            <w:r w:rsidRPr="007F504D">
              <w:rPr>
                <w:rFonts w:cs="Calibri"/>
                <w:szCs w:val="22"/>
              </w:rPr>
              <w:t>Declaration</w:t>
            </w:r>
          </w:p>
        </w:tc>
        <w:tc>
          <w:tcPr>
            <w:tcW w:w="1644" w:type="dxa"/>
            <w:tcBorders>
              <w:top w:val="nil"/>
              <w:left w:val="nil"/>
              <w:bottom w:val="single" w:sz="4" w:space="0" w:color="auto"/>
              <w:right w:val="single" w:sz="4" w:space="0" w:color="auto"/>
            </w:tcBorders>
            <w:shd w:val="clear" w:color="auto" w:fill="auto"/>
            <w:vAlign w:val="center"/>
            <w:hideMark/>
          </w:tcPr>
          <w:p w14:paraId="53558C81" w14:textId="77777777" w:rsidR="00600075" w:rsidRPr="007F504D" w:rsidRDefault="00600075" w:rsidP="00AF02BF">
            <w:pPr>
              <w:jc w:val="center"/>
              <w:rPr>
                <w:rFonts w:cs="Calibri"/>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3FC22AF" w14:textId="77777777" w:rsidR="00600075" w:rsidRPr="007F504D" w:rsidRDefault="00600075" w:rsidP="00AF02BF">
            <w:pPr>
              <w:jc w:val="center"/>
              <w:rPr>
                <w:rFonts w:cs="Calibri"/>
                <w:color w:val="000000"/>
                <w:szCs w:val="22"/>
              </w:rPr>
            </w:pPr>
            <w:r w:rsidRPr="007F504D">
              <w:rPr>
                <w:rFonts w:cs="Calibri"/>
                <w:color w:val="000000"/>
                <w:szCs w:val="22"/>
              </w:rPr>
              <w:t>Checkbox</w:t>
            </w:r>
          </w:p>
        </w:tc>
        <w:tc>
          <w:tcPr>
            <w:tcW w:w="8439" w:type="dxa"/>
            <w:tcBorders>
              <w:top w:val="nil"/>
              <w:left w:val="nil"/>
              <w:bottom w:val="single" w:sz="4" w:space="0" w:color="auto"/>
              <w:right w:val="single" w:sz="4" w:space="0" w:color="auto"/>
            </w:tcBorders>
            <w:shd w:val="clear" w:color="auto" w:fill="auto"/>
            <w:vAlign w:val="center"/>
            <w:hideMark/>
          </w:tcPr>
          <w:p w14:paraId="4ACB43AE" w14:textId="465FAD68" w:rsidR="00600075" w:rsidRPr="007F504D" w:rsidRDefault="00600075" w:rsidP="00706F69">
            <w:pPr>
              <w:pStyle w:val="Bullet"/>
              <w:numPr>
                <w:ilvl w:val="0"/>
                <w:numId w:val="0"/>
              </w:numPr>
              <w:ind w:left="283" w:hanging="283"/>
            </w:pPr>
          </w:p>
        </w:tc>
      </w:tr>
    </w:tbl>
    <w:p w14:paraId="55152696" w14:textId="04365201" w:rsidR="00BA02E8" w:rsidRDefault="00600075">
      <w:pPr>
        <w:spacing w:before="0" w:after="160" w:line="259" w:lineRule="auto"/>
      </w:pPr>
      <w:r>
        <w:t xml:space="preserve"> </w:t>
      </w:r>
      <w:r w:rsidR="00BA02E8">
        <w:br w:type="page"/>
      </w:r>
    </w:p>
    <w:p w14:paraId="30975957" w14:textId="7AF52EC7" w:rsidR="00B65D10" w:rsidRPr="006159B8" w:rsidRDefault="006159B8" w:rsidP="006159B8">
      <w:pPr>
        <w:pStyle w:val="Heading3"/>
      </w:pPr>
      <w:bookmarkStart w:id="7" w:name="_Toc184842615"/>
      <w:r w:rsidRPr="006159B8">
        <w:lastRenderedPageBreak/>
        <w:t>Modified Report - AASB 8</w:t>
      </w:r>
      <w:bookmarkEnd w:id="7"/>
    </w:p>
    <w:tbl>
      <w:tblPr>
        <w:tblW w:w="14548" w:type="dxa"/>
        <w:tblCellMar>
          <w:top w:w="28" w:type="dxa"/>
          <w:left w:w="85" w:type="dxa"/>
          <w:bottom w:w="28" w:type="dxa"/>
          <w:right w:w="85" w:type="dxa"/>
        </w:tblCellMar>
        <w:tblLook w:val="04A0" w:firstRow="1" w:lastRow="0" w:firstColumn="1" w:lastColumn="0" w:noHBand="0" w:noVBand="1"/>
      </w:tblPr>
      <w:tblGrid>
        <w:gridCol w:w="2830"/>
        <w:gridCol w:w="1644"/>
        <w:gridCol w:w="199"/>
        <w:gridCol w:w="1445"/>
        <w:gridCol w:w="8423"/>
        <w:gridCol w:w="7"/>
      </w:tblGrid>
      <w:tr w:rsidR="00655286" w:rsidRPr="00655286" w14:paraId="7809C47E" w14:textId="77777777" w:rsidTr="0073023A">
        <w:trPr>
          <w:gridAfter w:val="1"/>
          <w:wAfter w:w="7" w:type="dxa"/>
          <w:cantSplit/>
          <w:trHeight w:val="680"/>
          <w:tblHeader/>
        </w:trPr>
        <w:tc>
          <w:tcPr>
            <w:tcW w:w="14541" w:type="dxa"/>
            <w:gridSpan w:val="5"/>
            <w:tcBorders>
              <w:top w:val="single" w:sz="4" w:space="0" w:color="auto"/>
              <w:left w:val="single" w:sz="4" w:space="0" w:color="auto"/>
              <w:bottom w:val="single" w:sz="4" w:space="0" w:color="auto"/>
              <w:right w:val="nil"/>
            </w:tcBorders>
            <w:shd w:val="clear" w:color="000000" w:fill="3A6FAF"/>
            <w:vAlign w:val="center"/>
            <w:hideMark/>
          </w:tcPr>
          <w:p w14:paraId="70753153" w14:textId="217F8265" w:rsidR="009279AF" w:rsidRDefault="00A87B6A" w:rsidP="0050342D">
            <w:pPr>
              <w:spacing w:before="0" w:after="0"/>
              <w:rPr>
                <w:rFonts w:cs="Calibri"/>
                <w:b/>
                <w:bCs/>
                <w:color w:val="FFFFFF"/>
                <w:sz w:val="28"/>
                <w:szCs w:val="28"/>
              </w:rPr>
            </w:pPr>
            <w:r w:rsidRPr="00655286">
              <w:rPr>
                <w:rFonts w:cs="Calibri"/>
                <w:b/>
                <w:bCs/>
                <w:color w:val="FFFFFF"/>
                <w:sz w:val="28"/>
                <w:szCs w:val="28"/>
              </w:rPr>
              <w:t>MODIFIED PAYMENT TIMES REPORT</w:t>
            </w:r>
            <w:r w:rsidR="00900D9E">
              <w:rPr>
                <w:rFonts w:cs="Calibri"/>
                <w:b/>
                <w:bCs/>
                <w:color w:val="FFFFFF"/>
                <w:sz w:val="28"/>
                <w:szCs w:val="28"/>
              </w:rPr>
              <w:t xml:space="preserve"> – AASB</w:t>
            </w:r>
            <w:r w:rsidR="009279AF">
              <w:rPr>
                <w:rFonts w:cs="Calibri"/>
                <w:b/>
                <w:bCs/>
                <w:color w:val="FFFFFF"/>
                <w:sz w:val="28"/>
                <w:szCs w:val="28"/>
              </w:rPr>
              <w:t xml:space="preserve"> </w:t>
            </w:r>
            <w:r w:rsidR="00900D9E">
              <w:rPr>
                <w:rFonts w:cs="Calibri"/>
                <w:b/>
                <w:bCs/>
                <w:color w:val="FFFFFF"/>
                <w:sz w:val="28"/>
                <w:szCs w:val="28"/>
              </w:rPr>
              <w:t>8</w:t>
            </w:r>
          </w:p>
          <w:p w14:paraId="61B020C9" w14:textId="4C90F789" w:rsidR="00655286" w:rsidRPr="00312117" w:rsidRDefault="00A87B6A" w:rsidP="0050342D">
            <w:pPr>
              <w:spacing w:before="0" w:after="0"/>
              <w:rPr>
                <w:rFonts w:cs="Calibri"/>
                <w:b/>
                <w:bCs/>
                <w:color w:val="FFFFFF"/>
                <w:sz w:val="26"/>
                <w:szCs w:val="26"/>
              </w:rPr>
            </w:pPr>
            <w:r w:rsidRPr="00312117">
              <w:rPr>
                <w:rFonts w:cs="Calibri"/>
                <w:b/>
                <w:bCs/>
                <w:color w:val="FFFFFF"/>
                <w:sz w:val="26"/>
                <w:szCs w:val="26"/>
              </w:rPr>
              <w:t>Entity adopting AASB 8 in the preparation of financial reports</w:t>
            </w:r>
          </w:p>
        </w:tc>
      </w:tr>
      <w:tr w:rsidR="00655286" w:rsidRPr="00655286" w14:paraId="320F45E4" w14:textId="77777777" w:rsidTr="008957BE">
        <w:trPr>
          <w:cantSplit/>
          <w:trHeight w:val="510"/>
          <w:tblHeader/>
        </w:trPr>
        <w:tc>
          <w:tcPr>
            <w:tcW w:w="2830" w:type="dxa"/>
            <w:tcBorders>
              <w:top w:val="nil"/>
              <w:left w:val="single" w:sz="4" w:space="0" w:color="auto"/>
              <w:bottom w:val="single" w:sz="4" w:space="0" w:color="auto"/>
              <w:right w:val="single" w:sz="4" w:space="0" w:color="auto"/>
            </w:tcBorders>
            <w:shd w:val="clear" w:color="000000" w:fill="ACC5E3"/>
            <w:vAlign w:val="center"/>
            <w:hideMark/>
          </w:tcPr>
          <w:p w14:paraId="29C40F02" w14:textId="77777777" w:rsidR="00655286" w:rsidRPr="00655286" w:rsidRDefault="00655286" w:rsidP="008957BE">
            <w:pPr>
              <w:spacing w:before="0" w:after="0"/>
              <w:rPr>
                <w:rFonts w:cs="Calibri"/>
                <w:b/>
                <w:bCs/>
                <w:color w:val="000000"/>
                <w:sz w:val="24"/>
                <w:szCs w:val="24"/>
              </w:rPr>
            </w:pPr>
            <w:r w:rsidRPr="00655286">
              <w:rPr>
                <w:rFonts w:cs="Calibri"/>
                <w:b/>
                <w:bCs/>
                <w:color w:val="000000"/>
                <w:sz w:val="24"/>
                <w:szCs w:val="24"/>
              </w:rPr>
              <w:t>Field Name</w:t>
            </w:r>
          </w:p>
        </w:tc>
        <w:tc>
          <w:tcPr>
            <w:tcW w:w="1644" w:type="dxa"/>
            <w:tcBorders>
              <w:top w:val="nil"/>
              <w:left w:val="nil"/>
              <w:bottom w:val="single" w:sz="4" w:space="0" w:color="auto"/>
              <w:right w:val="single" w:sz="4" w:space="0" w:color="auto"/>
            </w:tcBorders>
            <w:shd w:val="clear" w:color="000000" w:fill="ACC5E3"/>
            <w:vAlign w:val="center"/>
            <w:hideMark/>
          </w:tcPr>
          <w:p w14:paraId="618095AB" w14:textId="77777777" w:rsidR="00655286" w:rsidRPr="00655286" w:rsidRDefault="00655286" w:rsidP="00655286">
            <w:pPr>
              <w:spacing w:before="0" w:after="0"/>
              <w:jc w:val="center"/>
              <w:rPr>
                <w:rFonts w:cs="Calibri"/>
                <w:b/>
                <w:bCs/>
                <w:color w:val="000000"/>
                <w:sz w:val="24"/>
                <w:szCs w:val="24"/>
              </w:rPr>
            </w:pPr>
            <w:r w:rsidRPr="00655286">
              <w:rPr>
                <w:rFonts w:cs="Calibri"/>
                <w:b/>
                <w:bCs/>
                <w:color w:val="000000"/>
                <w:sz w:val="24"/>
                <w:szCs w:val="24"/>
              </w:rPr>
              <w:t>Field Type</w:t>
            </w:r>
          </w:p>
        </w:tc>
        <w:tc>
          <w:tcPr>
            <w:tcW w:w="1644" w:type="dxa"/>
            <w:gridSpan w:val="2"/>
            <w:tcBorders>
              <w:top w:val="nil"/>
              <w:left w:val="nil"/>
              <w:bottom w:val="single" w:sz="4" w:space="0" w:color="auto"/>
              <w:right w:val="single" w:sz="4" w:space="0" w:color="auto"/>
            </w:tcBorders>
            <w:shd w:val="clear" w:color="000000" w:fill="ACC5E3"/>
            <w:vAlign w:val="center"/>
            <w:hideMark/>
          </w:tcPr>
          <w:p w14:paraId="1CFAA813" w14:textId="77777777" w:rsidR="00655286" w:rsidRPr="00655286" w:rsidRDefault="00655286" w:rsidP="00655286">
            <w:pPr>
              <w:spacing w:before="0" w:after="0"/>
              <w:jc w:val="center"/>
              <w:rPr>
                <w:rFonts w:cs="Calibri"/>
                <w:b/>
                <w:bCs/>
                <w:color w:val="000000"/>
                <w:sz w:val="24"/>
                <w:szCs w:val="24"/>
              </w:rPr>
            </w:pPr>
            <w:r w:rsidRPr="00655286">
              <w:rPr>
                <w:rFonts w:cs="Calibri"/>
                <w:b/>
                <w:bCs/>
                <w:color w:val="000000"/>
                <w:sz w:val="24"/>
                <w:szCs w:val="24"/>
              </w:rPr>
              <w:t>Field Format</w:t>
            </w:r>
          </w:p>
        </w:tc>
        <w:tc>
          <w:tcPr>
            <w:tcW w:w="8430" w:type="dxa"/>
            <w:gridSpan w:val="2"/>
            <w:tcBorders>
              <w:top w:val="nil"/>
              <w:left w:val="nil"/>
              <w:bottom w:val="single" w:sz="4" w:space="0" w:color="auto"/>
              <w:right w:val="single" w:sz="4" w:space="0" w:color="auto"/>
            </w:tcBorders>
            <w:shd w:val="clear" w:color="000000" w:fill="ACC5E3"/>
            <w:vAlign w:val="center"/>
            <w:hideMark/>
          </w:tcPr>
          <w:p w14:paraId="570EAA68" w14:textId="77777777" w:rsidR="00655286" w:rsidRPr="00655286" w:rsidRDefault="00655286" w:rsidP="008957BE">
            <w:pPr>
              <w:spacing w:before="0" w:after="0"/>
              <w:rPr>
                <w:rFonts w:cs="Calibri"/>
                <w:b/>
                <w:bCs/>
                <w:color w:val="000000"/>
                <w:sz w:val="24"/>
                <w:szCs w:val="24"/>
              </w:rPr>
            </w:pPr>
            <w:r w:rsidRPr="00655286">
              <w:rPr>
                <w:rFonts w:cs="Calibri"/>
                <w:b/>
                <w:bCs/>
                <w:color w:val="000000"/>
                <w:sz w:val="24"/>
                <w:szCs w:val="24"/>
              </w:rPr>
              <w:t>Description</w:t>
            </w:r>
          </w:p>
        </w:tc>
      </w:tr>
      <w:tr w:rsidR="00556027" w:rsidRPr="00655286" w14:paraId="4E434E49" w14:textId="77777777" w:rsidTr="0073023A">
        <w:trPr>
          <w:cantSplit/>
          <w:trHeight w:val="454"/>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41080322" w14:textId="23343412" w:rsidR="00556027" w:rsidRPr="00655286" w:rsidRDefault="00556027" w:rsidP="0050342D">
            <w:pPr>
              <w:spacing w:before="80" w:after="80"/>
              <w:rPr>
                <w:rFonts w:cs="Calibri"/>
                <w:b/>
                <w:bCs/>
                <w:i/>
                <w:iCs/>
                <w:color w:val="FFFFFF"/>
                <w:sz w:val="20"/>
              </w:rPr>
            </w:pPr>
            <w:r w:rsidRPr="00C22B14">
              <w:rPr>
                <w:b/>
                <w:bCs/>
                <w:color w:val="FFFFFF" w:themeColor="background1"/>
                <w:sz w:val="24"/>
                <w:szCs w:val="24"/>
              </w:rPr>
              <w:t>Entity Details</w:t>
            </w:r>
          </w:p>
        </w:tc>
      </w:tr>
      <w:tr w:rsidR="00DE4C60" w:rsidRPr="004E3304" w14:paraId="2027E259" w14:textId="77777777" w:rsidTr="00B70D10">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71F303F" w14:textId="77777777" w:rsidR="00DE4C60" w:rsidRPr="004E3304" w:rsidRDefault="00DE4C60" w:rsidP="0050342D">
            <w:pPr>
              <w:rPr>
                <w:szCs w:val="22"/>
              </w:rPr>
            </w:pPr>
            <w:r w:rsidRPr="004E3304">
              <w:rPr>
                <w:szCs w:val="22"/>
              </w:rPr>
              <w:t>Entity Name</w:t>
            </w:r>
          </w:p>
        </w:tc>
        <w:tc>
          <w:tcPr>
            <w:tcW w:w="3288" w:type="dxa"/>
            <w:gridSpan w:val="3"/>
            <w:tcBorders>
              <w:top w:val="nil"/>
              <w:left w:val="nil"/>
              <w:bottom w:val="single" w:sz="4" w:space="0" w:color="auto"/>
              <w:right w:val="single" w:sz="4" w:space="0" w:color="auto"/>
            </w:tcBorders>
            <w:shd w:val="clear" w:color="auto" w:fill="auto"/>
            <w:vAlign w:val="center"/>
            <w:hideMark/>
          </w:tcPr>
          <w:p w14:paraId="2B1C91EE" w14:textId="7C2C15E0" w:rsidR="00DE4C60" w:rsidRPr="004E3304" w:rsidRDefault="00DE4C60" w:rsidP="003A332A">
            <w:pPr>
              <w:jc w:val="center"/>
              <w:rPr>
                <w:color w:val="000000"/>
                <w:szCs w:val="22"/>
              </w:rPr>
            </w:pPr>
            <w:r w:rsidRPr="004E3304">
              <w:rPr>
                <w:color w:val="000000"/>
                <w:szCs w:val="22"/>
              </w:rPr>
              <w:t>Pre-populated</w:t>
            </w:r>
          </w:p>
        </w:tc>
        <w:tc>
          <w:tcPr>
            <w:tcW w:w="8430" w:type="dxa"/>
            <w:gridSpan w:val="2"/>
            <w:tcBorders>
              <w:top w:val="nil"/>
              <w:left w:val="nil"/>
              <w:bottom w:val="single" w:sz="4" w:space="0" w:color="auto"/>
              <w:right w:val="single" w:sz="4" w:space="0" w:color="auto"/>
            </w:tcBorders>
            <w:shd w:val="clear" w:color="auto" w:fill="auto"/>
            <w:vAlign w:val="center"/>
            <w:hideMark/>
          </w:tcPr>
          <w:p w14:paraId="02172863" w14:textId="47C59CB3" w:rsidR="00DE4C60" w:rsidRPr="004E3304" w:rsidRDefault="00DE4C60" w:rsidP="004E3304">
            <w:pPr>
              <w:rPr>
                <w:color w:val="000000"/>
                <w:szCs w:val="22"/>
              </w:rPr>
            </w:pPr>
            <w:r w:rsidRPr="004E3304">
              <w:rPr>
                <w:color w:val="000000"/>
                <w:szCs w:val="22"/>
              </w:rPr>
              <w:t>Reporting entity's name as registered on the Australian Business Register</w:t>
            </w:r>
            <w:r w:rsidR="00B64C1C">
              <w:rPr>
                <w:color w:val="000000"/>
                <w:szCs w:val="22"/>
              </w:rPr>
              <w:t>.</w:t>
            </w:r>
          </w:p>
        </w:tc>
      </w:tr>
      <w:tr w:rsidR="00DE4C60" w:rsidRPr="004E3304" w14:paraId="46750822" w14:textId="77777777" w:rsidTr="00B70D10">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52328FB" w14:textId="77777777" w:rsidR="00DE4C60" w:rsidRPr="004E3304" w:rsidRDefault="00DE4C60" w:rsidP="0050342D">
            <w:pPr>
              <w:rPr>
                <w:szCs w:val="22"/>
              </w:rPr>
            </w:pPr>
            <w:r w:rsidRPr="004E3304">
              <w:rPr>
                <w:szCs w:val="22"/>
              </w:rPr>
              <w:t>Entity ABN</w:t>
            </w:r>
          </w:p>
        </w:tc>
        <w:tc>
          <w:tcPr>
            <w:tcW w:w="3288" w:type="dxa"/>
            <w:gridSpan w:val="3"/>
            <w:tcBorders>
              <w:top w:val="nil"/>
              <w:left w:val="nil"/>
              <w:bottom w:val="single" w:sz="4" w:space="0" w:color="auto"/>
              <w:right w:val="single" w:sz="4" w:space="0" w:color="auto"/>
            </w:tcBorders>
            <w:shd w:val="clear" w:color="auto" w:fill="auto"/>
            <w:vAlign w:val="center"/>
            <w:hideMark/>
          </w:tcPr>
          <w:p w14:paraId="7B4707DB" w14:textId="35147D12" w:rsidR="00DE4C60" w:rsidRPr="004E3304" w:rsidRDefault="00DE4C60" w:rsidP="003A332A">
            <w:pPr>
              <w:jc w:val="center"/>
              <w:rPr>
                <w:color w:val="000000"/>
                <w:szCs w:val="22"/>
              </w:rPr>
            </w:pPr>
            <w:r w:rsidRPr="004E3304">
              <w:rPr>
                <w:color w:val="000000"/>
                <w:szCs w:val="22"/>
              </w:rPr>
              <w:t>Pre-populated</w:t>
            </w:r>
          </w:p>
        </w:tc>
        <w:tc>
          <w:tcPr>
            <w:tcW w:w="8430" w:type="dxa"/>
            <w:gridSpan w:val="2"/>
            <w:tcBorders>
              <w:top w:val="nil"/>
              <w:left w:val="nil"/>
              <w:bottom w:val="single" w:sz="4" w:space="0" w:color="auto"/>
              <w:right w:val="single" w:sz="4" w:space="0" w:color="auto"/>
            </w:tcBorders>
            <w:shd w:val="clear" w:color="auto" w:fill="auto"/>
            <w:vAlign w:val="center"/>
            <w:hideMark/>
          </w:tcPr>
          <w:p w14:paraId="6F0544A2" w14:textId="1A6F4BF6" w:rsidR="00DE4C60" w:rsidRPr="004E3304" w:rsidRDefault="00DE4C60" w:rsidP="004E3304">
            <w:pPr>
              <w:rPr>
                <w:color w:val="000000"/>
                <w:szCs w:val="22"/>
              </w:rPr>
            </w:pPr>
            <w:r w:rsidRPr="004E3304">
              <w:rPr>
                <w:color w:val="000000"/>
                <w:szCs w:val="22"/>
              </w:rPr>
              <w:t>Reporting entity's Australian Business Number, if applicable</w:t>
            </w:r>
            <w:r w:rsidR="00B64C1C">
              <w:rPr>
                <w:color w:val="000000"/>
                <w:szCs w:val="22"/>
              </w:rPr>
              <w:t>.</w:t>
            </w:r>
          </w:p>
        </w:tc>
      </w:tr>
      <w:tr w:rsidR="00DE4C60" w:rsidRPr="004E3304" w14:paraId="44C5053D" w14:textId="77777777" w:rsidTr="00B70D10">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C5CBE2" w14:textId="77777777" w:rsidR="00DE4C60" w:rsidRPr="004E3304" w:rsidRDefault="00DE4C60" w:rsidP="0050342D">
            <w:pPr>
              <w:rPr>
                <w:szCs w:val="22"/>
              </w:rPr>
            </w:pPr>
            <w:r w:rsidRPr="004E3304">
              <w:rPr>
                <w:szCs w:val="22"/>
              </w:rPr>
              <w:t>Entity ACN</w:t>
            </w:r>
          </w:p>
        </w:tc>
        <w:tc>
          <w:tcPr>
            <w:tcW w:w="3288" w:type="dxa"/>
            <w:gridSpan w:val="3"/>
            <w:tcBorders>
              <w:top w:val="nil"/>
              <w:left w:val="nil"/>
              <w:bottom w:val="single" w:sz="4" w:space="0" w:color="auto"/>
              <w:right w:val="single" w:sz="4" w:space="0" w:color="auto"/>
            </w:tcBorders>
            <w:shd w:val="clear" w:color="auto" w:fill="auto"/>
            <w:vAlign w:val="center"/>
            <w:hideMark/>
          </w:tcPr>
          <w:p w14:paraId="1E49093B" w14:textId="5F3AE77E" w:rsidR="00DE4C60" w:rsidRPr="004E3304" w:rsidRDefault="00DE4C60" w:rsidP="003A332A">
            <w:pPr>
              <w:jc w:val="center"/>
              <w:rPr>
                <w:color w:val="000000"/>
                <w:szCs w:val="22"/>
              </w:rPr>
            </w:pPr>
            <w:r w:rsidRPr="004E3304">
              <w:rPr>
                <w:color w:val="000000"/>
                <w:szCs w:val="22"/>
              </w:rPr>
              <w:t>Pre-populated</w:t>
            </w:r>
          </w:p>
        </w:tc>
        <w:tc>
          <w:tcPr>
            <w:tcW w:w="8430" w:type="dxa"/>
            <w:gridSpan w:val="2"/>
            <w:tcBorders>
              <w:top w:val="nil"/>
              <w:left w:val="nil"/>
              <w:bottom w:val="single" w:sz="4" w:space="0" w:color="auto"/>
              <w:right w:val="single" w:sz="4" w:space="0" w:color="auto"/>
            </w:tcBorders>
            <w:shd w:val="clear" w:color="auto" w:fill="auto"/>
            <w:vAlign w:val="center"/>
            <w:hideMark/>
          </w:tcPr>
          <w:p w14:paraId="72F3EFD3" w14:textId="4F980509" w:rsidR="00DE4C60" w:rsidRPr="004E3304" w:rsidRDefault="00DE4C60" w:rsidP="004E3304">
            <w:pPr>
              <w:rPr>
                <w:color w:val="000000"/>
                <w:szCs w:val="22"/>
              </w:rPr>
            </w:pPr>
            <w:r w:rsidRPr="004E3304">
              <w:rPr>
                <w:color w:val="000000"/>
                <w:szCs w:val="22"/>
              </w:rPr>
              <w:t>Reporting entity's Australian Company Number, if applicable</w:t>
            </w:r>
            <w:r w:rsidR="00B64C1C">
              <w:rPr>
                <w:color w:val="000000"/>
                <w:szCs w:val="22"/>
              </w:rPr>
              <w:t>.</w:t>
            </w:r>
          </w:p>
        </w:tc>
      </w:tr>
      <w:tr w:rsidR="00DE4C60" w:rsidRPr="004E3304" w14:paraId="7A6483FB" w14:textId="77777777" w:rsidTr="00B70D10">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66C987" w14:textId="77777777" w:rsidR="00DE4C60" w:rsidRPr="004E3304" w:rsidRDefault="00DE4C60" w:rsidP="0050342D">
            <w:pPr>
              <w:rPr>
                <w:szCs w:val="22"/>
              </w:rPr>
            </w:pPr>
            <w:r w:rsidRPr="004E3304">
              <w:rPr>
                <w:szCs w:val="22"/>
              </w:rPr>
              <w:t>Entity ARBN</w:t>
            </w:r>
          </w:p>
        </w:tc>
        <w:tc>
          <w:tcPr>
            <w:tcW w:w="3288" w:type="dxa"/>
            <w:gridSpan w:val="3"/>
            <w:tcBorders>
              <w:top w:val="nil"/>
              <w:left w:val="nil"/>
              <w:bottom w:val="single" w:sz="4" w:space="0" w:color="auto"/>
              <w:right w:val="single" w:sz="4" w:space="0" w:color="auto"/>
            </w:tcBorders>
            <w:shd w:val="clear" w:color="auto" w:fill="auto"/>
            <w:vAlign w:val="center"/>
            <w:hideMark/>
          </w:tcPr>
          <w:p w14:paraId="494BE1DB" w14:textId="519306BE" w:rsidR="00DE4C60" w:rsidRPr="004E3304" w:rsidRDefault="00DE4C60" w:rsidP="003A332A">
            <w:pPr>
              <w:jc w:val="center"/>
              <w:rPr>
                <w:color w:val="000000"/>
                <w:szCs w:val="22"/>
              </w:rPr>
            </w:pPr>
            <w:r w:rsidRPr="004E3304">
              <w:rPr>
                <w:color w:val="000000"/>
                <w:szCs w:val="22"/>
              </w:rPr>
              <w:t>Pre-populated</w:t>
            </w:r>
          </w:p>
        </w:tc>
        <w:tc>
          <w:tcPr>
            <w:tcW w:w="8430" w:type="dxa"/>
            <w:gridSpan w:val="2"/>
            <w:tcBorders>
              <w:top w:val="nil"/>
              <w:left w:val="nil"/>
              <w:bottom w:val="single" w:sz="4" w:space="0" w:color="auto"/>
              <w:right w:val="single" w:sz="4" w:space="0" w:color="auto"/>
            </w:tcBorders>
            <w:shd w:val="clear" w:color="auto" w:fill="auto"/>
            <w:vAlign w:val="center"/>
            <w:hideMark/>
          </w:tcPr>
          <w:p w14:paraId="7F2467CB" w14:textId="43F1A782" w:rsidR="00DE4C60" w:rsidRPr="004E3304" w:rsidRDefault="00DE4C60" w:rsidP="004E3304">
            <w:pPr>
              <w:rPr>
                <w:color w:val="000000"/>
                <w:szCs w:val="22"/>
              </w:rPr>
            </w:pPr>
            <w:r w:rsidRPr="004E3304">
              <w:rPr>
                <w:color w:val="000000"/>
                <w:szCs w:val="22"/>
              </w:rPr>
              <w:t>Reporting entity's Australian Registered Body Number, if applicable</w:t>
            </w:r>
            <w:r w:rsidR="00B64C1C">
              <w:rPr>
                <w:color w:val="000000"/>
                <w:szCs w:val="22"/>
              </w:rPr>
              <w:t>.</w:t>
            </w:r>
          </w:p>
        </w:tc>
      </w:tr>
      <w:tr w:rsidR="00556027" w:rsidRPr="00655286" w14:paraId="05528D2F" w14:textId="77777777" w:rsidTr="0073023A">
        <w:trPr>
          <w:cantSplit/>
          <w:trHeight w:val="454"/>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415D7B5C" w14:textId="06FFC117" w:rsidR="00556027" w:rsidRPr="004E3304" w:rsidRDefault="00556027" w:rsidP="0050342D">
            <w:pPr>
              <w:spacing w:before="80" w:after="80"/>
              <w:rPr>
                <w:b/>
                <w:bCs/>
                <w:i/>
                <w:iCs/>
                <w:color w:val="FFFFFF"/>
                <w:szCs w:val="22"/>
              </w:rPr>
            </w:pPr>
            <w:r w:rsidRPr="00C22B14">
              <w:rPr>
                <w:b/>
                <w:bCs/>
                <w:color w:val="FFFFFF" w:themeColor="background1"/>
                <w:sz w:val="24"/>
                <w:szCs w:val="24"/>
              </w:rPr>
              <w:t>Report Details</w:t>
            </w:r>
          </w:p>
        </w:tc>
      </w:tr>
      <w:tr w:rsidR="00556027" w:rsidRPr="00655286" w14:paraId="32554B24" w14:textId="77777777" w:rsidTr="0073023A">
        <w:trPr>
          <w:cantSplit/>
          <w:trHeight w:val="283"/>
        </w:trPr>
        <w:tc>
          <w:tcPr>
            <w:tcW w:w="14548" w:type="dxa"/>
            <w:gridSpan w:val="6"/>
            <w:tcBorders>
              <w:top w:val="nil"/>
              <w:left w:val="single" w:sz="4" w:space="0" w:color="auto"/>
              <w:bottom w:val="single" w:sz="4" w:space="0" w:color="auto"/>
              <w:right w:val="single" w:sz="4" w:space="0" w:color="auto"/>
            </w:tcBorders>
            <w:shd w:val="clear" w:color="000000" w:fill="C5E2E2"/>
            <w:noWrap/>
            <w:vAlign w:val="center"/>
            <w:hideMark/>
          </w:tcPr>
          <w:p w14:paraId="09377F13" w14:textId="1AD08064" w:rsidR="00556027" w:rsidRPr="004E3304" w:rsidRDefault="00556027" w:rsidP="0050342D">
            <w:pPr>
              <w:spacing w:before="40" w:after="40"/>
              <w:rPr>
                <w:i/>
                <w:iCs/>
                <w:color w:val="000000"/>
                <w:szCs w:val="22"/>
              </w:rPr>
            </w:pPr>
            <w:r w:rsidRPr="00536CD0">
              <w:rPr>
                <w:rFonts w:cs="Calibri"/>
                <w:i/>
                <w:color w:val="000000"/>
                <w:szCs w:val="22"/>
              </w:rPr>
              <w:t>Reporting Period</w:t>
            </w:r>
          </w:p>
        </w:tc>
      </w:tr>
      <w:tr w:rsidR="00655286" w:rsidRPr="004E3304" w14:paraId="1A40D6D2" w14:textId="77777777" w:rsidTr="00B70D10">
        <w:trPr>
          <w:cantSplit/>
          <w:trHeight w:val="61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D3061BF" w14:textId="77777777" w:rsidR="00655286" w:rsidRPr="004E3304" w:rsidRDefault="00655286" w:rsidP="0050342D">
            <w:pPr>
              <w:rPr>
                <w:szCs w:val="22"/>
              </w:rPr>
            </w:pPr>
            <w:r w:rsidRPr="004E3304">
              <w:rPr>
                <w:szCs w:val="22"/>
              </w:rPr>
              <w:t xml:space="preserve">Reporting </w:t>
            </w:r>
            <w:proofErr w:type="gramStart"/>
            <w:r w:rsidRPr="004E3304">
              <w:rPr>
                <w:szCs w:val="22"/>
              </w:rPr>
              <w:t>period</w:t>
            </w:r>
            <w:proofErr w:type="gramEnd"/>
            <w:r w:rsidRPr="004E3304">
              <w:rPr>
                <w:szCs w:val="22"/>
              </w:rPr>
              <w:t xml:space="preserve"> start date</w:t>
            </w:r>
          </w:p>
        </w:tc>
        <w:tc>
          <w:tcPr>
            <w:tcW w:w="1843" w:type="dxa"/>
            <w:gridSpan w:val="2"/>
            <w:tcBorders>
              <w:top w:val="nil"/>
              <w:left w:val="nil"/>
              <w:bottom w:val="single" w:sz="4" w:space="0" w:color="auto"/>
              <w:right w:val="single" w:sz="4" w:space="0" w:color="auto"/>
            </w:tcBorders>
            <w:shd w:val="clear" w:color="auto" w:fill="auto"/>
            <w:vAlign w:val="center"/>
            <w:hideMark/>
          </w:tcPr>
          <w:p w14:paraId="1422A2AC"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0FC76280" w14:textId="77777777" w:rsidR="00655286" w:rsidRPr="004E3304" w:rsidRDefault="00655286" w:rsidP="003A332A">
            <w:pPr>
              <w:jc w:val="center"/>
              <w:rPr>
                <w:color w:val="000000"/>
                <w:szCs w:val="22"/>
              </w:rPr>
            </w:pPr>
            <w:r w:rsidRPr="004E3304">
              <w:rPr>
                <w:color w:val="000000"/>
                <w:szCs w:val="22"/>
              </w:rPr>
              <w:t>DD/MM/YYYY</w:t>
            </w:r>
          </w:p>
        </w:tc>
        <w:tc>
          <w:tcPr>
            <w:tcW w:w="8430" w:type="dxa"/>
            <w:gridSpan w:val="2"/>
            <w:tcBorders>
              <w:top w:val="nil"/>
              <w:left w:val="nil"/>
              <w:bottom w:val="single" w:sz="4" w:space="0" w:color="auto"/>
              <w:right w:val="single" w:sz="4" w:space="0" w:color="auto"/>
            </w:tcBorders>
            <w:shd w:val="clear" w:color="auto" w:fill="auto"/>
            <w:vAlign w:val="center"/>
            <w:hideMark/>
          </w:tcPr>
          <w:p w14:paraId="6F1A7CF2" w14:textId="77763919" w:rsidR="00655286" w:rsidRPr="004E3304" w:rsidRDefault="00655286" w:rsidP="004E3304">
            <w:pPr>
              <w:rPr>
                <w:color w:val="000000"/>
                <w:szCs w:val="22"/>
              </w:rPr>
            </w:pPr>
            <w:r w:rsidRPr="004E3304">
              <w:rPr>
                <w:color w:val="000000"/>
                <w:szCs w:val="22"/>
              </w:rPr>
              <w:t>The starting date of the reporting period covered in the report</w:t>
            </w:r>
            <w:r w:rsidR="00B64C1C">
              <w:rPr>
                <w:color w:val="000000"/>
                <w:szCs w:val="22"/>
              </w:rPr>
              <w:t>.</w:t>
            </w:r>
          </w:p>
        </w:tc>
      </w:tr>
      <w:tr w:rsidR="00655286" w:rsidRPr="004E3304" w14:paraId="3E041854" w14:textId="77777777" w:rsidTr="00B70D10">
        <w:trPr>
          <w:cantSplit/>
          <w:trHeight w:val="6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47DE9FD" w14:textId="77777777" w:rsidR="00655286" w:rsidRPr="004E3304" w:rsidRDefault="00655286" w:rsidP="0050342D">
            <w:pPr>
              <w:rPr>
                <w:szCs w:val="22"/>
              </w:rPr>
            </w:pPr>
            <w:r w:rsidRPr="004E3304">
              <w:rPr>
                <w:szCs w:val="22"/>
              </w:rPr>
              <w:t>Reporting period end date</w:t>
            </w:r>
          </w:p>
        </w:tc>
        <w:tc>
          <w:tcPr>
            <w:tcW w:w="1843" w:type="dxa"/>
            <w:gridSpan w:val="2"/>
            <w:tcBorders>
              <w:top w:val="nil"/>
              <w:left w:val="nil"/>
              <w:bottom w:val="single" w:sz="4" w:space="0" w:color="auto"/>
              <w:right w:val="single" w:sz="4" w:space="0" w:color="auto"/>
            </w:tcBorders>
            <w:shd w:val="clear" w:color="auto" w:fill="auto"/>
            <w:vAlign w:val="center"/>
            <w:hideMark/>
          </w:tcPr>
          <w:p w14:paraId="2D86757D"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1A560970" w14:textId="77777777" w:rsidR="00655286" w:rsidRPr="004E3304" w:rsidRDefault="00655286" w:rsidP="003A332A">
            <w:pPr>
              <w:jc w:val="center"/>
              <w:rPr>
                <w:color w:val="000000"/>
                <w:szCs w:val="22"/>
              </w:rPr>
            </w:pPr>
            <w:r w:rsidRPr="004E3304">
              <w:rPr>
                <w:color w:val="000000"/>
                <w:szCs w:val="22"/>
              </w:rPr>
              <w:t>DD/MM/YYYY</w:t>
            </w:r>
          </w:p>
        </w:tc>
        <w:tc>
          <w:tcPr>
            <w:tcW w:w="8430" w:type="dxa"/>
            <w:gridSpan w:val="2"/>
            <w:tcBorders>
              <w:top w:val="nil"/>
              <w:left w:val="nil"/>
              <w:bottom w:val="single" w:sz="4" w:space="0" w:color="auto"/>
              <w:right w:val="single" w:sz="4" w:space="0" w:color="auto"/>
            </w:tcBorders>
            <w:shd w:val="clear" w:color="auto" w:fill="auto"/>
            <w:vAlign w:val="center"/>
            <w:hideMark/>
          </w:tcPr>
          <w:p w14:paraId="71B4DD09" w14:textId="3B84BEDC" w:rsidR="00655286" w:rsidRPr="004E3304" w:rsidRDefault="00655286" w:rsidP="004E3304">
            <w:pPr>
              <w:rPr>
                <w:color w:val="000000"/>
                <w:szCs w:val="22"/>
              </w:rPr>
            </w:pPr>
            <w:r w:rsidRPr="004E3304">
              <w:rPr>
                <w:color w:val="000000"/>
                <w:szCs w:val="22"/>
              </w:rPr>
              <w:t>The end date of the reporting period covered in the report</w:t>
            </w:r>
            <w:r w:rsidR="00B64C1C">
              <w:rPr>
                <w:color w:val="000000"/>
                <w:szCs w:val="22"/>
              </w:rPr>
              <w:t>.</w:t>
            </w:r>
          </w:p>
        </w:tc>
      </w:tr>
      <w:tr w:rsidR="00556027" w:rsidRPr="00655286" w14:paraId="0E751CF1" w14:textId="77777777" w:rsidTr="0073023A">
        <w:trPr>
          <w:cantSplit/>
          <w:trHeight w:val="283"/>
        </w:trPr>
        <w:tc>
          <w:tcPr>
            <w:tcW w:w="14548" w:type="dxa"/>
            <w:gridSpan w:val="6"/>
            <w:tcBorders>
              <w:top w:val="nil"/>
              <w:left w:val="single" w:sz="4" w:space="0" w:color="auto"/>
              <w:bottom w:val="single" w:sz="4" w:space="0" w:color="auto"/>
              <w:right w:val="single" w:sz="4" w:space="0" w:color="auto"/>
            </w:tcBorders>
            <w:shd w:val="clear" w:color="000000" w:fill="C5E2E2"/>
            <w:noWrap/>
            <w:vAlign w:val="center"/>
            <w:hideMark/>
          </w:tcPr>
          <w:p w14:paraId="5DA6ED8B" w14:textId="3FFF3C93" w:rsidR="00556027" w:rsidRPr="004E3304" w:rsidRDefault="00556027" w:rsidP="0050342D">
            <w:pPr>
              <w:spacing w:before="40" w:after="40"/>
              <w:rPr>
                <w:i/>
                <w:iCs/>
                <w:color w:val="000000"/>
                <w:szCs w:val="22"/>
              </w:rPr>
            </w:pPr>
            <w:r w:rsidRPr="00536CD0">
              <w:rPr>
                <w:rFonts w:cs="Calibri"/>
                <w:i/>
                <w:color w:val="000000"/>
                <w:szCs w:val="22"/>
              </w:rPr>
              <w:t>Approver</w:t>
            </w:r>
          </w:p>
        </w:tc>
      </w:tr>
      <w:tr w:rsidR="00655286" w:rsidRPr="004E3304" w14:paraId="27686EA0" w14:textId="77777777" w:rsidTr="00B70D10">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DE410E2" w14:textId="2DDE4FC7" w:rsidR="00655286" w:rsidRPr="004E3304" w:rsidRDefault="00655286" w:rsidP="0050342D">
            <w:pPr>
              <w:rPr>
                <w:szCs w:val="22"/>
              </w:rPr>
            </w:pPr>
            <w:r w:rsidRPr="004E3304">
              <w:rPr>
                <w:szCs w:val="22"/>
              </w:rPr>
              <w:t xml:space="preserve">Approving responsible member </w:t>
            </w:r>
            <w:r w:rsidR="00F25D41">
              <w:rPr>
                <w:szCs w:val="22"/>
              </w:rPr>
              <w:t>given name</w:t>
            </w:r>
          </w:p>
        </w:tc>
        <w:tc>
          <w:tcPr>
            <w:tcW w:w="1843" w:type="dxa"/>
            <w:gridSpan w:val="2"/>
            <w:tcBorders>
              <w:top w:val="nil"/>
              <w:left w:val="nil"/>
              <w:bottom w:val="single" w:sz="4" w:space="0" w:color="auto"/>
              <w:right w:val="single" w:sz="4" w:space="0" w:color="auto"/>
            </w:tcBorders>
            <w:shd w:val="clear" w:color="auto" w:fill="auto"/>
            <w:vAlign w:val="center"/>
            <w:hideMark/>
          </w:tcPr>
          <w:p w14:paraId="716884F1" w14:textId="77777777" w:rsidR="00655286" w:rsidRPr="004E3304" w:rsidRDefault="00655286" w:rsidP="003A332A">
            <w:pPr>
              <w:jc w:val="center"/>
              <w:rPr>
                <w:color w:val="000000"/>
                <w:szCs w:val="22"/>
              </w:rPr>
            </w:pPr>
            <w:r w:rsidRPr="004E3304">
              <w:rPr>
                <w:color w:val="000000"/>
                <w:szCs w:val="22"/>
              </w:rPr>
              <w:t>Recommended</w:t>
            </w:r>
          </w:p>
        </w:tc>
        <w:tc>
          <w:tcPr>
            <w:tcW w:w="1445" w:type="dxa"/>
            <w:tcBorders>
              <w:top w:val="nil"/>
              <w:left w:val="nil"/>
              <w:bottom w:val="single" w:sz="4" w:space="0" w:color="auto"/>
              <w:right w:val="single" w:sz="4" w:space="0" w:color="auto"/>
            </w:tcBorders>
            <w:shd w:val="clear" w:color="auto" w:fill="auto"/>
            <w:vAlign w:val="center"/>
            <w:hideMark/>
          </w:tcPr>
          <w:p w14:paraId="51C0FF65" w14:textId="3D88C356" w:rsidR="00655286" w:rsidRPr="004E3304" w:rsidRDefault="00655286" w:rsidP="003A332A">
            <w:pPr>
              <w:jc w:val="center"/>
              <w:rPr>
                <w:color w:val="000000"/>
                <w:szCs w:val="22"/>
              </w:rPr>
            </w:pPr>
            <w:r w:rsidRPr="004E3304">
              <w:rPr>
                <w:color w:val="000000"/>
                <w:szCs w:val="22"/>
              </w:rPr>
              <w:t>Text</w:t>
            </w:r>
          </w:p>
        </w:tc>
        <w:tc>
          <w:tcPr>
            <w:tcW w:w="8430" w:type="dxa"/>
            <w:gridSpan w:val="2"/>
            <w:tcBorders>
              <w:top w:val="nil"/>
              <w:left w:val="nil"/>
              <w:bottom w:val="single" w:sz="4" w:space="0" w:color="auto"/>
              <w:right w:val="single" w:sz="4" w:space="0" w:color="auto"/>
            </w:tcBorders>
            <w:shd w:val="clear" w:color="auto" w:fill="auto"/>
            <w:vAlign w:val="center"/>
            <w:hideMark/>
          </w:tcPr>
          <w:p w14:paraId="7412AA9E" w14:textId="6183E958" w:rsidR="00655286" w:rsidRPr="004E3304" w:rsidRDefault="00F25D41" w:rsidP="004E3304">
            <w:pPr>
              <w:rPr>
                <w:color w:val="000000"/>
                <w:szCs w:val="22"/>
              </w:rPr>
            </w:pPr>
            <w:r>
              <w:rPr>
                <w:color w:val="000000"/>
                <w:szCs w:val="22"/>
              </w:rPr>
              <w:t>Given name</w:t>
            </w:r>
            <w:r w:rsidR="00655286" w:rsidRPr="004E3304">
              <w:rPr>
                <w:color w:val="000000"/>
                <w:szCs w:val="22"/>
              </w:rPr>
              <w:t xml:space="preserve"> of the responsible member who approved the report. </w:t>
            </w:r>
          </w:p>
        </w:tc>
      </w:tr>
      <w:tr w:rsidR="00655286" w:rsidRPr="004E3304" w14:paraId="21CE838C" w14:textId="77777777" w:rsidTr="00B70D10">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C68B701" w14:textId="59F5E6D2" w:rsidR="00655286" w:rsidRPr="004E3304" w:rsidRDefault="00655286" w:rsidP="0050342D">
            <w:pPr>
              <w:rPr>
                <w:szCs w:val="22"/>
              </w:rPr>
            </w:pPr>
            <w:r w:rsidRPr="004E3304">
              <w:rPr>
                <w:szCs w:val="22"/>
              </w:rPr>
              <w:t xml:space="preserve">Approving responsible member </w:t>
            </w:r>
            <w:r w:rsidR="00F25D41">
              <w:rPr>
                <w:szCs w:val="22"/>
              </w:rPr>
              <w:t>family name</w:t>
            </w:r>
          </w:p>
        </w:tc>
        <w:tc>
          <w:tcPr>
            <w:tcW w:w="1843" w:type="dxa"/>
            <w:gridSpan w:val="2"/>
            <w:tcBorders>
              <w:top w:val="nil"/>
              <w:left w:val="nil"/>
              <w:bottom w:val="single" w:sz="4" w:space="0" w:color="auto"/>
              <w:right w:val="single" w:sz="4" w:space="0" w:color="auto"/>
            </w:tcBorders>
            <w:shd w:val="clear" w:color="auto" w:fill="auto"/>
            <w:vAlign w:val="center"/>
            <w:hideMark/>
          </w:tcPr>
          <w:p w14:paraId="08419B20"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57E8D48B" w14:textId="42BA7C7B" w:rsidR="00655286" w:rsidRPr="004E3304" w:rsidRDefault="00655286" w:rsidP="003A332A">
            <w:pPr>
              <w:jc w:val="center"/>
              <w:rPr>
                <w:color w:val="000000"/>
                <w:szCs w:val="22"/>
              </w:rPr>
            </w:pPr>
            <w:r w:rsidRPr="004E3304">
              <w:rPr>
                <w:color w:val="000000"/>
                <w:szCs w:val="22"/>
              </w:rPr>
              <w:t>Text</w:t>
            </w:r>
          </w:p>
        </w:tc>
        <w:tc>
          <w:tcPr>
            <w:tcW w:w="8430" w:type="dxa"/>
            <w:gridSpan w:val="2"/>
            <w:tcBorders>
              <w:top w:val="nil"/>
              <w:left w:val="nil"/>
              <w:bottom w:val="single" w:sz="4" w:space="0" w:color="auto"/>
              <w:right w:val="single" w:sz="4" w:space="0" w:color="auto"/>
            </w:tcBorders>
            <w:shd w:val="clear" w:color="auto" w:fill="auto"/>
            <w:vAlign w:val="center"/>
            <w:hideMark/>
          </w:tcPr>
          <w:p w14:paraId="1A2EC1FF" w14:textId="57594B16" w:rsidR="00655286" w:rsidRPr="004E3304" w:rsidRDefault="00F25D41" w:rsidP="004E3304">
            <w:pPr>
              <w:rPr>
                <w:color w:val="000000"/>
                <w:szCs w:val="22"/>
              </w:rPr>
            </w:pPr>
            <w:r>
              <w:rPr>
                <w:color w:val="000000"/>
                <w:szCs w:val="22"/>
              </w:rPr>
              <w:t>Family name</w:t>
            </w:r>
            <w:r w:rsidR="00655286" w:rsidRPr="004E3304">
              <w:rPr>
                <w:color w:val="000000"/>
                <w:szCs w:val="22"/>
              </w:rPr>
              <w:t xml:space="preserve"> of the responsible member who approved the report. </w:t>
            </w:r>
          </w:p>
        </w:tc>
      </w:tr>
      <w:tr w:rsidR="00655286" w:rsidRPr="004E3304" w14:paraId="199F1842" w14:textId="77777777" w:rsidTr="00B70D10">
        <w:trPr>
          <w:cantSplit/>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A9961A9" w14:textId="77777777" w:rsidR="00655286" w:rsidRPr="004E3304" w:rsidRDefault="00655286" w:rsidP="0050342D">
            <w:pPr>
              <w:rPr>
                <w:szCs w:val="22"/>
              </w:rPr>
            </w:pPr>
            <w:r w:rsidRPr="004E3304">
              <w:rPr>
                <w:szCs w:val="22"/>
              </w:rPr>
              <w:t>Responsible member approval date</w:t>
            </w:r>
          </w:p>
        </w:tc>
        <w:tc>
          <w:tcPr>
            <w:tcW w:w="1843" w:type="dxa"/>
            <w:gridSpan w:val="2"/>
            <w:tcBorders>
              <w:top w:val="nil"/>
              <w:left w:val="nil"/>
              <w:bottom w:val="single" w:sz="4" w:space="0" w:color="auto"/>
              <w:right w:val="single" w:sz="4" w:space="0" w:color="auto"/>
            </w:tcBorders>
            <w:shd w:val="clear" w:color="auto" w:fill="auto"/>
            <w:vAlign w:val="center"/>
            <w:hideMark/>
          </w:tcPr>
          <w:p w14:paraId="39445508"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0D7ED612" w14:textId="77777777" w:rsidR="00655286" w:rsidRPr="004E3304" w:rsidRDefault="00655286" w:rsidP="003A332A">
            <w:pPr>
              <w:jc w:val="center"/>
              <w:rPr>
                <w:color w:val="000000"/>
                <w:szCs w:val="22"/>
              </w:rPr>
            </w:pPr>
            <w:r w:rsidRPr="004E3304">
              <w:rPr>
                <w:color w:val="000000"/>
                <w:szCs w:val="22"/>
              </w:rPr>
              <w:t>DD/MM/YYYY</w:t>
            </w:r>
          </w:p>
        </w:tc>
        <w:tc>
          <w:tcPr>
            <w:tcW w:w="8430" w:type="dxa"/>
            <w:gridSpan w:val="2"/>
            <w:tcBorders>
              <w:top w:val="nil"/>
              <w:left w:val="nil"/>
              <w:bottom w:val="single" w:sz="4" w:space="0" w:color="auto"/>
              <w:right w:val="single" w:sz="4" w:space="0" w:color="auto"/>
            </w:tcBorders>
            <w:shd w:val="clear" w:color="auto" w:fill="auto"/>
            <w:vAlign w:val="center"/>
            <w:hideMark/>
          </w:tcPr>
          <w:p w14:paraId="55E732ED" w14:textId="77777777" w:rsidR="00655286" w:rsidRPr="004E3304" w:rsidRDefault="00655286" w:rsidP="004E3304">
            <w:pPr>
              <w:rPr>
                <w:color w:val="000000"/>
                <w:szCs w:val="22"/>
              </w:rPr>
            </w:pPr>
            <w:r w:rsidRPr="004E3304">
              <w:rPr>
                <w:color w:val="000000"/>
                <w:szCs w:val="22"/>
              </w:rPr>
              <w:t xml:space="preserve">The date that the responsible member who approved the report. </w:t>
            </w:r>
          </w:p>
        </w:tc>
      </w:tr>
      <w:tr w:rsidR="00CE60CE" w:rsidRPr="004E3304" w14:paraId="6C666CC8" w14:textId="77777777" w:rsidTr="0073023A">
        <w:trPr>
          <w:cantSplit/>
          <w:trHeight w:val="397"/>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6FDE2B5F" w14:textId="3F383493" w:rsidR="00CE60CE" w:rsidRPr="004E3304" w:rsidRDefault="00CE60CE" w:rsidP="00706CB0">
            <w:pPr>
              <w:keepNext/>
              <w:spacing w:before="80" w:after="80"/>
              <w:jc w:val="center"/>
              <w:rPr>
                <w:b/>
                <w:bCs/>
                <w:i/>
                <w:iCs/>
                <w:color w:val="FFFFFF"/>
                <w:szCs w:val="22"/>
              </w:rPr>
            </w:pPr>
            <w:r w:rsidRPr="00C22B14">
              <w:rPr>
                <w:b/>
                <w:bCs/>
                <w:color w:val="FFFFFF" w:themeColor="background1"/>
                <w:sz w:val="24"/>
                <w:szCs w:val="24"/>
              </w:rPr>
              <w:lastRenderedPageBreak/>
              <w:t>Payment Practices</w:t>
            </w:r>
          </w:p>
        </w:tc>
      </w:tr>
      <w:tr w:rsidR="00655286" w:rsidRPr="004E3304" w14:paraId="64D229F1" w14:textId="77777777" w:rsidTr="00B70D10">
        <w:trPr>
          <w:cantSplit/>
          <w:trHeight w:val="1249"/>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681D1C" w14:textId="77777777" w:rsidR="00655286" w:rsidRPr="004E3304" w:rsidRDefault="00655286" w:rsidP="0050342D">
            <w:pPr>
              <w:rPr>
                <w:szCs w:val="22"/>
              </w:rPr>
            </w:pPr>
            <w:r w:rsidRPr="004E3304">
              <w:rPr>
                <w:szCs w:val="22"/>
              </w:rPr>
              <w:t>Offers supply chain finance arrangements</w:t>
            </w:r>
          </w:p>
        </w:tc>
        <w:tc>
          <w:tcPr>
            <w:tcW w:w="1843" w:type="dxa"/>
            <w:gridSpan w:val="2"/>
            <w:tcBorders>
              <w:top w:val="nil"/>
              <w:left w:val="nil"/>
              <w:bottom w:val="single" w:sz="4" w:space="0" w:color="auto"/>
              <w:right w:val="single" w:sz="4" w:space="0" w:color="auto"/>
            </w:tcBorders>
            <w:shd w:val="clear" w:color="auto" w:fill="auto"/>
            <w:vAlign w:val="center"/>
            <w:hideMark/>
          </w:tcPr>
          <w:p w14:paraId="253176BE"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75A51A02" w14:textId="77777777" w:rsidR="00655286" w:rsidRPr="004E3304" w:rsidRDefault="00655286" w:rsidP="003A332A">
            <w:pPr>
              <w:jc w:val="center"/>
              <w:rPr>
                <w:color w:val="000000"/>
                <w:szCs w:val="22"/>
              </w:rPr>
            </w:pPr>
            <w:r w:rsidRPr="004E3304">
              <w:rPr>
                <w:color w:val="000000"/>
                <w:szCs w:val="22"/>
              </w:rPr>
              <w:t>Single selection from list/dropdown</w:t>
            </w:r>
          </w:p>
        </w:tc>
        <w:tc>
          <w:tcPr>
            <w:tcW w:w="8430" w:type="dxa"/>
            <w:gridSpan w:val="2"/>
            <w:tcBorders>
              <w:top w:val="nil"/>
              <w:left w:val="nil"/>
              <w:bottom w:val="single" w:sz="4" w:space="0" w:color="auto"/>
              <w:right w:val="single" w:sz="4" w:space="0" w:color="auto"/>
            </w:tcBorders>
            <w:shd w:val="clear" w:color="auto" w:fill="auto"/>
            <w:vAlign w:val="center"/>
            <w:hideMark/>
          </w:tcPr>
          <w:p w14:paraId="7F8DC2E9" w14:textId="77777777" w:rsidR="009279AF" w:rsidRPr="004E3304" w:rsidRDefault="00655286" w:rsidP="004E3304">
            <w:r w:rsidRPr="004E3304">
              <w:t xml:space="preserve">Whether or not, during the reporting period, the reporting entity or any of its controlled entities, offered supply chain financing options to small business suppliers. </w:t>
            </w:r>
          </w:p>
          <w:p w14:paraId="24B34C56" w14:textId="77777777" w:rsidR="009279AF" w:rsidRPr="004E3304" w:rsidRDefault="00655286" w:rsidP="004E3304">
            <w:r w:rsidRPr="004E3304">
              <w:t>Select from options: Yes / No</w:t>
            </w:r>
          </w:p>
          <w:p w14:paraId="59E3A766" w14:textId="7C7B63DF" w:rsidR="00655286" w:rsidRPr="004E3304" w:rsidRDefault="00655286" w:rsidP="004E3304">
            <w:r w:rsidRPr="004E3304">
              <w:rPr>
                <w:b/>
                <w:bCs/>
                <w:i/>
                <w:iCs/>
              </w:rPr>
              <w:t>Note:</w:t>
            </w:r>
            <w:r w:rsidRPr="004E3304">
              <w:t xml:space="preserve"> </w:t>
            </w:r>
            <w:r w:rsidRPr="004E3304">
              <w:rPr>
                <w:i/>
                <w:iCs/>
              </w:rPr>
              <w:t>If answered yes, details of supply chain financing options are to be provided in the 'Report Comments' field.</w:t>
            </w:r>
          </w:p>
        </w:tc>
      </w:tr>
      <w:tr w:rsidR="00655286" w:rsidRPr="004E3304" w14:paraId="41D318EA" w14:textId="77777777" w:rsidTr="00B70D10">
        <w:trPr>
          <w:cantSplit/>
          <w:trHeight w:val="869"/>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9FF078" w14:textId="77777777" w:rsidR="00655286" w:rsidRPr="004E3304" w:rsidRDefault="00655286" w:rsidP="0050342D">
            <w:pPr>
              <w:rPr>
                <w:szCs w:val="22"/>
              </w:rPr>
            </w:pPr>
            <w:r w:rsidRPr="004E3304">
              <w:rPr>
                <w:szCs w:val="22"/>
              </w:rPr>
              <w:t>Practices or arrangements to charge fees in the procurement process</w:t>
            </w:r>
          </w:p>
        </w:tc>
        <w:tc>
          <w:tcPr>
            <w:tcW w:w="1843" w:type="dxa"/>
            <w:gridSpan w:val="2"/>
            <w:tcBorders>
              <w:top w:val="nil"/>
              <w:left w:val="nil"/>
              <w:bottom w:val="single" w:sz="4" w:space="0" w:color="auto"/>
              <w:right w:val="single" w:sz="4" w:space="0" w:color="auto"/>
            </w:tcBorders>
            <w:shd w:val="clear" w:color="auto" w:fill="auto"/>
            <w:vAlign w:val="center"/>
            <w:hideMark/>
          </w:tcPr>
          <w:p w14:paraId="2BD91758"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4261463D" w14:textId="77777777" w:rsidR="00655286" w:rsidRPr="004E3304" w:rsidRDefault="00655286" w:rsidP="003A332A">
            <w:pPr>
              <w:jc w:val="center"/>
              <w:rPr>
                <w:color w:val="000000"/>
                <w:szCs w:val="22"/>
              </w:rPr>
            </w:pPr>
            <w:r w:rsidRPr="004E3304">
              <w:rPr>
                <w:color w:val="000000"/>
                <w:szCs w:val="22"/>
              </w:rPr>
              <w:t>Single selection from list/dropdown</w:t>
            </w:r>
          </w:p>
        </w:tc>
        <w:tc>
          <w:tcPr>
            <w:tcW w:w="8430" w:type="dxa"/>
            <w:gridSpan w:val="2"/>
            <w:tcBorders>
              <w:top w:val="nil"/>
              <w:left w:val="nil"/>
              <w:bottom w:val="single" w:sz="4" w:space="0" w:color="auto"/>
              <w:right w:val="single" w:sz="4" w:space="0" w:color="auto"/>
            </w:tcBorders>
            <w:shd w:val="clear" w:color="auto" w:fill="auto"/>
            <w:vAlign w:val="center"/>
            <w:hideMark/>
          </w:tcPr>
          <w:p w14:paraId="27EA5CDB" w14:textId="77777777" w:rsidR="009279AF" w:rsidRPr="004E3304" w:rsidRDefault="00655286" w:rsidP="004E3304">
            <w:pPr>
              <w:rPr>
                <w:color w:val="000000"/>
                <w:szCs w:val="22"/>
              </w:rPr>
            </w:pPr>
            <w:r w:rsidRPr="004E3304">
              <w:rPr>
                <w:color w:val="000000"/>
                <w:szCs w:val="22"/>
              </w:rPr>
              <w:t xml:space="preserve">Whether or not, during the reporting period, the reporting entity or any of its controlled entities, charged fees for small businesses to participate in procurement processes. </w:t>
            </w:r>
          </w:p>
          <w:p w14:paraId="4182470E" w14:textId="77777777" w:rsidR="009279AF" w:rsidRPr="004E3304" w:rsidRDefault="00655286" w:rsidP="004E3304">
            <w:pPr>
              <w:rPr>
                <w:color w:val="000000"/>
                <w:szCs w:val="22"/>
              </w:rPr>
            </w:pPr>
            <w:r w:rsidRPr="004E3304">
              <w:rPr>
                <w:color w:val="000000"/>
                <w:szCs w:val="22"/>
              </w:rPr>
              <w:t>Select from options: Yes / No</w:t>
            </w:r>
          </w:p>
          <w:p w14:paraId="28D05FA3" w14:textId="64F90D5B" w:rsidR="00655286" w:rsidRPr="004E3304" w:rsidRDefault="00655286" w:rsidP="004E3304">
            <w:pPr>
              <w:rPr>
                <w:color w:val="000000"/>
                <w:szCs w:val="22"/>
              </w:rPr>
            </w:pPr>
            <w:r w:rsidRPr="00CE60CE">
              <w:rPr>
                <w:b/>
                <w:bCs/>
                <w:i/>
                <w:iCs/>
                <w:color w:val="000000"/>
                <w:szCs w:val="22"/>
              </w:rPr>
              <w:t xml:space="preserve">Note: </w:t>
            </w:r>
            <w:r w:rsidRPr="00CE60CE">
              <w:rPr>
                <w:i/>
                <w:iCs/>
                <w:color w:val="000000"/>
                <w:szCs w:val="22"/>
              </w:rPr>
              <w:t>If answered yes, details of any fees collected by the reporting entity or entities it controls are to be provided in the 'Report Comments' field.</w:t>
            </w:r>
          </w:p>
        </w:tc>
      </w:tr>
      <w:tr w:rsidR="00655286" w:rsidRPr="004E3304" w14:paraId="4C5E93C8" w14:textId="77777777" w:rsidTr="00B70D10">
        <w:trPr>
          <w:cantSplit/>
          <w:trHeight w:val="189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6FA624" w14:textId="77777777" w:rsidR="00655286" w:rsidRPr="004E3304" w:rsidRDefault="00655286" w:rsidP="0050342D">
            <w:pPr>
              <w:rPr>
                <w:szCs w:val="22"/>
              </w:rPr>
            </w:pPr>
            <w:r w:rsidRPr="004E3304">
              <w:rPr>
                <w:szCs w:val="22"/>
              </w:rPr>
              <w:t>Payment practices to small business - legal or voluntary obligations</w:t>
            </w:r>
          </w:p>
        </w:tc>
        <w:tc>
          <w:tcPr>
            <w:tcW w:w="1843" w:type="dxa"/>
            <w:gridSpan w:val="2"/>
            <w:tcBorders>
              <w:top w:val="nil"/>
              <w:left w:val="nil"/>
              <w:bottom w:val="single" w:sz="4" w:space="0" w:color="auto"/>
              <w:right w:val="single" w:sz="4" w:space="0" w:color="auto"/>
            </w:tcBorders>
            <w:shd w:val="clear" w:color="auto" w:fill="auto"/>
            <w:vAlign w:val="center"/>
            <w:hideMark/>
          </w:tcPr>
          <w:p w14:paraId="0845AAD1" w14:textId="77777777" w:rsidR="00655286" w:rsidRPr="004E3304" w:rsidRDefault="00655286" w:rsidP="003A332A">
            <w:pPr>
              <w:jc w:val="center"/>
              <w:rPr>
                <w:color w:val="000000"/>
                <w:szCs w:val="22"/>
              </w:rPr>
            </w:pPr>
            <w:r w:rsidRPr="004E3304">
              <w:rPr>
                <w:color w:val="000000"/>
                <w:szCs w:val="22"/>
              </w:rPr>
              <w:t>Mandatory</w:t>
            </w:r>
          </w:p>
        </w:tc>
        <w:tc>
          <w:tcPr>
            <w:tcW w:w="1445" w:type="dxa"/>
            <w:tcBorders>
              <w:top w:val="nil"/>
              <w:left w:val="nil"/>
              <w:bottom w:val="single" w:sz="4" w:space="0" w:color="auto"/>
              <w:right w:val="single" w:sz="4" w:space="0" w:color="auto"/>
            </w:tcBorders>
            <w:shd w:val="clear" w:color="auto" w:fill="auto"/>
            <w:vAlign w:val="center"/>
            <w:hideMark/>
          </w:tcPr>
          <w:p w14:paraId="73B6D170" w14:textId="77777777" w:rsidR="00655286" w:rsidRPr="004E3304" w:rsidRDefault="00655286" w:rsidP="003A332A">
            <w:pPr>
              <w:jc w:val="center"/>
              <w:rPr>
                <w:color w:val="000000"/>
                <w:szCs w:val="22"/>
              </w:rPr>
            </w:pPr>
            <w:r w:rsidRPr="004E3304">
              <w:rPr>
                <w:color w:val="000000"/>
                <w:szCs w:val="22"/>
              </w:rPr>
              <w:t>Single selection from list/dropdown</w:t>
            </w:r>
          </w:p>
        </w:tc>
        <w:tc>
          <w:tcPr>
            <w:tcW w:w="8430" w:type="dxa"/>
            <w:gridSpan w:val="2"/>
            <w:tcBorders>
              <w:top w:val="nil"/>
              <w:left w:val="nil"/>
              <w:bottom w:val="single" w:sz="4" w:space="0" w:color="auto"/>
              <w:right w:val="single" w:sz="4" w:space="0" w:color="auto"/>
            </w:tcBorders>
            <w:shd w:val="clear" w:color="auto" w:fill="auto"/>
            <w:vAlign w:val="center"/>
            <w:hideMark/>
          </w:tcPr>
          <w:p w14:paraId="4072656C" w14:textId="05F08E23" w:rsidR="009279AF" w:rsidRPr="004E3304" w:rsidRDefault="00655286" w:rsidP="004E3304">
            <w:pPr>
              <w:rPr>
                <w:color w:val="000000"/>
                <w:szCs w:val="22"/>
              </w:rPr>
            </w:pPr>
            <w:r w:rsidRPr="004E3304">
              <w:rPr>
                <w:color w:val="000000"/>
                <w:szCs w:val="22"/>
              </w:rPr>
              <w:t>Whether or not the reporting entity, or any of its controlled entities, have legal or voluntary obligations regarding payment times and practi</w:t>
            </w:r>
            <w:r w:rsidR="00D00ED0">
              <w:rPr>
                <w:color w:val="000000"/>
                <w:szCs w:val="22"/>
              </w:rPr>
              <w:t>c</w:t>
            </w:r>
            <w:r w:rsidRPr="004E3304">
              <w:rPr>
                <w:color w:val="000000"/>
                <w:szCs w:val="22"/>
              </w:rPr>
              <w:t xml:space="preserve">es for small business suppliers (e.g. industry codes or security of payment laws). </w:t>
            </w:r>
          </w:p>
          <w:p w14:paraId="2CF280F9" w14:textId="77777777" w:rsidR="009279AF" w:rsidRPr="004E3304" w:rsidRDefault="00655286" w:rsidP="004E3304">
            <w:pPr>
              <w:rPr>
                <w:color w:val="000000"/>
                <w:szCs w:val="22"/>
              </w:rPr>
            </w:pPr>
            <w:r w:rsidRPr="004E3304">
              <w:rPr>
                <w:color w:val="000000"/>
                <w:szCs w:val="22"/>
              </w:rPr>
              <w:t>Select from options: Yes / No</w:t>
            </w:r>
          </w:p>
          <w:p w14:paraId="478DBAC3" w14:textId="7FA9B786" w:rsidR="00655286" w:rsidRPr="004E3304" w:rsidRDefault="00655286" w:rsidP="004E3304">
            <w:pPr>
              <w:rPr>
                <w:color w:val="000000"/>
                <w:szCs w:val="22"/>
              </w:rPr>
            </w:pPr>
            <w:r w:rsidRPr="00CE60CE">
              <w:rPr>
                <w:b/>
                <w:bCs/>
                <w:i/>
                <w:iCs/>
                <w:color w:val="000000"/>
                <w:szCs w:val="22"/>
              </w:rPr>
              <w:t xml:space="preserve">Note: </w:t>
            </w:r>
            <w:r w:rsidRPr="00CE60CE">
              <w:rPr>
                <w:i/>
                <w:iCs/>
                <w:color w:val="000000"/>
                <w:szCs w:val="22"/>
              </w:rPr>
              <w:t>If answered yes, details of obligations are to be provided in the 'Report Comments' field.</w:t>
            </w:r>
          </w:p>
        </w:tc>
      </w:tr>
      <w:tr w:rsidR="00C22B14" w:rsidRPr="004E3304" w14:paraId="077CE1AD" w14:textId="77777777" w:rsidTr="0073023A">
        <w:trPr>
          <w:cantSplit/>
          <w:trHeight w:val="397"/>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3C2BD58D" w14:textId="5445DD79" w:rsidR="00C22B14" w:rsidRPr="004E3304" w:rsidRDefault="00C22B14" w:rsidP="0050342D">
            <w:pPr>
              <w:keepNext/>
              <w:spacing w:before="80" w:after="80"/>
              <w:rPr>
                <w:b/>
                <w:bCs/>
                <w:i/>
                <w:iCs/>
                <w:color w:val="FFFFFF"/>
                <w:szCs w:val="22"/>
              </w:rPr>
            </w:pPr>
            <w:r w:rsidRPr="00C22B14">
              <w:rPr>
                <w:b/>
                <w:bCs/>
                <w:color w:val="FFFFFF" w:themeColor="background1"/>
                <w:sz w:val="24"/>
                <w:szCs w:val="24"/>
              </w:rPr>
              <w:lastRenderedPageBreak/>
              <w:t>Payment Terms</w:t>
            </w:r>
          </w:p>
        </w:tc>
      </w:tr>
      <w:tr w:rsidR="00655286" w:rsidRPr="004E3304" w14:paraId="23581FA5" w14:textId="77777777" w:rsidTr="0050342D">
        <w:trPr>
          <w:cantSplit/>
          <w:trHeight w:val="7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EA6FE7" w14:textId="198749B1" w:rsidR="00655286" w:rsidRPr="004E3304" w:rsidRDefault="003472B8" w:rsidP="0050342D">
            <w:pPr>
              <w:rPr>
                <w:szCs w:val="22"/>
              </w:rPr>
            </w:pPr>
            <w:r w:rsidRPr="004E3304">
              <w:rPr>
                <w:szCs w:val="22"/>
              </w:rPr>
              <w:t>Most common payment term (statistical mode)</w:t>
            </w:r>
          </w:p>
        </w:tc>
        <w:tc>
          <w:tcPr>
            <w:tcW w:w="1644" w:type="dxa"/>
            <w:tcBorders>
              <w:top w:val="nil"/>
              <w:left w:val="nil"/>
              <w:bottom w:val="single" w:sz="4" w:space="0" w:color="auto"/>
              <w:right w:val="single" w:sz="4" w:space="0" w:color="auto"/>
            </w:tcBorders>
            <w:shd w:val="clear" w:color="auto" w:fill="auto"/>
            <w:vAlign w:val="center"/>
            <w:hideMark/>
          </w:tcPr>
          <w:p w14:paraId="28D3EAC1" w14:textId="7622D6C0" w:rsidR="00655286" w:rsidRPr="004E3304" w:rsidRDefault="00655286" w:rsidP="003A332A">
            <w:pPr>
              <w:jc w:val="center"/>
              <w:rPr>
                <w:color w:val="000000"/>
                <w:szCs w:val="22"/>
              </w:rPr>
            </w:pPr>
            <w:r w:rsidRPr="007F504D">
              <w:rPr>
                <w:rFonts w:cs="Calibri"/>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4E1AEED" w14:textId="31958095" w:rsidR="00655286" w:rsidRPr="004E3304" w:rsidRDefault="003472B8" w:rsidP="003A332A">
            <w:pPr>
              <w:jc w:val="center"/>
              <w:rPr>
                <w:color w:val="000000"/>
                <w:szCs w:val="22"/>
              </w:rPr>
            </w:pPr>
            <w:r w:rsidRPr="004E3304">
              <w:rPr>
                <w:color w:val="000000"/>
                <w:szCs w:val="22"/>
              </w:rPr>
              <w:t xml:space="preserve">Whole </w:t>
            </w:r>
            <w:r>
              <w:rPr>
                <w:color w:val="000000"/>
                <w:szCs w:val="22"/>
              </w:rPr>
              <w:t xml:space="preserve">Number </w:t>
            </w:r>
            <w:r>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4F729F48" w14:textId="77777777" w:rsidR="003472B8" w:rsidRPr="004E3304" w:rsidRDefault="003472B8" w:rsidP="003472B8">
            <w:pPr>
              <w:rPr>
                <w:color w:val="000000"/>
                <w:szCs w:val="22"/>
              </w:rPr>
            </w:pPr>
            <w:r w:rsidRPr="004E3304">
              <w:rPr>
                <w:color w:val="000000"/>
                <w:szCs w:val="22"/>
              </w:rPr>
              <w:t xml:space="preserve">The statistical mode of all payment terms in the </w:t>
            </w:r>
            <w:r w:rsidRPr="004E3304">
              <w:rPr>
                <w:b/>
                <w:color w:val="000000"/>
                <w:szCs w:val="22"/>
              </w:rPr>
              <w:t>SBTCP Dataset</w:t>
            </w:r>
            <w:r>
              <w:rPr>
                <w:b/>
                <w:color w:val="000000"/>
                <w:szCs w:val="22"/>
              </w:rPr>
              <w:t>.</w:t>
            </w:r>
          </w:p>
          <w:p w14:paraId="41009882" w14:textId="7B556E1C" w:rsidR="00655286" w:rsidRPr="004E3304" w:rsidRDefault="003472B8" w:rsidP="004E3304">
            <w:pPr>
              <w:rPr>
                <w:color w:val="000000"/>
                <w:szCs w:val="22"/>
              </w:rPr>
            </w:pPr>
            <w:r w:rsidRPr="004E3304">
              <w:rPr>
                <w:color w:val="000000"/>
                <w:szCs w:val="22"/>
              </w:rPr>
              <w:t>This is the most common payment term of all payments that have been made under a trade credit arrangement to small business suppliers</w:t>
            </w:r>
            <w:r>
              <w:rPr>
                <w:color w:val="000000"/>
                <w:szCs w:val="22"/>
              </w:rPr>
              <w:t xml:space="preserve"> by</w:t>
            </w:r>
            <w:r w:rsidRPr="007F504D">
              <w:rPr>
                <w:rFonts w:cs="Calibri"/>
                <w:color w:val="000000"/>
                <w:szCs w:val="22"/>
              </w:rPr>
              <w:t xml:space="preserve"> the reporting entity and all its controlled entities (considered as a group)</w:t>
            </w:r>
            <w:r>
              <w:rPr>
                <w:rFonts w:cs="Calibri"/>
                <w:color w:val="000000"/>
                <w:szCs w:val="22"/>
              </w:rPr>
              <w:t>.</w:t>
            </w:r>
          </w:p>
        </w:tc>
      </w:tr>
      <w:tr w:rsidR="00962F53" w:rsidRPr="004E3304" w14:paraId="08CDE957" w14:textId="77777777" w:rsidTr="0050342D">
        <w:trPr>
          <w:cantSplit/>
          <w:trHeight w:val="77"/>
        </w:trPr>
        <w:tc>
          <w:tcPr>
            <w:tcW w:w="2830" w:type="dxa"/>
            <w:tcBorders>
              <w:top w:val="nil"/>
              <w:left w:val="single" w:sz="4" w:space="0" w:color="auto"/>
              <w:bottom w:val="single" w:sz="4" w:space="0" w:color="auto"/>
              <w:right w:val="single" w:sz="4" w:space="0" w:color="auto"/>
            </w:tcBorders>
            <w:shd w:val="clear" w:color="auto" w:fill="auto"/>
            <w:vAlign w:val="center"/>
          </w:tcPr>
          <w:p w14:paraId="3951244F" w14:textId="160F17E5" w:rsidR="00962F53" w:rsidRPr="004E3304" w:rsidRDefault="00962F53" w:rsidP="0050342D">
            <w:pPr>
              <w:rPr>
                <w:szCs w:val="22"/>
              </w:rPr>
            </w:pPr>
            <w:r w:rsidRPr="004E3304">
              <w:rPr>
                <w:szCs w:val="22"/>
              </w:rPr>
              <w:t>Receivable terms compared to most common payment term</w:t>
            </w:r>
          </w:p>
        </w:tc>
        <w:tc>
          <w:tcPr>
            <w:tcW w:w="1644" w:type="dxa"/>
            <w:tcBorders>
              <w:top w:val="nil"/>
              <w:left w:val="nil"/>
              <w:bottom w:val="single" w:sz="4" w:space="0" w:color="auto"/>
              <w:right w:val="single" w:sz="4" w:space="0" w:color="auto"/>
            </w:tcBorders>
            <w:shd w:val="clear" w:color="auto" w:fill="auto"/>
            <w:vAlign w:val="center"/>
          </w:tcPr>
          <w:p w14:paraId="78EAC73C" w14:textId="5C146C2E" w:rsidR="00962F53" w:rsidRPr="004E3304" w:rsidRDefault="00962F53" w:rsidP="00962F53">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tcPr>
          <w:p w14:paraId="61EA2F26" w14:textId="28AB4FD8" w:rsidR="00962F53" w:rsidRPr="004E3304" w:rsidRDefault="003703EE" w:rsidP="00962F53">
            <w:pPr>
              <w:jc w:val="center"/>
              <w:rPr>
                <w:color w:val="000000"/>
                <w:szCs w:val="22"/>
              </w:rPr>
            </w:pPr>
            <w:r>
              <w:rPr>
                <w:color w:val="000000"/>
                <w:szCs w:val="22"/>
              </w:rPr>
              <w:t>S</w:t>
            </w:r>
            <w:r w:rsidR="00962F53" w:rsidRPr="004E3304">
              <w:rPr>
                <w:color w:val="000000"/>
                <w:szCs w:val="22"/>
              </w:rPr>
              <w:t>ingle selection from list/</w:t>
            </w:r>
            <w:r w:rsidR="0050342D">
              <w:rPr>
                <w:color w:val="000000"/>
                <w:szCs w:val="22"/>
              </w:rPr>
              <w:t xml:space="preserve"> </w:t>
            </w:r>
            <w:r w:rsidR="00962F53" w:rsidRPr="004E3304">
              <w:rPr>
                <w:color w:val="000000"/>
                <w:szCs w:val="22"/>
              </w:rPr>
              <w:t>dropdown</w:t>
            </w:r>
          </w:p>
        </w:tc>
        <w:tc>
          <w:tcPr>
            <w:tcW w:w="8430" w:type="dxa"/>
            <w:gridSpan w:val="2"/>
            <w:tcBorders>
              <w:top w:val="nil"/>
              <w:left w:val="nil"/>
              <w:bottom w:val="single" w:sz="4" w:space="0" w:color="auto"/>
              <w:right w:val="single" w:sz="4" w:space="0" w:color="auto"/>
            </w:tcBorders>
            <w:shd w:val="clear" w:color="auto" w:fill="auto"/>
            <w:vAlign w:val="center"/>
          </w:tcPr>
          <w:p w14:paraId="53F8FCE0" w14:textId="77777777" w:rsidR="00962F53" w:rsidRDefault="00962F53" w:rsidP="00962F53">
            <w:pPr>
              <w:rPr>
                <w:color w:val="000000"/>
                <w:szCs w:val="22"/>
              </w:rPr>
            </w:pPr>
            <w:r w:rsidRPr="004E3304">
              <w:rPr>
                <w:color w:val="000000"/>
                <w:szCs w:val="22"/>
              </w:rPr>
              <w:t>Whether the most commonly offered receivable term for the reporting entity and all its controlled entities (considered as a group) is shorter, longer, or the same as the most common payment term.</w:t>
            </w:r>
            <w:r w:rsidRPr="004E3304">
              <w:rPr>
                <w:color w:val="000000"/>
                <w:szCs w:val="22"/>
              </w:rPr>
              <w:br w:type="page"/>
            </w:r>
            <w:r w:rsidRPr="004E3304">
              <w:rPr>
                <w:color w:val="000000"/>
                <w:szCs w:val="22"/>
              </w:rPr>
              <w:br w:type="page"/>
            </w:r>
          </w:p>
          <w:p w14:paraId="701FA370" w14:textId="120A03CE" w:rsidR="00962F53" w:rsidRPr="004E3304" w:rsidRDefault="00962F53" w:rsidP="00962F53">
            <w:pPr>
              <w:rPr>
                <w:color w:val="000000"/>
                <w:szCs w:val="22"/>
              </w:rPr>
            </w:pPr>
            <w:r w:rsidRPr="004E3304">
              <w:rPr>
                <w:color w:val="000000"/>
                <w:szCs w:val="22"/>
              </w:rPr>
              <w:t>Select from options: Longer / Shorter / Same)</w:t>
            </w:r>
          </w:p>
        </w:tc>
      </w:tr>
      <w:tr w:rsidR="00655286" w:rsidRPr="004E3304" w14:paraId="07137A13" w14:textId="77777777" w:rsidTr="0050342D">
        <w:trPr>
          <w:cantSplit/>
          <w:trHeight w:val="169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C2BBA9" w14:textId="77777777" w:rsidR="00655286" w:rsidRPr="004E3304" w:rsidRDefault="00655286" w:rsidP="0050342D">
            <w:pPr>
              <w:rPr>
                <w:szCs w:val="22"/>
              </w:rPr>
            </w:pPr>
            <w:r w:rsidRPr="004E3304">
              <w:rPr>
                <w:szCs w:val="22"/>
              </w:rPr>
              <w:t>Range of most common payment terms - minimum</w:t>
            </w:r>
          </w:p>
        </w:tc>
        <w:tc>
          <w:tcPr>
            <w:tcW w:w="1644" w:type="dxa"/>
            <w:tcBorders>
              <w:top w:val="nil"/>
              <w:left w:val="nil"/>
              <w:bottom w:val="single" w:sz="4" w:space="0" w:color="auto"/>
              <w:right w:val="single" w:sz="4" w:space="0" w:color="auto"/>
            </w:tcBorders>
            <w:shd w:val="clear" w:color="auto" w:fill="auto"/>
            <w:vAlign w:val="center"/>
            <w:hideMark/>
          </w:tcPr>
          <w:p w14:paraId="3F630F14" w14:textId="77777777" w:rsidR="009279AF" w:rsidRPr="004E3304" w:rsidRDefault="00655286" w:rsidP="003A332A">
            <w:pPr>
              <w:jc w:val="center"/>
              <w:rPr>
                <w:color w:val="000000"/>
                <w:szCs w:val="22"/>
              </w:rPr>
            </w:pPr>
            <w:r w:rsidRPr="004E3304">
              <w:rPr>
                <w:color w:val="000000"/>
                <w:szCs w:val="22"/>
              </w:rPr>
              <w:t>Mandatory*</w:t>
            </w:r>
          </w:p>
          <w:p w14:paraId="77A5F724" w14:textId="593475D2" w:rsidR="00655286" w:rsidRPr="007846FF" w:rsidRDefault="003205D4" w:rsidP="003A332A">
            <w:pPr>
              <w:jc w:val="center"/>
              <w:rPr>
                <w:color w:val="000000"/>
                <w:sz w:val="18"/>
                <w:szCs w:val="18"/>
              </w:rPr>
            </w:pPr>
            <w:r w:rsidRPr="007846FF">
              <w:rPr>
                <w:i/>
                <w:color w:val="000000"/>
                <w:sz w:val="18"/>
                <w:szCs w:val="18"/>
              </w:rPr>
              <w:t xml:space="preserve">*Displayed </w:t>
            </w:r>
            <w:r w:rsidR="00A43C6E" w:rsidRPr="007846FF">
              <w:rPr>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35071B7C" w14:textId="09EA7645"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607E0984" w14:textId="77777777" w:rsidR="009279AF" w:rsidRPr="004E3304" w:rsidRDefault="00655286" w:rsidP="004E3304">
            <w:pPr>
              <w:rPr>
                <w:color w:val="000000"/>
                <w:szCs w:val="22"/>
              </w:rPr>
            </w:pPr>
            <w:r w:rsidRPr="004E3304">
              <w:rPr>
                <w:color w:val="000000"/>
                <w:szCs w:val="22"/>
              </w:rPr>
              <w:t xml:space="preserve">The minimum value in the range of the most common payment terms for each individual entity within in the consolidated group, as per the </w:t>
            </w:r>
            <w:r w:rsidR="00761A6E" w:rsidRPr="004E3304">
              <w:rPr>
                <w:b/>
                <w:color w:val="000000"/>
                <w:szCs w:val="22"/>
              </w:rPr>
              <w:t>SBTCP Dataset</w:t>
            </w:r>
            <w:r w:rsidRPr="004E3304">
              <w:rPr>
                <w:color w:val="000000"/>
                <w:szCs w:val="22"/>
              </w:rPr>
              <w:t>.</w:t>
            </w:r>
          </w:p>
          <w:p w14:paraId="17571E32" w14:textId="77777777" w:rsidR="009279AF" w:rsidRPr="004E3304" w:rsidRDefault="00655286" w:rsidP="00FD6621">
            <w:pPr>
              <w:spacing w:before="0"/>
              <w:rPr>
                <w:color w:val="000000"/>
                <w:szCs w:val="22"/>
              </w:rPr>
            </w:pPr>
            <w:r w:rsidRPr="004E3304">
              <w:rPr>
                <w:color w:val="000000"/>
                <w:szCs w:val="22"/>
              </w:rPr>
              <w:t>This is the lowest of the following values:</w:t>
            </w:r>
          </w:p>
          <w:p w14:paraId="2AC922C0" w14:textId="77777777" w:rsidR="00FD6621" w:rsidRDefault="00655286" w:rsidP="00FD6621">
            <w:pPr>
              <w:pStyle w:val="Bullet"/>
              <w:rPr>
                <w:rFonts w:cs="Calibri"/>
                <w:color w:val="000000"/>
                <w:sz w:val="20"/>
              </w:rPr>
            </w:pPr>
            <w:r w:rsidRPr="00FD6621">
              <w:rPr>
                <w:rFonts w:cs="Calibri"/>
                <w:color w:val="000000"/>
                <w:szCs w:val="22"/>
              </w:rPr>
              <w:t>the</w:t>
            </w:r>
            <w:r w:rsidRPr="00655286">
              <w:rPr>
                <w:rFonts w:cs="Calibri"/>
                <w:color w:val="000000"/>
                <w:sz w:val="20"/>
              </w:rPr>
              <w:t xml:space="preserve"> statistical mode payment term of the reporting entity itself and</w:t>
            </w:r>
          </w:p>
          <w:p w14:paraId="6CB6442D" w14:textId="12824621" w:rsidR="00655286" w:rsidRPr="004E3304" w:rsidRDefault="00655286" w:rsidP="00FD6621">
            <w:pPr>
              <w:pStyle w:val="Bullet"/>
              <w:rPr>
                <w:color w:val="000000"/>
                <w:szCs w:val="22"/>
              </w:rPr>
            </w:pPr>
            <w:r w:rsidRPr="004E3304">
              <w:rPr>
                <w:color w:val="000000"/>
                <w:szCs w:val="22"/>
              </w:rPr>
              <w:t xml:space="preserve">the statistical mode payment term of each of its controlled </w:t>
            </w:r>
            <w:r w:rsidR="00956BEF" w:rsidRPr="004E3304">
              <w:rPr>
                <w:color w:val="000000"/>
                <w:szCs w:val="22"/>
              </w:rPr>
              <w:t>entities</w:t>
            </w:r>
          </w:p>
        </w:tc>
      </w:tr>
      <w:tr w:rsidR="00655286" w:rsidRPr="004E3304" w14:paraId="066F1F84" w14:textId="77777777" w:rsidTr="0050342D">
        <w:trPr>
          <w:cantSplit/>
          <w:trHeight w:val="169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3ED9D0" w14:textId="77777777" w:rsidR="00655286" w:rsidRPr="004E3304" w:rsidRDefault="00655286" w:rsidP="0050342D">
            <w:pPr>
              <w:rPr>
                <w:szCs w:val="22"/>
              </w:rPr>
            </w:pPr>
            <w:r w:rsidRPr="004E3304">
              <w:rPr>
                <w:szCs w:val="22"/>
              </w:rPr>
              <w:t>Range of most common payment terms - maximum</w:t>
            </w:r>
          </w:p>
        </w:tc>
        <w:tc>
          <w:tcPr>
            <w:tcW w:w="1644" w:type="dxa"/>
            <w:tcBorders>
              <w:top w:val="nil"/>
              <w:left w:val="nil"/>
              <w:bottom w:val="single" w:sz="4" w:space="0" w:color="auto"/>
              <w:right w:val="single" w:sz="4" w:space="0" w:color="auto"/>
            </w:tcBorders>
            <w:shd w:val="clear" w:color="auto" w:fill="auto"/>
            <w:vAlign w:val="center"/>
            <w:hideMark/>
          </w:tcPr>
          <w:p w14:paraId="564BF6FC" w14:textId="77777777" w:rsidR="009279AF" w:rsidRPr="004E3304" w:rsidRDefault="00655286" w:rsidP="003A332A">
            <w:pPr>
              <w:jc w:val="center"/>
              <w:rPr>
                <w:color w:val="000000"/>
                <w:szCs w:val="22"/>
              </w:rPr>
            </w:pPr>
            <w:r w:rsidRPr="004E3304">
              <w:rPr>
                <w:color w:val="000000"/>
                <w:szCs w:val="22"/>
              </w:rPr>
              <w:t>Mandatory*</w:t>
            </w:r>
          </w:p>
          <w:p w14:paraId="3336A8CD" w14:textId="21102652" w:rsidR="00655286" w:rsidRPr="007846FF" w:rsidRDefault="003205D4" w:rsidP="003A332A">
            <w:pPr>
              <w:jc w:val="center"/>
              <w:rPr>
                <w:color w:val="000000"/>
                <w:sz w:val="18"/>
                <w:szCs w:val="18"/>
              </w:rPr>
            </w:pPr>
            <w:r w:rsidRPr="007846FF">
              <w:rPr>
                <w:i/>
                <w:color w:val="000000"/>
                <w:sz w:val="18"/>
                <w:szCs w:val="18"/>
              </w:rPr>
              <w:t xml:space="preserve">*Displayed </w:t>
            </w:r>
            <w:r w:rsidR="00A43C6E" w:rsidRPr="007846FF">
              <w:rPr>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52F688B4" w14:textId="4853C3A3"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6025D59A" w14:textId="77777777" w:rsidR="009279AF" w:rsidRPr="004E3304" w:rsidRDefault="00655286" w:rsidP="004E3304">
            <w:pPr>
              <w:rPr>
                <w:color w:val="000000"/>
                <w:szCs w:val="22"/>
              </w:rPr>
            </w:pPr>
            <w:r w:rsidRPr="004E3304">
              <w:rPr>
                <w:color w:val="000000"/>
                <w:szCs w:val="22"/>
              </w:rPr>
              <w:t xml:space="preserve">The maximum value in the range of the most common payment terms for each individual entity within the consolidated group, as per the </w:t>
            </w:r>
            <w:r w:rsidR="00761A6E" w:rsidRPr="004E3304">
              <w:rPr>
                <w:b/>
                <w:color w:val="000000"/>
                <w:szCs w:val="22"/>
              </w:rPr>
              <w:t>SBTCP Dataset</w:t>
            </w:r>
            <w:r w:rsidRPr="004E3304">
              <w:rPr>
                <w:color w:val="000000"/>
                <w:szCs w:val="22"/>
              </w:rPr>
              <w:t>.</w:t>
            </w:r>
          </w:p>
          <w:p w14:paraId="4743FCBC" w14:textId="77777777" w:rsidR="009279AF" w:rsidRPr="004E3304" w:rsidRDefault="00655286" w:rsidP="00FD6621">
            <w:pPr>
              <w:spacing w:before="0"/>
              <w:rPr>
                <w:color w:val="000000"/>
                <w:szCs w:val="22"/>
              </w:rPr>
            </w:pPr>
            <w:r w:rsidRPr="004E3304">
              <w:rPr>
                <w:color w:val="000000"/>
                <w:szCs w:val="22"/>
              </w:rPr>
              <w:t>This is the highest of the following values:</w:t>
            </w:r>
          </w:p>
          <w:p w14:paraId="38DFBF2C" w14:textId="775E2DE7" w:rsidR="009279AF" w:rsidRPr="004E3304" w:rsidRDefault="00655286" w:rsidP="00FD6621">
            <w:pPr>
              <w:pStyle w:val="Bullet"/>
              <w:rPr>
                <w:color w:val="000000"/>
                <w:szCs w:val="22"/>
              </w:rPr>
            </w:pPr>
            <w:r w:rsidRPr="004E3304">
              <w:rPr>
                <w:color w:val="000000"/>
                <w:szCs w:val="22"/>
              </w:rPr>
              <w:t>the statistical mode payment term of the reporting entity itself and</w:t>
            </w:r>
          </w:p>
          <w:p w14:paraId="56E73F20" w14:textId="5EDCBEF1" w:rsidR="00655286" w:rsidRPr="004E3304" w:rsidRDefault="00655286" w:rsidP="00FD6621">
            <w:pPr>
              <w:pStyle w:val="Bullet"/>
              <w:rPr>
                <w:color w:val="000000"/>
                <w:szCs w:val="22"/>
              </w:rPr>
            </w:pPr>
            <w:r w:rsidRPr="004E3304">
              <w:rPr>
                <w:color w:val="000000"/>
                <w:szCs w:val="22"/>
              </w:rPr>
              <w:t xml:space="preserve">the statistical mode payment term of each of its controlled </w:t>
            </w:r>
            <w:r w:rsidR="00956BEF" w:rsidRPr="004E3304">
              <w:rPr>
                <w:color w:val="000000"/>
                <w:szCs w:val="22"/>
              </w:rPr>
              <w:t>entities</w:t>
            </w:r>
          </w:p>
        </w:tc>
      </w:tr>
      <w:tr w:rsidR="00655286" w:rsidRPr="004E3304" w14:paraId="35E6F526" w14:textId="77777777" w:rsidTr="0050342D">
        <w:trPr>
          <w:cantSplit/>
          <w:trHeight w:val="56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18C64B" w14:textId="77777777" w:rsidR="00655286" w:rsidRPr="004E3304" w:rsidRDefault="00655286" w:rsidP="0050342D">
            <w:pPr>
              <w:rPr>
                <w:szCs w:val="22"/>
              </w:rPr>
            </w:pPr>
            <w:r w:rsidRPr="004E3304">
              <w:rPr>
                <w:szCs w:val="22"/>
              </w:rPr>
              <w:lastRenderedPageBreak/>
              <w:t>Expected most common payment term for next period (estimate)</w:t>
            </w:r>
          </w:p>
        </w:tc>
        <w:tc>
          <w:tcPr>
            <w:tcW w:w="1644" w:type="dxa"/>
            <w:tcBorders>
              <w:top w:val="nil"/>
              <w:left w:val="nil"/>
              <w:bottom w:val="single" w:sz="4" w:space="0" w:color="auto"/>
              <w:right w:val="single" w:sz="4" w:space="0" w:color="auto"/>
            </w:tcBorders>
            <w:shd w:val="clear" w:color="auto" w:fill="auto"/>
            <w:vAlign w:val="center"/>
            <w:hideMark/>
          </w:tcPr>
          <w:p w14:paraId="017C318E"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485C405" w14:textId="1CD673A9"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53D63E23" w14:textId="77777777" w:rsidR="009E6A11" w:rsidRDefault="00655286" w:rsidP="009E6A11">
            <w:pPr>
              <w:rPr>
                <w:color w:val="000000"/>
                <w:szCs w:val="22"/>
              </w:rPr>
            </w:pPr>
            <w:r w:rsidRPr="004E3304">
              <w:rPr>
                <w:color w:val="000000"/>
                <w:szCs w:val="22"/>
              </w:rPr>
              <w:t xml:space="preserve">An estimate, for the next reporting period, of the expected most common payment term for the reporting entity and all its controlled entities (considered as a group), based on any anticipated changes in payment practices. </w:t>
            </w:r>
          </w:p>
          <w:p w14:paraId="6ABDA678" w14:textId="155AB4C9" w:rsidR="00655286" w:rsidRPr="004E3304" w:rsidRDefault="00655286" w:rsidP="009E6A11">
            <w:pPr>
              <w:rPr>
                <w:color w:val="000000"/>
                <w:szCs w:val="22"/>
              </w:rPr>
            </w:pPr>
            <w:r w:rsidRPr="004E3304">
              <w:rPr>
                <w:color w:val="000000"/>
                <w:szCs w:val="22"/>
              </w:rPr>
              <w:t>If no changes are expected, the same values as in the current period can be reported.</w:t>
            </w:r>
          </w:p>
        </w:tc>
      </w:tr>
      <w:tr w:rsidR="00655286" w:rsidRPr="004E3304" w14:paraId="45FDF297" w14:textId="77777777" w:rsidTr="0050342D">
        <w:trPr>
          <w:cantSplit/>
          <w:trHeight w:val="879"/>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85793FC" w14:textId="77777777" w:rsidR="00655286" w:rsidRPr="004E3304" w:rsidRDefault="00655286" w:rsidP="0050342D">
            <w:pPr>
              <w:rPr>
                <w:szCs w:val="22"/>
              </w:rPr>
            </w:pPr>
            <w:r w:rsidRPr="004E3304">
              <w:rPr>
                <w:szCs w:val="22"/>
              </w:rPr>
              <w:t>Expected range of most common payment terms for next period - minimum (estimate)</w:t>
            </w:r>
          </w:p>
        </w:tc>
        <w:tc>
          <w:tcPr>
            <w:tcW w:w="1644" w:type="dxa"/>
            <w:tcBorders>
              <w:top w:val="nil"/>
              <w:left w:val="nil"/>
              <w:bottom w:val="single" w:sz="4" w:space="0" w:color="auto"/>
              <w:right w:val="single" w:sz="4" w:space="0" w:color="auto"/>
            </w:tcBorders>
            <w:shd w:val="clear" w:color="auto" w:fill="auto"/>
            <w:vAlign w:val="center"/>
            <w:hideMark/>
          </w:tcPr>
          <w:p w14:paraId="7C0180A6" w14:textId="77777777" w:rsidR="009279AF" w:rsidRPr="004E3304" w:rsidRDefault="00655286" w:rsidP="003A332A">
            <w:pPr>
              <w:jc w:val="center"/>
              <w:rPr>
                <w:color w:val="000000"/>
                <w:szCs w:val="22"/>
              </w:rPr>
            </w:pPr>
            <w:r w:rsidRPr="004E3304">
              <w:rPr>
                <w:color w:val="000000"/>
                <w:szCs w:val="22"/>
              </w:rPr>
              <w:t>Mandatory*</w:t>
            </w:r>
          </w:p>
          <w:p w14:paraId="52D51AF0" w14:textId="69122C38" w:rsidR="00655286" w:rsidRPr="007846FF" w:rsidRDefault="003205D4" w:rsidP="003A332A">
            <w:pPr>
              <w:jc w:val="center"/>
              <w:rPr>
                <w:color w:val="000000"/>
                <w:sz w:val="18"/>
                <w:szCs w:val="18"/>
              </w:rPr>
            </w:pPr>
            <w:r w:rsidRPr="007846FF">
              <w:rPr>
                <w:i/>
                <w:color w:val="000000"/>
                <w:sz w:val="18"/>
                <w:szCs w:val="18"/>
              </w:rPr>
              <w:t xml:space="preserve">*Displayed </w:t>
            </w:r>
            <w:r w:rsidR="00A43C6E" w:rsidRPr="007846FF">
              <w:rPr>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547754B5" w14:textId="64CFEBA7"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10EFA00B" w14:textId="77777777" w:rsidR="009279AF" w:rsidRPr="004E3304" w:rsidRDefault="00655286" w:rsidP="004E3304">
            <w:pPr>
              <w:rPr>
                <w:color w:val="000000"/>
                <w:szCs w:val="22"/>
              </w:rPr>
            </w:pPr>
            <w:r w:rsidRPr="004E3304">
              <w:rPr>
                <w:color w:val="000000"/>
                <w:szCs w:val="22"/>
              </w:rPr>
              <w:t>An estimate, for the next reporting period, of the expected minimum value in the range for the most common payment terms for each individual entity within the consolidated group, based on any anticipated changes in payment practices.</w:t>
            </w:r>
          </w:p>
          <w:p w14:paraId="00F996B3" w14:textId="60B16800" w:rsidR="00655286" w:rsidRPr="004E3304" w:rsidRDefault="00655286" w:rsidP="004E3304">
            <w:pPr>
              <w:rPr>
                <w:color w:val="000000"/>
                <w:szCs w:val="22"/>
              </w:rPr>
            </w:pPr>
            <w:r w:rsidRPr="004E3304">
              <w:rPr>
                <w:color w:val="000000"/>
                <w:szCs w:val="22"/>
              </w:rPr>
              <w:t>If no changes are expected, the same values as in the current period can be reported.</w:t>
            </w:r>
          </w:p>
        </w:tc>
      </w:tr>
      <w:tr w:rsidR="00655286" w:rsidRPr="004E3304" w14:paraId="7A12FAD4" w14:textId="77777777" w:rsidTr="0050342D">
        <w:trPr>
          <w:cantSplit/>
          <w:trHeight w:val="2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506EFF" w14:textId="77777777" w:rsidR="00655286" w:rsidRPr="004E3304" w:rsidRDefault="00655286" w:rsidP="0050342D">
            <w:pPr>
              <w:rPr>
                <w:szCs w:val="22"/>
              </w:rPr>
            </w:pPr>
            <w:r w:rsidRPr="004E3304">
              <w:rPr>
                <w:szCs w:val="22"/>
              </w:rPr>
              <w:t>Expected range of most common payment terms for next period - maximum (estimate)</w:t>
            </w:r>
          </w:p>
        </w:tc>
        <w:tc>
          <w:tcPr>
            <w:tcW w:w="1644" w:type="dxa"/>
            <w:tcBorders>
              <w:top w:val="nil"/>
              <w:left w:val="nil"/>
              <w:bottom w:val="single" w:sz="4" w:space="0" w:color="auto"/>
              <w:right w:val="single" w:sz="4" w:space="0" w:color="auto"/>
            </w:tcBorders>
            <w:shd w:val="clear" w:color="auto" w:fill="auto"/>
            <w:vAlign w:val="center"/>
            <w:hideMark/>
          </w:tcPr>
          <w:p w14:paraId="479D95F5" w14:textId="77777777" w:rsidR="00857732" w:rsidRDefault="00655286" w:rsidP="003A332A">
            <w:pPr>
              <w:jc w:val="center"/>
              <w:rPr>
                <w:color w:val="000000"/>
                <w:szCs w:val="22"/>
              </w:rPr>
            </w:pPr>
            <w:r w:rsidRPr="004E3304">
              <w:rPr>
                <w:color w:val="000000"/>
                <w:szCs w:val="22"/>
              </w:rPr>
              <w:t>Mandatory*</w:t>
            </w:r>
            <w:r w:rsidRPr="004E3304">
              <w:rPr>
                <w:color w:val="000000"/>
                <w:szCs w:val="22"/>
              </w:rPr>
              <w:br w:type="page"/>
            </w:r>
            <w:r w:rsidRPr="004E3304">
              <w:rPr>
                <w:color w:val="000000"/>
                <w:szCs w:val="22"/>
              </w:rPr>
              <w:br w:type="page"/>
            </w:r>
          </w:p>
          <w:p w14:paraId="3ABEF997" w14:textId="5B911744" w:rsidR="00655286" w:rsidRPr="007846FF" w:rsidRDefault="003205D4" w:rsidP="003A332A">
            <w:pPr>
              <w:jc w:val="center"/>
              <w:rPr>
                <w:color w:val="000000"/>
                <w:sz w:val="18"/>
                <w:szCs w:val="18"/>
              </w:rPr>
            </w:pPr>
            <w:r w:rsidRPr="007846FF">
              <w:rPr>
                <w:i/>
                <w:color w:val="000000"/>
                <w:sz w:val="18"/>
                <w:szCs w:val="18"/>
              </w:rPr>
              <w:t xml:space="preserve">*Displayed </w:t>
            </w:r>
            <w:r w:rsidR="00A43C6E" w:rsidRPr="007846FF">
              <w:rPr>
                <w:i/>
                <w:color w:val="000000"/>
                <w:sz w:val="18"/>
                <w:szCs w:val="18"/>
              </w:rPr>
              <w:t>only if reporting entity has controlled entities</w:t>
            </w:r>
          </w:p>
        </w:tc>
        <w:tc>
          <w:tcPr>
            <w:tcW w:w="1644" w:type="dxa"/>
            <w:gridSpan w:val="2"/>
            <w:tcBorders>
              <w:top w:val="nil"/>
              <w:left w:val="nil"/>
              <w:bottom w:val="single" w:sz="4" w:space="0" w:color="auto"/>
              <w:right w:val="single" w:sz="4" w:space="0" w:color="auto"/>
            </w:tcBorders>
            <w:shd w:val="clear" w:color="auto" w:fill="auto"/>
            <w:vAlign w:val="center"/>
            <w:hideMark/>
          </w:tcPr>
          <w:p w14:paraId="4B79DE3C" w14:textId="14514ADC"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59F7E497" w14:textId="77777777" w:rsidR="00FD6621" w:rsidRDefault="00655286" w:rsidP="00655286">
            <w:pPr>
              <w:spacing w:before="0" w:after="0"/>
              <w:rPr>
                <w:rFonts w:cs="Calibri"/>
                <w:color w:val="000000"/>
                <w:sz w:val="20"/>
              </w:rPr>
            </w:pPr>
            <w:r w:rsidRPr="004E3304">
              <w:rPr>
                <w:color w:val="000000"/>
                <w:szCs w:val="22"/>
              </w:rPr>
              <w:t>An estimate, for the next reporting period, of the expected maximum value in the range of the most common payment terms for each individual entity within the consolidated group, based on any anticipated changes in payment practices.</w:t>
            </w:r>
            <w:r w:rsidRPr="004E3304">
              <w:rPr>
                <w:color w:val="000000"/>
                <w:szCs w:val="22"/>
              </w:rPr>
              <w:br w:type="page"/>
            </w:r>
            <w:r w:rsidRPr="004E3304">
              <w:rPr>
                <w:color w:val="000000"/>
                <w:szCs w:val="22"/>
              </w:rPr>
              <w:br w:type="page"/>
            </w:r>
          </w:p>
          <w:p w14:paraId="1D4F8F79" w14:textId="4A5FE692" w:rsidR="00655286" w:rsidRPr="004E3304" w:rsidRDefault="00655286" w:rsidP="004E3304">
            <w:pPr>
              <w:rPr>
                <w:color w:val="000000"/>
                <w:szCs w:val="22"/>
              </w:rPr>
            </w:pPr>
            <w:r w:rsidRPr="004E3304">
              <w:rPr>
                <w:color w:val="000000"/>
                <w:szCs w:val="22"/>
              </w:rPr>
              <w:t>If no changes are expected, the same values as in the current period can be reported</w:t>
            </w:r>
            <w:r w:rsidR="00B64C1C">
              <w:rPr>
                <w:color w:val="000000"/>
                <w:szCs w:val="22"/>
              </w:rPr>
              <w:t>.</w:t>
            </w:r>
          </w:p>
        </w:tc>
      </w:tr>
      <w:tr w:rsidR="00C22B14" w:rsidRPr="004E3304" w14:paraId="0F122E84" w14:textId="77777777" w:rsidTr="0073023A">
        <w:trPr>
          <w:cantSplit/>
          <w:trHeight w:val="397"/>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123135B6" w14:textId="7D571237" w:rsidR="00C22B14" w:rsidRPr="004E3304" w:rsidRDefault="00C22B14" w:rsidP="0050342D">
            <w:pPr>
              <w:spacing w:before="80" w:after="80"/>
              <w:rPr>
                <w:b/>
                <w:bCs/>
                <w:i/>
                <w:iCs/>
                <w:color w:val="FFFFFF"/>
                <w:szCs w:val="22"/>
              </w:rPr>
            </w:pPr>
            <w:r w:rsidRPr="00C22B14">
              <w:rPr>
                <w:b/>
                <w:bCs/>
                <w:color w:val="FFFFFF" w:themeColor="background1"/>
                <w:sz w:val="24"/>
                <w:szCs w:val="24"/>
              </w:rPr>
              <w:t>Payment Times</w:t>
            </w:r>
          </w:p>
        </w:tc>
      </w:tr>
      <w:tr w:rsidR="00655286" w:rsidRPr="004E3304" w14:paraId="3B30FA1A" w14:textId="77777777" w:rsidTr="0050342D">
        <w:trPr>
          <w:cantSplit/>
          <w:trHeight w:val="155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8F3147" w14:textId="77777777" w:rsidR="00655286" w:rsidRPr="004E3304" w:rsidRDefault="00655286" w:rsidP="0050342D">
            <w:pPr>
              <w:rPr>
                <w:szCs w:val="22"/>
              </w:rPr>
            </w:pPr>
            <w:r w:rsidRPr="004E3304">
              <w:rPr>
                <w:szCs w:val="22"/>
              </w:rPr>
              <w:t>Average payment time</w:t>
            </w:r>
          </w:p>
        </w:tc>
        <w:tc>
          <w:tcPr>
            <w:tcW w:w="1644" w:type="dxa"/>
            <w:tcBorders>
              <w:top w:val="nil"/>
              <w:left w:val="nil"/>
              <w:bottom w:val="single" w:sz="4" w:space="0" w:color="auto"/>
              <w:right w:val="single" w:sz="4" w:space="0" w:color="auto"/>
            </w:tcBorders>
            <w:shd w:val="clear" w:color="auto" w:fill="auto"/>
            <w:vAlign w:val="center"/>
            <w:hideMark/>
          </w:tcPr>
          <w:p w14:paraId="5B625AE4"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745BE75" w14:textId="6E62410B"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28456C4F" w14:textId="77777777" w:rsidR="009279AF" w:rsidRPr="004E3304" w:rsidRDefault="00655286" w:rsidP="004E3304">
            <w:pPr>
              <w:rPr>
                <w:color w:val="000000"/>
                <w:szCs w:val="22"/>
              </w:rPr>
            </w:pPr>
            <w:r w:rsidRPr="004E3304">
              <w:rPr>
                <w:color w:val="000000"/>
                <w:szCs w:val="22"/>
              </w:rPr>
              <w:t xml:space="preserve">The statistical mean of all payment times in the </w:t>
            </w:r>
            <w:r w:rsidR="00761A6E" w:rsidRPr="004E3304">
              <w:rPr>
                <w:b/>
                <w:color w:val="000000"/>
                <w:szCs w:val="22"/>
              </w:rPr>
              <w:t>SBTCP Dataset</w:t>
            </w:r>
            <w:r w:rsidRPr="004E3304">
              <w:rPr>
                <w:color w:val="000000"/>
                <w:szCs w:val="22"/>
              </w:rPr>
              <w:t>.</w:t>
            </w:r>
          </w:p>
          <w:p w14:paraId="79A88257" w14:textId="53DB89E1" w:rsidR="00655286" w:rsidRPr="004E3304" w:rsidRDefault="00655286" w:rsidP="004E3304">
            <w:pPr>
              <w:rPr>
                <w:color w:val="000000"/>
                <w:szCs w:val="22"/>
              </w:rPr>
            </w:pPr>
            <w:r w:rsidRPr="004E3304">
              <w:rPr>
                <w:color w:val="000000"/>
                <w:szCs w:val="22"/>
              </w:rPr>
              <w:t>This is the (arithmetic) average payment time of all payments made under a trade credit arrangement to small business suppliers by the reporting entity and all its controlled entities (considered as a group).</w:t>
            </w:r>
          </w:p>
        </w:tc>
      </w:tr>
      <w:tr w:rsidR="00655286" w:rsidRPr="004E3304" w14:paraId="7896DFC4" w14:textId="77777777" w:rsidTr="0050342D">
        <w:trPr>
          <w:cantSplit/>
          <w:trHeight w:val="14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0F79B8C" w14:textId="77777777" w:rsidR="00655286" w:rsidRPr="004E3304" w:rsidRDefault="00655286" w:rsidP="0050342D">
            <w:pPr>
              <w:rPr>
                <w:szCs w:val="22"/>
              </w:rPr>
            </w:pPr>
            <w:r w:rsidRPr="004E3304">
              <w:rPr>
                <w:szCs w:val="22"/>
              </w:rPr>
              <w:t>Median payment time</w:t>
            </w:r>
          </w:p>
        </w:tc>
        <w:tc>
          <w:tcPr>
            <w:tcW w:w="1644" w:type="dxa"/>
            <w:tcBorders>
              <w:top w:val="nil"/>
              <w:left w:val="nil"/>
              <w:bottom w:val="single" w:sz="4" w:space="0" w:color="auto"/>
              <w:right w:val="single" w:sz="4" w:space="0" w:color="auto"/>
            </w:tcBorders>
            <w:shd w:val="clear" w:color="auto" w:fill="auto"/>
            <w:vAlign w:val="center"/>
            <w:hideMark/>
          </w:tcPr>
          <w:p w14:paraId="16173D7A"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49E2F37" w14:textId="507A69DB"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0D60BF5F" w14:textId="77777777" w:rsidR="009279AF" w:rsidRPr="004E3304" w:rsidRDefault="00655286" w:rsidP="004E3304">
            <w:pPr>
              <w:rPr>
                <w:color w:val="000000"/>
                <w:szCs w:val="22"/>
              </w:rPr>
            </w:pPr>
            <w:r w:rsidRPr="004E3304">
              <w:rPr>
                <w:color w:val="000000"/>
                <w:szCs w:val="22"/>
              </w:rPr>
              <w:t xml:space="preserve">The statistical median of all payment times in the </w:t>
            </w:r>
            <w:r w:rsidR="00761A6E" w:rsidRPr="004E3304">
              <w:rPr>
                <w:b/>
                <w:color w:val="000000"/>
                <w:szCs w:val="22"/>
              </w:rPr>
              <w:t>SBTCP Dataset</w:t>
            </w:r>
            <w:r w:rsidRPr="004E3304">
              <w:rPr>
                <w:color w:val="000000"/>
                <w:szCs w:val="22"/>
              </w:rPr>
              <w:t>.</w:t>
            </w:r>
          </w:p>
          <w:p w14:paraId="138605CF" w14:textId="0A58D7F0" w:rsidR="00655286" w:rsidRPr="004E3304" w:rsidRDefault="00655286" w:rsidP="004E3304">
            <w:pPr>
              <w:rPr>
                <w:color w:val="000000"/>
                <w:szCs w:val="22"/>
              </w:rPr>
            </w:pPr>
            <w:r w:rsidRPr="004E3304">
              <w:rPr>
                <w:color w:val="000000"/>
                <w:szCs w:val="22"/>
              </w:rPr>
              <w:t>This is the median payment time of all payments made under a trade credit arrangement to small business suppliers by the reporting entity and all its controlled entities (considered as a group).</w:t>
            </w:r>
          </w:p>
        </w:tc>
      </w:tr>
      <w:tr w:rsidR="00655286" w:rsidRPr="004E3304" w14:paraId="448D211B" w14:textId="77777777" w:rsidTr="0050342D">
        <w:trPr>
          <w:cantSplit/>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135D89" w14:textId="77777777" w:rsidR="00655286" w:rsidRPr="004E3304" w:rsidRDefault="00655286" w:rsidP="0050342D">
            <w:pPr>
              <w:rPr>
                <w:szCs w:val="22"/>
              </w:rPr>
            </w:pPr>
            <w:r w:rsidRPr="004E3304">
              <w:rPr>
                <w:szCs w:val="22"/>
              </w:rPr>
              <w:lastRenderedPageBreak/>
              <w:t>80th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34F82A03"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F707561" w14:textId="2B4EACDB"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65798288" w14:textId="77777777" w:rsidR="009279AF" w:rsidRPr="004E3304" w:rsidRDefault="00655286" w:rsidP="004E3304">
            <w:pPr>
              <w:rPr>
                <w:color w:val="000000"/>
                <w:szCs w:val="22"/>
              </w:rPr>
            </w:pPr>
            <w:r w:rsidRPr="004E3304">
              <w:rPr>
                <w:color w:val="000000"/>
                <w:szCs w:val="22"/>
              </w:rPr>
              <w:t xml:space="preserve">The 80th percentile value of all payment times in the </w:t>
            </w:r>
            <w:r w:rsidR="00761A6E" w:rsidRPr="004E3304">
              <w:rPr>
                <w:b/>
                <w:color w:val="000000"/>
                <w:szCs w:val="22"/>
              </w:rPr>
              <w:t>SBTCP Dataset</w:t>
            </w:r>
            <w:r w:rsidRPr="004E3304">
              <w:rPr>
                <w:color w:val="000000"/>
                <w:szCs w:val="22"/>
              </w:rPr>
              <w:t>.</w:t>
            </w:r>
          </w:p>
          <w:p w14:paraId="0853DE3D" w14:textId="539A674B" w:rsidR="00655286" w:rsidRPr="004E3304" w:rsidRDefault="00655286" w:rsidP="004E3304">
            <w:pPr>
              <w:rPr>
                <w:color w:val="000000"/>
                <w:szCs w:val="22"/>
              </w:rPr>
            </w:pPr>
            <w:r w:rsidRPr="004E3304">
              <w:rPr>
                <w:color w:val="000000"/>
                <w:szCs w:val="22"/>
              </w:rPr>
              <w:t>This is the number of days it took the reporting entity and all its controlled entities (considered as a group) to make 80% of the payments under a trade credit arrangement to small business suppliers.</w:t>
            </w:r>
          </w:p>
        </w:tc>
      </w:tr>
      <w:tr w:rsidR="00655286" w:rsidRPr="004E3304" w14:paraId="413060FA" w14:textId="77777777" w:rsidTr="0050342D">
        <w:trPr>
          <w:cantSplit/>
          <w:trHeight w:val="49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3BE02C" w14:textId="77777777" w:rsidR="00655286" w:rsidRPr="004E3304" w:rsidRDefault="00655286" w:rsidP="0050342D">
            <w:pPr>
              <w:rPr>
                <w:szCs w:val="22"/>
              </w:rPr>
            </w:pPr>
            <w:r w:rsidRPr="004E3304">
              <w:rPr>
                <w:szCs w:val="22"/>
              </w:rPr>
              <w:t>95th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1513F03F"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8F468E5" w14:textId="27167370"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4956697E" w14:textId="77777777" w:rsidR="009279AF" w:rsidRPr="004E3304" w:rsidRDefault="00655286" w:rsidP="004E3304">
            <w:pPr>
              <w:rPr>
                <w:color w:val="000000"/>
                <w:szCs w:val="22"/>
              </w:rPr>
            </w:pPr>
            <w:r w:rsidRPr="004E3304">
              <w:rPr>
                <w:color w:val="000000"/>
                <w:szCs w:val="22"/>
              </w:rPr>
              <w:t xml:space="preserve">The 95th percentile value of all payment times in the </w:t>
            </w:r>
            <w:r w:rsidR="00761A6E" w:rsidRPr="004E3304">
              <w:rPr>
                <w:b/>
                <w:color w:val="000000"/>
                <w:szCs w:val="22"/>
              </w:rPr>
              <w:t>SBTCP Dataset</w:t>
            </w:r>
            <w:r w:rsidRPr="004E3304">
              <w:rPr>
                <w:color w:val="000000"/>
                <w:szCs w:val="22"/>
              </w:rPr>
              <w:t>.</w:t>
            </w:r>
          </w:p>
          <w:p w14:paraId="1368E206" w14:textId="019196E4" w:rsidR="00655286" w:rsidRPr="004E3304" w:rsidRDefault="00655286" w:rsidP="004E3304">
            <w:pPr>
              <w:rPr>
                <w:color w:val="000000"/>
                <w:szCs w:val="22"/>
              </w:rPr>
            </w:pPr>
            <w:r w:rsidRPr="004E3304">
              <w:rPr>
                <w:color w:val="000000"/>
                <w:szCs w:val="22"/>
              </w:rPr>
              <w:t>This is the number of days it took the reporting entity and all its controlled entities (considered as a group) to make 95% of the payments under a trade credit arrangement to small business suppliers.</w:t>
            </w:r>
          </w:p>
        </w:tc>
      </w:tr>
      <w:tr w:rsidR="00C465FF" w:rsidRPr="004E3304" w14:paraId="79CBE21B" w14:textId="77777777" w:rsidTr="0050342D">
        <w:trPr>
          <w:cantSplit/>
          <w:trHeight w:val="84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8051CBA" w14:textId="77777777" w:rsidR="00C465FF" w:rsidRPr="004E3304" w:rsidRDefault="00C465FF" w:rsidP="0050342D">
            <w:pPr>
              <w:rPr>
                <w:szCs w:val="22"/>
              </w:rPr>
            </w:pPr>
            <w:r w:rsidRPr="004E3304">
              <w:rPr>
                <w:szCs w:val="22"/>
              </w:rPr>
              <w:t>Percentage of small business trade credit arrangements paid within payment terms</w:t>
            </w:r>
          </w:p>
        </w:tc>
        <w:tc>
          <w:tcPr>
            <w:tcW w:w="1644" w:type="dxa"/>
            <w:tcBorders>
              <w:top w:val="nil"/>
              <w:left w:val="nil"/>
              <w:bottom w:val="single" w:sz="4" w:space="0" w:color="auto"/>
              <w:right w:val="single" w:sz="4" w:space="0" w:color="auto"/>
            </w:tcBorders>
            <w:shd w:val="clear" w:color="auto" w:fill="auto"/>
            <w:vAlign w:val="center"/>
            <w:hideMark/>
          </w:tcPr>
          <w:p w14:paraId="772BF777" w14:textId="77777777" w:rsidR="00C465FF" w:rsidRPr="004E3304" w:rsidRDefault="00C465FF" w:rsidP="00C465FF">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6CC17FA5" w14:textId="66D22741" w:rsidR="00C465FF" w:rsidRPr="004E3304" w:rsidRDefault="00C465FF" w:rsidP="00C465FF">
            <w:pPr>
              <w:jc w:val="center"/>
              <w:rPr>
                <w:color w:val="000000"/>
                <w:szCs w:val="22"/>
              </w:rPr>
            </w:pPr>
            <w:r>
              <w:rPr>
                <w:color w:val="000000"/>
                <w:szCs w:val="22"/>
              </w:rPr>
              <w:t xml:space="preserve">Number </w:t>
            </w:r>
            <w:r>
              <w:rPr>
                <w:color w:val="000000"/>
                <w:szCs w:val="22"/>
              </w:rPr>
              <w:br/>
              <w:t>[</w:t>
            </w:r>
            <w:r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5A6E3916" w14:textId="5E74D781" w:rsidR="00C465FF" w:rsidRPr="009C5D55" w:rsidRDefault="00C465FF" w:rsidP="00C465FF">
            <w:pPr>
              <w:rPr>
                <w:bCs/>
                <w:color w:val="000000"/>
                <w:szCs w:val="22"/>
              </w:rPr>
            </w:pPr>
            <w:r>
              <w:rPr>
                <w:rFonts w:cs="Calibri"/>
                <w:color w:val="000000"/>
                <w:szCs w:val="22"/>
              </w:rPr>
              <w:t>(</w:t>
            </w:r>
            <w:r w:rsidR="001A365E">
              <w:rPr>
                <w:rFonts w:cs="Calibri"/>
                <w:color w:val="000000"/>
                <w:szCs w:val="22"/>
              </w:rPr>
              <w:t>(</w:t>
            </w:r>
            <w:r w:rsidRPr="007F504D">
              <w:rPr>
                <w:rFonts w:cs="Calibri"/>
                <w:color w:val="000000"/>
                <w:szCs w:val="22"/>
              </w:rPr>
              <w:t xml:space="preserve">Number of payments in </w:t>
            </w:r>
            <w:r w:rsidRPr="007F504D">
              <w:rPr>
                <w:rFonts w:cs="Calibri"/>
                <w:b/>
                <w:color w:val="000000"/>
                <w:szCs w:val="22"/>
              </w:rPr>
              <w:t>SBTCP Dataset</w:t>
            </w:r>
            <w:r w:rsidRPr="007F504D">
              <w:rPr>
                <w:rFonts w:cs="Calibri"/>
                <w:color w:val="000000"/>
                <w:szCs w:val="22"/>
              </w:rPr>
              <w:t xml:space="preserve"> where payment time ≤ payment term</w:t>
            </w:r>
            <w:r w:rsidR="001A365E">
              <w:rPr>
                <w:rFonts w:cs="Calibri"/>
                <w:color w:val="000000"/>
                <w:szCs w:val="22"/>
              </w:rPr>
              <w:t>)</w:t>
            </w:r>
            <w:r w:rsidRPr="007F504D">
              <w:rPr>
                <w:rFonts w:cs="Calibri"/>
                <w:color w:val="000000"/>
                <w:szCs w:val="22"/>
              </w:rPr>
              <w:t xml:space="preserve"> ÷ Number of payments in </w:t>
            </w:r>
            <w:r w:rsidRPr="007F504D">
              <w:rPr>
                <w:rFonts w:cs="Calibri"/>
                <w:b/>
                <w:color w:val="000000"/>
                <w:szCs w:val="22"/>
              </w:rPr>
              <w:t>SBTCP Dataset</w:t>
            </w:r>
            <w:r>
              <w:rPr>
                <w:rFonts w:cs="Calibri"/>
                <w:bCs/>
                <w:color w:val="000000"/>
                <w:szCs w:val="22"/>
              </w:rPr>
              <w:t>) x 100</w:t>
            </w:r>
          </w:p>
          <w:p w14:paraId="564AE10A" w14:textId="5190D955" w:rsidR="00C465FF" w:rsidRPr="004E3304" w:rsidRDefault="00C465FF" w:rsidP="00C465FF">
            <w:pPr>
              <w:rPr>
                <w:color w:val="000000"/>
                <w:szCs w:val="22"/>
              </w:rPr>
            </w:pPr>
            <w:r w:rsidRPr="007F504D">
              <w:rPr>
                <w:rFonts w:cs="Calibri"/>
                <w:color w:val="000000"/>
                <w:szCs w:val="22"/>
              </w:rPr>
              <w:t>This is the proportion of the number payments, made under a trade credit arrangement to small business suppliers by the reporting entity and all its controlled entities (considered as a group), where the payment time is less than or equal to the payment term (for that particular payment).</w:t>
            </w:r>
          </w:p>
        </w:tc>
      </w:tr>
      <w:tr w:rsidR="00C465FF" w:rsidRPr="004E3304" w14:paraId="7F234278" w14:textId="77777777" w:rsidTr="0050342D">
        <w:trPr>
          <w:cantSplit/>
          <w:trHeight w:val="169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AE29C2" w14:textId="77777777" w:rsidR="00C465FF" w:rsidRPr="004E3304" w:rsidRDefault="00C465FF" w:rsidP="0050342D">
            <w:pPr>
              <w:rPr>
                <w:szCs w:val="22"/>
              </w:rPr>
            </w:pPr>
            <w:r w:rsidRPr="004E3304">
              <w:rPr>
                <w:szCs w:val="22"/>
              </w:rPr>
              <w:t>Invoices paid within 30 days (%)</w:t>
            </w:r>
          </w:p>
        </w:tc>
        <w:tc>
          <w:tcPr>
            <w:tcW w:w="1644" w:type="dxa"/>
            <w:tcBorders>
              <w:top w:val="nil"/>
              <w:left w:val="nil"/>
              <w:bottom w:val="single" w:sz="4" w:space="0" w:color="auto"/>
              <w:right w:val="single" w:sz="4" w:space="0" w:color="auto"/>
            </w:tcBorders>
            <w:shd w:val="clear" w:color="auto" w:fill="auto"/>
            <w:vAlign w:val="center"/>
            <w:hideMark/>
          </w:tcPr>
          <w:p w14:paraId="3D84CC5F" w14:textId="77777777" w:rsidR="00C465FF" w:rsidRPr="004E3304" w:rsidRDefault="00C465FF" w:rsidP="00C465FF">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AA12AA2" w14:textId="4A2F0F4B" w:rsidR="00C465FF" w:rsidRPr="004E3304" w:rsidRDefault="00C465FF" w:rsidP="00C465FF">
            <w:pPr>
              <w:jc w:val="center"/>
              <w:rPr>
                <w:color w:val="000000"/>
                <w:szCs w:val="22"/>
              </w:rPr>
            </w:pPr>
            <w:r>
              <w:rPr>
                <w:color w:val="000000"/>
                <w:szCs w:val="22"/>
              </w:rPr>
              <w:t xml:space="preserve">Number </w:t>
            </w:r>
            <w:r>
              <w:rPr>
                <w:color w:val="000000"/>
                <w:szCs w:val="22"/>
              </w:rPr>
              <w:br/>
              <w:t>[</w:t>
            </w:r>
            <w:r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228A594D" w14:textId="16DB4119" w:rsidR="00C465FF" w:rsidRPr="007F504D" w:rsidRDefault="00C465FF" w:rsidP="00C465FF">
            <w:pPr>
              <w:rPr>
                <w:color w:val="000000"/>
                <w:szCs w:val="22"/>
              </w:rPr>
            </w:pPr>
            <w:r>
              <w:rPr>
                <w:rFonts w:cs="Calibri"/>
                <w:color w:val="000000"/>
                <w:szCs w:val="22"/>
              </w:rPr>
              <w:t>(</w:t>
            </w:r>
            <w:r w:rsidR="001A365E">
              <w:rPr>
                <w:rFonts w:cs="Calibri"/>
                <w:color w:val="000000"/>
                <w:szCs w:val="22"/>
              </w:rPr>
              <w:t>(</w:t>
            </w:r>
            <w:r>
              <w:rPr>
                <w:rFonts w:cs="Calibri"/>
                <w:color w:val="000000"/>
                <w:szCs w:val="22"/>
              </w:rPr>
              <w:t>Nu</w:t>
            </w:r>
            <w:r w:rsidRPr="007F504D">
              <w:rPr>
                <w:rFonts w:cs="Calibri"/>
                <w:color w:val="000000"/>
                <w:szCs w:val="22"/>
              </w:rPr>
              <w:t xml:space="preserve">mber of payments in </w:t>
            </w:r>
            <w:r w:rsidRPr="007F504D">
              <w:rPr>
                <w:rFonts w:cs="Calibri"/>
                <w:b/>
                <w:color w:val="000000"/>
                <w:szCs w:val="22"/>
              </w:rPr>
              <w:t>SBTCP Dataset</w:t>
            </w:r>
            <w:r w:rsidRPr="007F504D">
              <w:rPr>
                <w:rFonts w:cs="Calibri"/>
                <w:color w:val="000000"/>
                <w:szCs w:val="22"/>
              </w:rPr>
              <w:t xml:space="preserve"> where Payment Time ≤ 30 days</w:t>
            </w:r>
            <w:r w:rsidR="001A365E">
              <w:rPr>
                <w:rFonts w:cs="Calibri"/>
                <w:color w:val="000000"/>
                <w:szCs w:val="22"/>
              </w:rPr>
              <w:t>)</w:t>
            </w:r>
            <w:r w:rsidRPr="007F504D">
              <w:rPr>
                <w:rFonts w:cs="Calibri"/>
                <w:color w:val="000000"/>
                <w:szCs w:val="22"/>
              </w:rPr>
              <w:t xml:space="preserve"> ÷ Number of payments in </w:t>
            </w:r>
            <w:r w:rsidRPr="007F504D">
              <w:rPr>
                <w:rFonts w:cs="Calibri"/>
                <w:b/>
                <w:color w:val="000000"/>
                <w:szCs w:val="22"/>
              </w:rPr>
              <w:t>SBTCP Dataset</w:t>
            </w:r>
            <w:r>
              <w:rPr>
                <w:rFonts w:cs="Calibri"/>
                <w:bCs/>
                <w:color w:val="000000"/>
                <w:szCs w:val="22"/>
              </w:rPr>
              <w:t>) x 100</w:t>
            </w:r>
          </w:p>
          <w:p w14:paraId="03ED65B1" w14:textId="3090A5B5" w:rsidR="00C465FF" w:rsidRPr="004E3304" w:rsidRDefault="00C465FF" w:rsidP="00C465FF">
            <w:pPr>
              <w:rPr>
                <w:color w:val="000000"/>
                <w:szCs w:val="22"/>
              </w:rPr>
            </w:pPr>
            <w:r w:rsidRPr="007F504D">
              <w:rPr>
                <w:rFonts w:cs="Calibri"/>
                <w:color w:val="000000"/>
                <w:szCs w:val="22"/>
              </w:rPr>
              <w:t>This is the proportion of the number of payments, made under a trade credit arrangement to small business suppliers by the reporting entity and all its controlled entities (considered as a group), where the payment time is less than or equal to 30 days.</w:t>
            </w:r>
          </w:p>
        </w:tc>
      </w:tr>
      <w:tr w:rsidR="00C465FF" w:rsidRPr="004E3304" w14:paraId="3EA815A7" w14:textId="77777777" w:rsidTr="00EE1D33">
        <w:trPr>
          <w:cantSplit/>
          <w:trHeight w:val="106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B9F92C" w14:textId="77777777" w:rsidR="00C465FF" w:rsidRPr="004E3304" w:rsidRDefault="00C465FF" w:rsidP="0050342D">
            <w:pPr>
              <w:rPr>
                <w:szCs w:val="22"/>
              </w:rPr>
            </w:pPr>
            <w:r w:rsidRPr="004E3304">
              <w:rPr>
                <w:szCs w:val="22"/>
              </w:rPr>
              <w:lastRenderedPageBreak/>
              <w:t>Invoices paid in 31-60 days (%)</w:t>
            </w:r>
          </w:p>
        </w:tc>
        <w:tc>
          <w:tcPr>
            <w:tcW w:w="1644" w:type="dxa"/>
            <w:tcBorders>
              <w:top w:val="nil"/>
              <w:left w:val="nil"/>
              <w:bottom w:val="single" w:sz="4" w:space="0" w:color="auto"/>
              <w:right w:val="single" w:sz="4" w:space="0" w:color="auto"/>
            </w:tcBorders>
            <w:shd w:val="clear" w:color="auto" w:fill="auto"/>
            <w:vAlign w:val="center"/>
            <w:hideMark/>
          </w:tcPr>
          <w:p w14:paraId="2798BEF7" w14:textId="77777777" w:rsidR="00C465FF" w:rsidRPr="004E3304" w:rsidRDefault="00C465FF" w:rsidP="00C465FF">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9E2C321" w14:textId="322997B8" w:rsidR="00C465FF" w:rsidRPr="004E3304" w:rsidRDefault="00C465FF" w:rsidP="00C465FF">
            <w:pPr>
              <w:jc w:val="center"/>
              <w:rPr>
                <w:color w:val="000000"/>
                <w:szCs w:val="22"/>
              </w:rPr>
            </w:pPr>
            <w:r>
              <w:rPr>
                <w:color w:val="000000"/>
                <w:szCs w:val="22"/>
              </w:rPr>
              <w:t xml:space="preserve">Number </w:t>
            </w:r>
            <w:r>
              <w:rPr>
                <w:color w:val="000000"/>
                <w:szCs w:val="22"/>
              </w:rPr>
              <w:br/>
              <w:t>[</w:t>
            </w:r>
            <w:r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6AF3BE11" w14:textId="2DA429D7" w:rsidR="00C465FF" w:rsidRPr="007F504D" w:rsidRDefault="00C465FF" w:rsidP="00C465FF">
            <w:pPr>
              <w:rPr>
                <w:color w:val="000000"/>
                <w:szCs w:val="22"/>
              </w:rPr>
            </w:pPr>
            <w:r>
              <w:rPr>
                <w:rFonts w:cs="Calibri"/>
                <w:color w:val="000000"/>
                <w:szCs w:val="22"/>
              </w:rPr>
              <w:t>(</w:t>
            </w:r>
            <w:r w:rsidR="001A365E">
              <w:rPr>
                <w:rFonts w:cs="Calibri"/>
                <w:color w:val="000000"/>
                <w:szCs w:val="22"/>
              </w:rPr>
              <w:t>(</w:t>
            </w:r>
            <w:r>
              <w:rPr>
                <w:rFonts w:cs="Calibri"/>
                <w:color w:val="000000"/>
                <w:szCs w:val="22"/>
              </w:rPr>
              <w:t>N</w:t>
            </w:r>
            <w:r w:rsidRPr="007F504D">
              <w:rPr>
                <w:rFonts w:cs="Calibri"/>
                <w:color w:val="000000"/>
                <w:szCs w:val="22"/>
              </w:rPr>
              <w:t xml:space="preserve">umber of payments in </w:t>
            </w:r>
            <w:r w:rsidRPr="007F504D">
              <w:rPr>
                <w:rFonts w:cs="Calibri"/>
                <w:b/>
                <w:color w:val="000000"/>
                <w:szCs w:val="22"/>
              </w:rPr>
              <w:t>SBTCP Dataset</w:t>
            </w:r>
            <w:r w:rsidRPr="007F504D">
              <w:rPr>
                <w:rFonts w:cs="Calibri"/>
                <w:color w:val="000000"/>
                <w:szCs w:val="22"/>
              </w:rPr>
              <w:t xml:space="preserve"> where Payment Time &gt; 30 days and ≤ 60 days</w:t>
            </w:r>
            <w:r w:rsidR="001A365E">
              <w:rPr>
                <w:rFonts w:cs="Calibri"/>
                <w:color w:val="000000"/>
                <w:szCs w:val="22"/>
              </w:rPr>
              <w:t>)</w:t>
            </w:r>
            <w:r>
              <w:rPr>
                <w:rFonts w:cs="Calibri"/>
                <w:color w:val="000000"/>
                <w:szCs w:val="22"/>
              </w:rPr>
              <w:t xml:space="preserve"> </w:t>
            </w:r>
            <w:r w:rsidRPr="007F504D">
              <w:rPr>
                <w:rFonts w:cs="Calibri"/>
                <w:color w:val="000000"/>
                <w:szCs w:val="22"/>
              </w:rPr>
              <w:t xml:space="preserve">÷ Number of payments in </w:t>
            </w:r>
            <w:r w:rsidRPr="007F504D">
              <w:rPr>
                <w:rFonts w:cs="Calibri"/>
                <w:b/>
                <w:color w:val="000000"/>
                <w:szCs w:val="22"/>
              </w:rPr>
              <w:t>SBTCP Dataset</w:t>
            </w:r>
            <w:r>
              <w:rPr>
                <w:rFonts w:cs="Calibri"/>
                <w:bCs/>
                <w:color w:val="000000"/>
                <w:szCs w:val="22"/>
              </w:rPr>
              <w:t>) x 100</w:t>
            </w:r>
          </w:p>
          <w:p w14:paraId="7B6481B5" w14:textId="23CF73F6" w:rsidR="00C465FF" w:rsidRPr="004E3304" w:rsidRDefault="00C465FF" w:rsidP="00C465FF">
            <w:pPr>
              <w:rPr>
                <w:color w:val="000000"/>
                <w:szCs w:val="22"/>
              </w:rPr>
            </w:pPr>
            <w:r w:rsidRPr="007F504D">
              <w:rPr>
                <w:rFonts w:cs="Calibri"/>
                <w:color w:val="000000"/>
                <w:szCs w:val="22"/>
              </w:rPr>
              <w:t>This is the proportion of the number of payments, made under a trade credit arrangement to small business suppliers by the reporting entity and all its controlled entities (considered as a group), where the payment time is between 31 and 60 days.</w:t>
            </w:r>
          </w:p>
        </w:tc>
      </w:tr>
      <w:tr w:rsidR="00C465FF" w:rsidRPr="004E3304" w14:paraId="2907549D" w14:textId="77777777" w:rsidTr="00EE1D33">
        <w:trPr>
          <w:cantSplit/>
          <w:trHeight w:val="879"/>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53901E" w14:textId="77777777" w:rsidR="00C465FF" w:rsidRPr="004E3304" w:rsidRDefault="00C465FF" w:rsidP="0050342D">
            <w:pPr>
              <w:rPr>
                <w:szCs w:val="22"/>
              </w:rPr>
            </w:pPr>
            <w:r w:rsidRPr="004E3304">
              <w:rPr>
                <w:szCs w:val="22"/>
              </w:rPr>
              <w:t>Invoices paid over 60 days (%)</w:t>
            </w:r>
          </w:p>
        </w:tc>
        <w:tc>
          <w:tcPr>
            <w:tcW w:w="1644" w:type="dxa"/>
            <w:tcBorders>
              <w:top w:val="nil"/>
              <w:left w:val="nil"/>
              <w:bottom w:val="single" w:sz="4" w:space="0" w:color="auto"/>
              <w:right w:val="single" w:sz="4" w:space="0" w:color="auto"/>
            </w:tcBorders>
            <w:shd w:val="clear" w:color="auto" w:fill="auto"/>
            <w:vAlign w:val="center"/>
            <w:hideMark/>
          </w:tcPr>
          <w:p w14:paraId="0DCCB0AF" w14:textId="77777777" w:rsidR="00C465FF" w:rsidRPr="004E3304" w:rsidRDefault="00C465FF" w:rsidP="00C465FF">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00A2DEA1" w14:textId="38D2D851" w:rsidR="00C465FF" w:rsidRPr="004E3304" w:rsidRDefault="00C465FF" w:rsidP="00C465FF">
            <w:pPr>
              <w:jc w:val="center"/>
              <w:rPr>
                <w:color w:val="000000"/>
                <w:szCs w:val="22"/>
              </w:rPr>
            </w:pPr>
            <w:r>
              <w:rPr>
                <w:color w:val="000000"/>
                <w:szCs w:val="22"/>
              </w:rPr>
              <w:t xml:space="preserve">Number </w:t>
            </w:r>
            <w:r>
              <w:rPr>
                <w:color w:val="000000"/>
                <w:szCs w:val="22"/>
              </w:rPr>
              <w:br/>
              <w:t>[</w:t>
            </w:r>
            <w:r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6A96084B" w14:textId="6019C5D2" w:rsidR="00C465FF" w:rsidRPr="007F504D" w:rsidRDefault="00C465FF" w:rsidP="00C465FF">
            <w:pPr>
              <w:rPr>
                <w:color w:val="000000"/>
                <w:szCs w:val="22"/>
              </w:rPr>
            </w:pPr>
            <w:r>
              <w:rPr>
                <w:rFonts w:cs="Calibri"/>
                <w:color w:val="000000"/>
                <w:szCs w:val="22"/>
              </w:rPr>
              <w:t>(</w:t>
            </w:r>
            <w:r w:rsidR="001A365E">
              <w:rPr>
                <w:rFonts w:cs="Calibri"/>
                <w:color w:val="000000"/>
                <w:szCs w:val="22"/>
              </w:rPr>
              <w:t>(</w:t>
            </w:r>
            <w:r>
              <w:rPr>
                <w:rFonts w:cs="Calibri"/>
                <w:color w:val="000000"/>
                <w:szCs w:val="22"/>
              </w:rPr>
              <w:t>N</w:t>
            </w:r>
            <w:r w:rsidRPr="007F504D">
              <w:rPr>
                <w:rFonts w:cs="Calibri"/>
                <w:color w:val="000000"/>
                <w:szCs w:val="22"/>
              </w:rPr>
              <w:t xml:space="preserve">umber of payments in </w:t>
            </w:r>
            <w:r w:rsidRPr="007F504D">
              <w:rPr>
                <w:rFonts w:cs="Calibri"/>
                <w:b/>
                <w:color w:val="000000"/>
                <w:szCs w:val="22"/>
              </w:rPr>
              <w:t>SBTCP Dataset</w:t>
            </w:r>
            <w:r w:rsidRPr="007F504D">
              <w:rPr>
                <w:rFonts w:cs="Calibri"/>
                <w:color w:val="000000"/>
                <w:szCs w:val="22"/>
              </w:rPr>
              <w:t xml:space="preserve"> where Payment Time &gt; 60 days</w:t>
            </w:r>
            <w:r>
              <w:rPr>
                <w:rFonts w:cs="Calibri"/>
                <w:color w:val="000000"/>
                <w:szCs w:val="22"/>
              </w:rPr>
              <w:t xml:space="preserve"> </w:t>
            </w:r>
            <w:r w:rsidRPr="007F504D">
              <w:rPr>
                <w:rFonts w:cs="Calibri"/>
                <w:color w:val="000000"/>
                <w:szCs w:val="22"/>
              </w:rPr>
              <w:t xml:space="preserve">÷ Number of payments in </w:t>
            </w:r>
            <w:r w:rsidRPr="007F504D">
              <w:rPr>
                <w:rFonts w:cs="Calibri"/>
                <w:b/>
                <w:color w:val="000000"/>
                <w:szCs w:val="22"/>
              </w:rPr>
              <w:t>SBTCP Dataset</w:t>
            </w:r>
            <w:r w:rsidR="001A365E">
              <w:rPr>
                <w:rFonts w:cs="Calibri"/>
                <w:b/>
                <w:color w:val="000000"/>
                <w:szCs w:val="22"/>
              </w:rPr>
              <w:t>)</w:t>
            </w:r>
            <w:r>
              <w:rPr>
                <w:rFonts w:cs="Calibri"/>
                <w:bCs/>
                <w:color w:val="000000"/>
                <w:szCs w:val="22"/>
              </w:rPr>
              <w:t>) x 100</w:t>
            </w:r>
          </w:p>
          <w:p w14:paraId="03436AAF" w14:textId="18C91711" w:rsidR="00C465FF" w:rsidRPr="004E3304" w:rsidRDefault="00C465FF" w:rsidP="00C465FF">
            <w:pPr>
              <w:rPr>
                <w:color w:val="000000"/>
                <w:szCs w:val="22"/>
              </w:rPr>
            </w:pPr>
            <w:r w:rsidRPr="007F504D">
              <w:rPr>
                <w:rFonts w:cs="Calibri"/>
                <w:color w:val="000000"/>
                <w:szCs w:val="22"/>
              </w:rPr>
              <w:t>This is the proportion of the number of payments, made under a trade credit arrangement to small business suppliers by the reporting entity and all its controlled entities (considered as a group), where the payment time is more than 60 days.</w:t>
            </w:r>
          </w:p>
        </w:tc>
      </w:tr>
      <w:tr w:rsidR="006B6B3D" w:rsidRPr="004E3304" w14:paraId="7AF17421" w14:textId="77777777" w:rsidTr="001D5D6D">
        <w:trPr>
          <w:cantSplit/>
          <w:trHeight w:val="397"/>
        </w:trPr>
        <w:tc>
          <w:tcPr>
            <w:tcW w:w="14548" w:type="dxa"/>
            <w:gridSpan w:val="6"/>
            <w:tcBorders>
              <w:top w:val="nil"/>
              <w:left w:val="single" w:sz="4" w:space="0" w:color="auto"/>
              <w:bottom w:val="single" w:sz="4" w:space="0" w:color="auto"/>
              <w:right w:val="single" w:sz="4" w:space="0" w:color="auto"/>
            </w:tcBorders>
            <w:shd w:val="clear" w:color="auto" w:fill="00827F" w:themeFill="accent2"/>
            <w:vAlign w:val="center"/>
          </w:tcPr>
          <w:p w14:paraId="727E8642" w14:textId="5871BD48" w:rsidR="006B6B3D" w:rsidRPr="004E3304" w:rsidRDefault="009535AD" w:rsidP="00EE1D33">
            <w:pPr>
              <w:spacing w:before="80" w:after="80"/>
              <w:rPr>
                <w:color w:val="000000"/>
                <w:szCs w:val="22"/>
              </w:rPr>
            </w:pPr>
            <w:r>
              <w:rPr>
                <w:b/>
                <w:bCs/>
                <w:color w:val="FFFFFF" w:themeColor="background1"/>
                <w:sz w:val="24"/>
                <w:szCs w:val="24"/>
              </w:rPr>
              <w:t>Operating Segments</w:t>
            </w:r>
          </w:p>
        </w:tc>
      </w:tr>
      <w:tr w:rsidR="00C22B14" w:rsidRPr="004E3304" w14:paraId="6EBCDEE4" w14:textId="77777777" w:rsidTr="0073023A">
        <w:trPr>
          <w:cantSplit/>
          <w:trHeight w:val="283"/>
        </w:trPr>
        <w:tc>
          <w:tcPr>
            <w:tcW w:w="14548" w:type="dxa"/>
            <w:gridSpan w:val="6"/>
            <w:tcBorders>
              <w:top w:val="nil"/>
              <w:left w:val="single" w:sz="4" w:space="0" w:color="auto"/>
              <w:bottom w:val="single" w:sz="4" w:space="0" w:color="auto"/>
              <w:right w:val="single" w:sz="4" w:space="0" w:color="auto"/>
            </w:tcBorders>
            <w:shd w:val="clear" w:color="000000" w:fill="C5E2E2"/>
            <w:noWrap/>
            <w:vAlign w:val="center"/>
            <w:hideMark/>
          </w:tcPr>
          <w:p w14:paraId="33DF9EDA" w14:textId="3CDE5AEE" w:rsidR="00C22B14" w:rsidRPr="004E3304" w:rsidRDefault="00C22B14" w:rsidP="00EE1D33">
            <w:pPr>
              <w:spacing w:before="40" w:after="40"/>
              <w:rPr>
                <w:i/>
                <w:iCs/>
                <w:color w:val="000000"/>
                <w:szCs w:val="22"/>
              </w:rPr>
            </w:pPr>
            <w:r w:rsidRPr="004E3304">
              <w:rPr>
                <w:i/>
                <w:iCs/>
                <w:color w:val="000000"/>
                <w:szCs w:val="22"/>
              </w:rPr>
              <w:t xml:space="preserve">Operating </w:t>
            </w:r>
            <w:r w:rsidRPr="00536CD0">
              <w:rPr>
                <w:rFonts w:cs="Calibri"/>
                <w:i/>
                <w:color w:val="000000"/>
                <w:szCs w:val="22"/>
              </w:rPr>
              <w:t>Segment</w:t>
            </w:r>
            <w:r w:rsidRPr="004E3304">
              <w:rPr>
                <w:i/>
                <w:iCs/>
                <w:color w:val="000000"/>
                <w:szCs w:val="22"/>
              </w:rPr>
              <w:t xml:space="preserve"> 1</w:t>
            </w:r>
          </w:p>
        </w:tc>
      </w:tr>
      <w:tr w:rsidR="00655286" w:rsidRPr="004E3304" w14:paraId="346E79C1" w14:textId="77777777" w:rsidTr="00EE1D33">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EBFB9A7" w14:textId="77777777" w:rsidR="00655286" w:rsidRPr="004E3304" w:rsidRDefault="00655286" w:rsidP="0050342D">
            <w:pPr>
              <w:rPr>
                <w:szCs w:val="22"/>
              </w:rPr>
            </w:pPr>
            <w:r w:rsidRPr="004E3304">
              <w:rPr>
                <w:szCs w:val="22"/>
              </w:rPr>
              <w:t>Operating Segment Name</w:t>
            </w:r>
          </w:p>
        </w:tc>
        <w:tc>
          <w:tcPr>
            <w:tcW w:w="1644" w:type="dxa"/>
            <w:tcBorders>
              <w:top w:val="nil"/>
              <w:left w:val="nil"/>
              <w:bottom w:val="single" w:sz="4" w:space="0" w:color="auto"/>
              <w:right w:val="single" w:sz="4" w:space="0" w:color="auto"/>
            </w:tcBorders>
            <w:shd w:val="clear" w:color="auto" w:fill="auto"/>
            <w:vAlign w:val="center"/>
            <w:hideMark/>
          </w:tcPr>
          <w:p w14:paraId="7C421A00"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0EEC6624" w14:textId="77777777" w:rsidR="00655286" w:rsidRPr="004E3304" w:rsidRDefault="00655286" w:rsidP="003A332A">
            <w:pPr>
              <w:jc w:val="center"/>
              <w:rPr>
                <w:color w:val="000000"/>
                <w:szCs w:val="22"/>
              </w:rPr>
            </w:pPr>
            <w:r w:rsidRPr="004E3304">
              <w:rPr>
                <w:color w:val="000000"/>
                <w:szCs w:val="22"/>
              </w:rPr>
              <w:t>Text</w:t>
            </w:r>
          </w:p>
        </w:tc>
        <w:tc>
          <w:tcPr>
            <w:tcW w:w="8430" w:type="dxa"/>
            <w:gridSpan w:val="2"/>
            <w:tcBorders>
              <w:top w:val="nil"/>
              <w:left w:val="nil"/>
              <w:bottom w:val="single" w:sz="4" w:space="0" w:color="auto"/>
              <w:right w:val="single" w:sz="4" w:space="0" w:color="auto"/>
            </w:tcBorders>
            <w:shd w:val="clear" w:color="auto" w:fill="auto"/>
            <w:vAlign w:val="center"/>
            <w:hideMark/>
          </w:tcPr>
          <w:p w14:paraId="1E173B89" w14:textId="77777777" w:rsidR="00655286" w:rsidRPr="004E3304" w:rsidRDefault="00655286" w:rsidP="004E3304">
            <w:pPr>
              <w:rPr>
                <w:color w:val="000000"/>
                <w:szCs w:val="22"/>
              </w:rPr>
            </w:pPr>
            <w:r w:rsidRPr="004E3304">
              <w:rPr>
                <w:color w:val="000000"/>
                <w:szCs w:val="22"/>
              </w:rPr>
              <w:t>Name of the Operating Segment, as reflected in the reporting entity's consolidated financial reports.</w:t>
            </w:r>
          </w:p>
        </w:tc>
      </w:tr>
      <w:tr w:rsidR="00655286" w:rsidRPr="004E3304" w14:paraId="6A816E06" w14:textId="77777777" w:rsidTr="00EE1D33">
        <w:trPr>
          <w:cantSplit/>
          <w:trHeight w:val="879"/>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D41A53A" w14:textId="3460621E" w:rsidR="00655286" w:rsidRPr="004E3304" w:rsidRDefault="00A711C9" w:rsidP="0050342D">
            <w:pPr>
              <w:rPr>
                <w:szCs w:val="22"/>
              </w:rPr>
            </w:pPr>
            <w:r>
              <w:rPr>
                <w:szCs w:val="22"/>
              </w:rPr>
              <w:t xml:space="preserve">Operating Segment - </w:t>
            </w:r>
            <w:r w:rsidR="00655286" w:rsidRPr="004E3304">
              <w:rPr>
                <w:szCs w:val="22"/>
              </w:rPr>
              <w:t>Most common payment term (statistical mode)</w:t>
            </w:r>
          </w:p>
        </w:tc>
        <w:tc>
          <w:tcPr>
            <w:tcW w:w="1644" w:type="dxa"/>
            <w:tcBorders>
              <w:top w:val="nil"/>
              <w:left w:val="nil"/>
              <w:bottom w:val="single" w:sz="4" w:space="0" w:color="auto"/>
              <w:right w:val="single" w:sz="4" w:space="0" w:color="auto"/>
            </w:tcBorders>
            <w:shd w:val="clear" w:color="auto" w:fill="auto"/>
            <w:vAlign w:val="center"/>
            <w:hideMark/>
          </w:tcPr>
          <w:p w14:paraId="2A6C59D2"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9BE862A" w14:textId="160D623E"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5CAD4700" w14:textId="77777777" w:rsidR="00D32815" w:rsidRPr="004E3304" w:rsidRDefault="00655286" w:rsidP="004E3304">
            <w:pPr>
              <w:rPr>
                <w:color w:val="000000"/>
                <w:szCs w:val="22"/>
              </w:rPr>
            </w:pPr>
            <w:r w:rsidRPr="004E3304">
              <w:rPr>
                <w:color w:val="000000"/>
                <w:szCs w:val="22"/>
              </w:rPr>
              <w:t xml:space="preserve">The statistical mode of all payment terms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495657" w:rsidRPr="004E3304">
              <w:rPr>
                <w:color w:val="000000"/>
                <w:szCs w:val="22"/>
                <w:u w:val="single"/>
              </w:rPr>
              <w:t>segment</w:t>
            </w:r>
            <w:r w:rsidRPr="004E3304">
              <w:rPr>
                <w:color w:val="000000"/>
                <w:szCs w:val="22"/>
              </w:rPr>
              <w:t>.</w:t>
            </w:r>
            <w:r w:rsidRPr="004E3304">
              <w:rPr>
                <w:color w:val="000000"/>
                <w:szCs w:val="22"/>
              </w:rPr>
              <w:br w:type="page"/>
            </w:r>
            <w:r w:rsidRPr="004E3304">
              <w:rPr>
                <w:color w:val="000000"/>
                <w:szCs w:val="22"/>
              </w:rPr>
              <w:br w:type="page"/>
            </w:r>
          </w:p>
          <w:p w14:paraId="3D2DA790" w14:textId="7E89B35F" w:rsidR="00655286" w:rsidRPr="004E3304" w:rsidRDefault="00655286" w:rsidP="004E3304">
            <w:pPr>
              <w:rPr>
                <w:color w:val="000000"/>
                <w:szCs w:val="22"/>
              </w:rPr>
            </w:pPr>
            <w:r w:rsidRPr="004E3304">
              <w:rPr>
                <w:color w:val="000000"/>
                <w:szCs w:val="22"/>
              </w:rPr>
              <w:t>This is the most common payment term of all payments that have been made under a trade credit arrangement to small business suppliers and allocated to the relevant operating segment for financial reporting purposes.</w:t>
            </w:r>
          </w:p>
        </w:tc>
      </w:tr>
      <w:tr w:rsidR="00655286" w:rsidRPr="004E3304" w14:paraId="7046130A"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66DD49" w14:textId="1E71E072" w:rsidR="00655286" w:rsidRPr="004E3304" w:rsidRDefault="00A711C9" w:rsidP="0050342D">
            <w:pPr>
              <w:rPr>
                <w:szCs w:val="22"/>
              </w:rPr>
            </w:pPr>
            <w:r>
              <w:rPr>
                <w:szCs w:val="22"/>
              </w:rPr>
              <w:lastRenderedPageBreak/>
              <w:t xml:space="preserve">Operating Segment - </w:t>
            </w:r>
            <w:r w:rsidR="00655286" w:rsidRPr="004E3304">
              <w:rPr>
                <w:szCs w:val="22"/>
              </w:rPr>
              <w:t>Average payment time</w:t>
            </w:r>
          </w:p>
        </w:tc>
        <w:tc>
          <w:tcPr>
            <w:tcW w:w="1644" w:type="dxa"/>
            <w:tcBorders>
              <w:top w:val="nil"/>
              <w:left w:val="nil"/>
              <w:bottom w:val="single" w:sz="4" w:space="0" w:color="auto"/>
              <w:right w:val="single" w:sz="4" w:space="0" w:color="auto"/>
            </w:tcBorders>
            <w:shd w:val="clear" w:color="auto" w:fill="auto"/>
            <w:vAlign w:val="center"/>
            <w:hideMark/>
          </w:tcPr>
          <w:p w14:paraId="3F43EBB9"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BB6E683" w14:textId="04FBF0CA"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43A53545" w14:textId="77777777" w:rsidR="009279AF" w:rsidRPr="004E3304" w:rsidRDefault="00655286" w:rsidP="004E3304">
            <w:pPr>
              <w:rPr>
                <w:color w:val="000000"/>
                <w:szCs w:val="22"/>
              </w:rPr>
            </w:pPr>
            <w:r w:rsidRPr="004E3304">
              <w:rPr>
                <w:color w:val="000000"/>
                <w:szCs w:val="22"/>
              </w:rPr>
              <w:t xml:space="preserve">The statistical mean of the payment times in the </w:t>
            </w:r>
            <w:r w:rsidR="00761A6E" w:rsidRPr="004E3304">
              <w:rPr>
                <w:b/>
                <w:color w:val="000000"/>
                <w:szCs w:val="22"/>
              </w:rPr>
              <w:t>SBTCP Dataset</w:t>
            </w:r>
            <w:r w:rsidRPr="004E3304">
              <w:rPr>
                <w:color w:val="000000"/>
                <w:szCs w:val="22"/>
              </w:rPr>
              <w:t xml:space="preserve"> </w:t>
            </w:r>
            <w:r w:rsidRPr="004E3304">
              <w:rPr>
                <w:color w:val="000000"/>
                <w:szCs w:val="22"/>
                <w:u w:val="single"/>
              </w:rPr>
              <w:t xml:space="preserve">that relate to the relevant operating </w:t>
            </w:r>
            <w:r w:rsidR="00495657" w:rsidRPr="004E3304">
              <w:rPr>
                <w:color w:val="000000"/>
                <w:szCs w:val="22"/>
                <w:u w:val="single"/>
              </w:rPr>
              <w:t>segment</w:t>
            </w:r>
            <w:r w:rsidRPr="004E3304">
              <w:rPr>
                <w:color w:val="000000"/>
                <w:szCs w:val="22"/>
              </w:rPr>
              <w:t>.</w:t>
            </w:r>
          </w:p>
          <w:p w14:paraId="22B5F2F4" w14:textId="0966B11C" w:rsidR="00655286" w:rsidRPr="004E3304" w:rsidRDefault="00655286" w:rsidP="004E3304">
            <w:pPr>
              <w:rPr>
                <w:color w:val="000000"/>
                <w:szCs w:val="22"/>
              </w:rPr>
            </w:pPr>
            <w:r w:rsidRPr="004E3304">
              <w:rPr>
                <w:color w:val="000000"/>
                <w:szCs w:val="22"/>
              </w:rPr>
              <w:t>This is the (arithmetic) average payment time of all payments that have been made under a trade credit arrangement to small business suppliers and allocated to the relevant operating segment for financial reporting purposes.</w:t>
            </w:r>
          </w:p>
        </w:tc>
      </w:tr>
      <w:tr w:rsidR="00655286" w:rsidRPr="004E3304" w14:paraId="66DC3741"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B555DEB" w14:textId="45D3B3AE" w:rsidR="00655286" w:rsidRPr="004E3304" w:rsidRDefault="00A711C9" w:rsidP="0050342D">
            <w:pPr>
              <w:rPr>
                <w:szCs w:val="22"/>
              </w:rPr>
            </w:pPr>
            <w:r>
              <w:rPr>
                <w:szCs w:val="22"/>
              </w:rPr>
              <w:t xml:space="preserve">Operating Segment - </w:t>
            </w:r>
            <w:r w:rsidR="00655286" w:rsidRPr="004E3304">
              <w:rPr>
                <w:szCs w:val="22"/>
              </w:rPr>
              <w:t>Median payment time</w:t>
            </w:r>
          </w:p>
        </w:tc>
        <w:tc>
          <w:tcPr>
            <w:tcW w:w="1644" w:type="dxa"/>
            <w:tcBorders>
              <w:top w:val="nil"/>
              <w:left w:val="nil"/>
              <w:bottom w:val="single" w:sz="4" w:space="0" w:color="auto"/>
              <w:right w:val="single" w:sz="4" w:space="0" w:color="auto"/>
            </w:tcBorders>
            <w:shd w:val="clear" w:color="auto" w:fill="auto"/>
            <w:vAlign w:val="center"/>
            <w:hideMark/>
          </w:tcPr>
          <w:p w14:paraId="2500E0CE"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DBD0FE9" w14:textId="5400F872"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04685963" w14:textId="77777777" w:rsidR="009279AF" w:rsidRPr="004E3304" w:rsidRDefault="00655286" w:rsidP="004E3304">
            <w:pPr>
              <w:rPr>
                <w:color w:val="000000"/>
                <w:szCs w:val="22"/>
              </w:rPr>
            </w:pPr>
            <w:r w:rsidRPr="004E3304">
              <w:rPr>
                <w:color w:val="000000"/>
                <w:szCs w:val="22"/>
              </w:rPr>
              <w:t xml:space="preserve">The statistical median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495657" w:rsidRPr="004E3304">
              <w:rPr>
                <w:color w:val="000000"/>
                <w:szCs w:val="22"/>
                <w:u w:val="single"/>
              </w:rPr>
              <w:t>segment</w:t>
            </w:r>
            <w:r w:rsidRPr="004E3304">
              <w:rPr>
                <w:color w:val="000000"/>
                <w:szCs w:val="22"/>
              </w:rPr>
              <w:t>.</w:t>
            </w:r>
          </w:p>
          <w:p w14:paraId="491825A7" w14:textId="33F97774" w:rsidR="00655286" w:rsidRPr="004E3304" w:rsidRDefault="00655286" w:rsidP="004E3304">
            <w:pPr>
              <w:rPr>
                <w:color w:val="000000"/>
                <w:szCs w:val="22"/>
              </w:rPr>
            </w:pPr>
            <w:r w:rsidRPr="004E3304">
              <w:rPr>
                <w:color w:val="000000"/>
                <w:szCs w:val="22"/>
              </w:rPr>
              <w:t>This is the median payment time of all payments that have been made under a trade credit arrangement to small business suppliers and allocated to the relevant operating segment for financial reporting purposes.</w:t>
            </w:r>
          </w:p>
        </w:tc>
      </w:tr>
      <w:tr w:rsidR="00655286" w:rsidRPr="004E3304" w14:paraId="7CD4A586" w14:textId="77777777" w:rsidTr="00EE1D33">
        <w:trPr>
          <w:cantSplit/>
          <w:trHeight w:val="158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40A0C4" w14:textId="65A0FC71" w:rsidR="00655286" w:rsidRPr="004E3304" w:rsidRDefault="00A711C9" w:rsidP="0050342D">
            <w:pPr>
              <w:rPr>
                <w:szCs w:val="22"/>
              </w:rPr>
            </w:pPr>
            <w:r>
              <w:rPr>
                <w:szCs w:val="22"/>
              </w:rPr>
              <w:t xml:space="preserve">Operating Segment - </w:t>
            </w:r>
            <w:r w:rsidR="00655286" w:rsidRPr="004E3304">
              <w:rPr>
                <w:szCs w:val="22"/>
              </w:rPr>
              <w:t>80th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2F64451D"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4BC2F12" w14:textId="1E364D27"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7150E422" w14:textId="77777777" w:rsidR="009279AF" w:rsidRPr="004E3304" w:rsidRDefault="00655286" w:rsidP="004E3304">
            <w:pPr>
              <w:rPr>
                <w:color w:val="000000"/>
                <w:szCs w:val="22"/>
              </w:rPr>
            </w:pPr>
            <w:r w:rsidRPr="004E3304">
              <w:rPr>
                <w:color w:val="000000"/>
                <w:szCs w:val="22"/>
              </w:rPr>
              <w:t xml:space="preserve">The 80th percentile value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495657" w:rsidRPr="004E3304">
              <w:rPr>
                <w:color w:val="000000"/>
                <w:szCs w:val="22"/>
                <w:u w:val="single"/>
              </w:rPr>
              <w:t>segment</w:t>
            </w:r>
            <w:r w:rsidRPr="004E3304">
              <w:rPr>
                <w:color w:val="000000"/>
                <w:szCs w:val="22"/>
              </w:rPr>
              <w:t>.</w:t>
            </w:r>
          </w:p>
          <w:p w14:paraId="32668E98" w14:textId="3239DFF1" w:rsidR="00655286" w:rsidRPr="004E3304" w:rsidRDefault="00655286" w:rsidP="004E3304">
            <w:pPr>
              <w:rPr>
                <w:color w:val="000000"/>
                <w:szCs w:val="22"/>
              </w:rPr>
            </w:pPr>
            <w:r w:rsidRPr="004E3304">
              <w:rPr>
                <w:color w:val="000000"/>
                <w:szCs w:val="22"/>
              </w:rPr>
              <w:t>This is the number of days to make 80% of the payments that have been made under a trade credit arrangement to small business suppliers and allocated to the relevant operating segment for financial reporting purposes.</w:t>
            </w:r>
          </w:p>
        </w:tc>
      </w:tr>
      <w:tr w:rsidR="00655286" w:rsidRPr="004E3304" w14:paraId="6A0E795D" w14:textId="77777777" w:rsidTr="00EE1D33">
        <w:trPr>
          <w:cantSplit/>
          <w:trHeight w:val="158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DEF314" w14:textId="6C0159E8" w:rsidR="00655286" w:rsidRPr="004E3304" w:rsidRDefault="00A711C9" w:rsidP="0050342D">
            <w:pPr>
              <w:rPr>
                <w:szCs w:val="22"/>
              </w:rPr>
            </w:pPr>
            <w:r>
              <w:rPr>
                <w:szCs w:val="22"/>
              </w:rPr>
              <w:t xml:space="preserve">Operating Segment - </w:t>
            </w:r>
            <w:r w:rsidR="00655286" w:rsidRPr="004E3304">
              <w:rPr>
                <w:szCs w:val="22"/>
              </w:rPr>
              <w:t>95th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7820013B"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EDC32C2" w14:textId="76DC7EA2"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6C301FEF" w14:textId="77777777" w:rsidR="009279AF" w:rsidRPr="004E3304" w:rsidRDefault="00655286" w:rsidP="004E3304">
            <w:pPr>
              <w:rPr>
                <w:color w:val="000000"/>
                <w:szCs w:val="22"/>
              </w:rPr>
            </w:pPr>
            <w:r w:rsidRPr="004E3304">
              <w:rPr>
                <w:color w:val="000000"/>
                <w:szCs w:val="22"/>
              </w:rPr>
              <w:t xml:space="preserve">The 95th percentile value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495657" w:rsidRPr="004E3304">
              <w:rPr>
                <w:color w:val="000000"/>
                <w:szCs w:val="22"/>
                <w:u w:val="single"/>
              </w:rPr>
              <w:t>segment</w:t>
            </w:r>
            <w:r w:rsidRPr="004E3304">
              <w:rPr>
                <w:color w:val="000000"/>
                <w:szCs w:val="22"/>
              </w:rPr>
              <w:t>.</w:t>
            </w:r>
          </w:p>
          <w:p w14:paraId="60944645" w14:textId="474CE669" w:rsidR="00655286" w:rsidRPr="004E3304" w:rsidRDefault="00655286" w:rsidP="004E3304">
            <w:pPr>
              <w:rPr>
                <w:color w:val="000000"/>
                <w:szCs w:val="22"/>
              </w:rPr>
            </w:pPr>
            <w:r w:rsidRPr="004E3304">
              <w:rPr>
                <w:color w:val="000000"/>
                <w:szCs w:val="22"/>
              </w:rPr>
              <w:t>This is the number of days to make 95% of the payments that have been made under a trade credit arrangement to small business suppliers and allocated to the relevant operating segment for financial reporting purposes.</w:t>
            </w:r>
          </w:p>
        </w:tc>
      </w:tr>
      <w:tr w:rsidR="00655286" w:rsidRPr="004E3304" w14:paraId="627850E6" w14:textId="77777777" w:rsidTr="00EE1D33">
        <w:trPr>
          <w:cantSplit/>
          <w:trHeight w:val="136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6DE183" w14:textId="61F6CF04" w:rsidR="00A711C9" w:rsidRDefault="00A711C9" w:rsidP="0050342D">
            <w:pPr>
              <w:rPr>
                <w:szCs w:val="22"/>
              </w:rPr>
            </w:pPr>
            <w:bookmarkStart w:id="8" w:name="tempbookmark" w:colFirst="0" w:colLast="0"/>
            <w:r>
              <w:rPr>
                <w:szCs w:val="22"/>
              </w:rPr>
              <w:lastRenderedPageBreak/>
              <w:t xml:space="preserve">Operating Segment – </w:t>
            </w:r>
          </w:p>
          <w:p w14:paraId="4852DED8" w14:textId="2831B3AE" w:rsidR="00655286" w:rsidRPr="004E3304" w:rsidRDefault="00655286" w:rsidP="0050342D">
            <w:pPr>
              <w:rPr>
                <w:szCs w:val="22"/>
              </w:rPr>
            </w:pPr>
            <w:r w:rsidRPr="004E3304">
              <w:rPr>
                <w:szCs w:val="22"/>
              </w:rPr>
              <w:t>Percentage of small business trade credit arrangements paid within payment terms</w:t>
            </w:r>
          </w:p>
        </w:tc>
        <w:tc>
          <w:tcPr>
            <w:tcW w:w="1644" w:type="dxa"/>
            <w:tcBorders>
              <w:top w:val="nil"/>
              <w:left w:val="nil"/>
              <w:bottom w:val="single" w:sz="4" w:space="0" w:color="auto"/>
              <w:right w:val="single" w:sz="4" w:space="0" w:color="auto"/>
            </w:tcBorders>
            <w:shd w:val="clear" w:color="auto" w:fill="auto"/>
            <w:vAlign w:val="center"/>
            <w:hideMark/>
          </w:tcPr>
          <w:p w14:paraId="2E3BDA30"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492E357C" w14:textId="1BF59E88"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70C47025" w14:textId="1FF7643A" w:rsidR="00495657" w:rsidRPr="004E3304" w:rsidRDefault="00655286" w:rsidP="004E3304">
            <w:pPr>
              <w:rPr>
                <w:color w:val="000000"/>
                <w:szCs w:val="22"/>
              </w:rPr>
            </w:pPr>
            <w:r w:rsidRPr="004E3304">
              <w:rPr>
                <w:color w:val="000000"/>
                <w:szCs w:val="22"/>
              </w:rPr>
              <w:t>(</w:t>
            </w:r>
            <w:r w:rsidR="001A365E">
              <w:rPr>
                <w:color w:val="000000"/>
                <w:szCs w:val="22"/>
              </w:rPr>
              <w:t>(</w:t>
            </w:r>
            <w:r w:rsidRPr="004E3304">
              <w:rPr>
                <w:color w:val="000000"/>
                <w:szCs w:val="22"/>
              </w:rPr>
              <w:t xml:space="preserve">Number of payments in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F345E3" w:rsidRPr="004E3304">
              <w:rPr>
                <w:color w:val="000000"/>
                <w:szCs w:val="22"/>
                <w:u w:val="single"/>
              </w:rPr>
              <w:t>segment</w:t>
            </w:r>
            <w:r w:rsidRPr="004E3304">
              <w:rPr>
                <w:color w:val="000000"/>
                <w:szCs w:val="22"/>
              </w:rPr>
              <w:t xml:space="preserve"> where payment time ≤ payment term</w:t>
            </w:r>
            <w:r w:rsidR="001A365E">
              <w:rPr>
                <w:color w:val="000000"/>
                <w:szCs w:val="22"/>
              </w:rPr>
              <w:t>)</w:t>
            </w:r>
            <w:r w:rsidRPr="004E3304">
              <w:rPr>
                <w:color w:val="000000"/>
                <w:szCs w:val="22"/>
              </w:rPr>
              <w:t xml:space="preserve"> ÷ Number of payments in </w:t>
            </w:r>
            <w:r w:rsidR="00761A6E" w:rsidRPr="004E3304">
              <w:rPr>
                <w:b/>
                <w:color w:val="000000"/>
                <w:szCs w:val="22"/>
              </w:rPr>
              <w:t>SBTCP Dataset</w:t>
            </w:r>
            <w:r w:rsidRPr="004E3304">
              <w:rPr>
                <w:color w:val="000000"/>
                <w:szCs w:val="22"/>
              </w:rPr>
              <w:t xml:space="preserve"> that </w:t>
            </w:r>
            <w:r w:rsidRPr="001A365E">
              <w:rPr>
                <w:color w:val="000000"/>
                <w:szCs w:val="22"/>
                <w:u w:val="single"/>
              </w:rPr>
              <w:t xml:space="preserve">relate to the relevant operating </w:t>
            </w:r>
            <w:r w:rsidR="00F345E3" w:rsidRPr="001A365E">
              <w:rPr>
                <w:color w:val="000000"/>
                <w:szCs w:val="22"/>
                <w:u w:val="single"/>
              </w:rPr>
              <w:t>segment</w:t>
            </w:r>
            <w:r w:rsidR="00F00015">
              <w:rPr>
                <w:color w:val="000000"/>
                <w:szCs w:val="22"/>
              </w:rPr>
              <w:t>) x</w:t>
            </w:r>
            <w:r w:rsidR="001D26AD">
              <w:rPr>
                <w:color w:val="000000"/>
                <w:szCs w:val="22"/>
              </w:rPr>
              <w:t xml:space="preserve"> </w:t>
            </w:r>
            <w:r w:rsidR="00F00015">
              <w:rPr>
                <w:color w:val="000000"/>
                <w:szCs w:val="22"/>
              </w:rPr>
              <w:t>100</w:t>
            </w:r>
          </w:p>
          <w:p w14:paraId="0CC6ABEB" w14:textId="3B0F313B" w:rsidR="00655286" w:rsidRPr="004E3304" w:rsidRDefault="00655286" w:rsidP="004E3304">
            <w:pPr>
              <w:rPr>
                <w:color w:val="000000"/>
                <w:szCs w:val="22"/>
              </w:rPr>
            </w:pPr>
            <w:r w:rsidRPr="004E3304">
              <w:rPr>
                <w:color w:val="000000"/>
                <w:szCs w:val="22"/>
              </w:rPr>
              <w:br w:type="page"/>
            </w:r>
            <w:r w:rsidRPr="004E3304">
              <w:rPr>
                <w:color w:val="000000"/>
                <w:szCs w:val="22"/>
              </w:rPr>
              <w:br w:type="page"/>
              <w:t>This is the proportion of the number of payments that have been made under a trade credit arrangement to small business suppliers and allocated to the relevant operating segment for financial reporting purposes, where the payment time is less than or equal to the payment term (for that particular payment).</w:t>
            </w:r>
            <w:r w:rsidRPr="004E3304">
              <w:rPr>
                <w:color w:val="000000"/>
                <w:szCs w:val="22"/>
              </w:rPr>
              <w:br w:type="page"/>
            </w:r>
          </w:p>
        </w:tc>
      </w:tr>
      <w:tr w:rsidR="00655286" w:rsidRPr="004E3304" w14:paraId="331656E7"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C4684A" w14:textId="5470BFC4" w:rsidR="00655286" w:rsidRPr="004E3304" w:rsidRDefault="00A711C9" w:rsidP="0050342D">
            <w:pPr>
              <w:rPr>
                <w:szCs w:val="22"/>
              </w:rPr>
            </w:pPr>
            <w:r>
              <w:rPr>
                <w:szCs w:val="22"/>
              </w:rPr>
              <w:t xml:space="preserve">Operating Segment - </w:t>
            </w:r>
            <w:r w:rsidR="00655286" w:rsidRPr="004E3304">
              <w:rPr>
                <w:szCs w:val="22"/>
              </w:rPr>
              <w:t>Invoices paid within 30 days (%)</w:t>
            </w:r>
          </w:p>
        </w:tc>
        <w:tc>
          <w:tcPr>
            <w:tcW w:w="1644" w:type="dxa"/>
            <w:tcBorders>
              <w:top w:val="nil"/>
              <w:left w:val="nil"/>
              <w:bottom w:val="single" w:sz="4" w:space="0" w:color="auto"/>
              <w:right w:val="single" w:sz="4" w:space="0" w:color="auto"/>
            </w:tcBorders>
            <w:shd w:val="clear" w:color="auto" w:fill="auto"/>
            <w:vAlign w:val="center"/>
            <w:hideMark/>
          </w:tcPr>
          <w:p w14:paraId="55E1A577"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4C95A41D" w14:textId="0BF492E8"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545B83A3" w14:textId="10C09BB5" w:rsidR="009279AF" w:rsidRPr="004E3304" w:rsidRDefault="00F00015" w:rsidP="004E3304">
            <w:pPr>
              <w:rPr>
                <w:color w:val="000000"/>
                <w:szCs w:val="22"/>
              </w:rPr>
            </w:pPr>
            <w:r>
              <w:rPr>
                <w:color w:val="000000"/>
                <w:szCs w:val="22"/>
              </w:rPr>
              <w:t>(</w:t>
            </w:r>
            <w:r w:rsidR="001A365E">
              <w:rPr>
                <w:color w:val="000000"/>
                <w:szCs w:val="22"/>
              </w:rPr>
              <w:t>(</w:t>
            </w:r>
            <w:r w:rsidR="00655286" w:rsidRPr="004E3304">
              <w:rPr>
                <w:color w:val="000000"/>
                <w:szCs w:val="22"/>
              </w:rPr>
              <w:t xml:space="preserve">Number of payments in </w:t>
            </w:r>
            <w:r w:rsidR="00761A6E" w:rsidRPr="004E3304">
              <w:rPr>
                <w:b/>
                <w:color w:val="000000"/>
                <w:szCs w:val="22"/>
              </w:rPr>
              <w:t>SBTCP Dataset</w:t>
            </w:r>
            <w:r w:rsidR="00655286" w:rsidRPr="004E3304">
              <w:rPr>
                <w:color w:val="000000"/>
                <w:szCs w:val="22"/>
              </w:rPr>
              <w:t xml:space="preserve"> that </w:t>
            </w:r>
            <w:r w:rsidR="00655286" w:rsidRPr="004E3304">
              <w:rPr>
                <w:color w:val="000000"/>
                <w:szCs w:val="22"/>
                <w:u w:val="single"/>
              </w:rPr>
              <w:t xml:space="preserve">relate to the relevant operating </w:t>
            </w:r>
            <w:r w:rsidR="00F345E3" w:rsidRPr="004E3304">
              <w:rPr>
                <w:color w:val="000000"/>
                <w:szCs w:val="22"/>
                <w:u w:val="single"/>
              </w:rPr>
              <w:t>segment</w:t>
            </w:r>
            <w:r w:rsidR="00655286" w:rsidRPr="004E3304">
              <w:rPr>
                <w:color w:val="000000"/>
                <w:szCs w:val="22"/>
              </w:rPr>
              <w:t>, where payment time where Payment Time ≤ 30 days</w:t>
            </w:r>
            <w:r w:rsidR="001A365E">
              <w:rPr>
                <w:color w:val="000000"/>
                <w:szCs w:val="22"/>
              </w:rPr>
              <w:t>)</w:t>
            </w:r>
            <w:r>
              <w:rPr>
                <w:color w:val="000000"/>
                <w:szCs w:val="22"/>
              </w:rPr>
              <w:t xml:space="preserve"> </w:t>
            </w:r>
            <w:r w:rsidRPr="004E3304">
              <w:rPr>
                <w:color w:val="000000"/>
                <w:szCs w:val="22"/>
              </w:rPr>
              <w:t xml:space="preserve">÷ Number of payments in </w:t>
            </w:r>
            <w:r w:rsidRPr="004E3304">
              <w:rPr>
                <w:b/>
                <w:color w:val="000000"/>
                <w:szCs w:val="22"/>
              </w:rPr>
              <w:t>SBTCP Dataset</w:t>
            </w:r>
            <w:r w:rsidRPr="004E3304">
              <w:rPr>
                <w:color w:val="000000"/>
                <w:szCs w:val="22"/>
              </w:rPr>
              <w:t xml:space="preserve"> that </w:t>
            </w:r>
            <w:r w:rsidRPr="001A365E">
              <w:rPr>
                <w:color w:val="000000"/>
                <w:szCs w:val="22"/>
                <w:u w:val="single"/>
              </w:rPr>
              <w:t>relate to the relevant operating segment</w:t>
            </w:r>
            <w:r>
              <w:rPr>
                <w:color w:val="000000"/>
                <w:szCs w:val="22"/>
              </w:rPr>
              <w:t>) x</w:t>
            </w:r>
            <w:r w:rsidR="001D26AD">
              <w:rPr>
                <w:color w:val="000000"/>
                <w:szCs w:val="22"/>
              </w:rPr>
              <w:t xml:space="preserve"> </w:t>
            </w:r>
            <w:r>
              <w:rPr>
                <w:color w:val="000000"/>
                <w:szCs w:val="22"/>
              </w:rPr>
              <w:t>100</w:t>
            </w:r>
          </w:p>
          <w:p w14:paraId="23C5DD3B" w14:textId="0D461335"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less than or equal to 30 days.</w:t>
            </w:r>
          </w:p>
        </w:tc>
      </w:tr>
      <w:tr w:rsidR="00655286" w:rsidRPr="004E3304" w14:paraId="0240755C"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B10A977" w14:textId="0479B0F3" w:rsidR="00655286" w:rsidRPr="004E3304" w:rsidRDefault="00A711C9" w:rsidP="0050342D">
            <w:pPr>
              <w:rPr>
                <w:szCs w:val="22"/>
              </w:rPr>
            </w:pPr>
            <w:r>
              <w:rPr>
                <w:szCs w:val="22"/>
              </w:rPr>
              <w:t xml:space="preserve">Operating Segment - </w:t>
            </w:r>
            <w:r w:rsidR="00655286" w:rsidRPr="004E3304">
              <w:rPr>
                <w:szCs w:val="22"/>
              </w:rPr>
              <w:t>Invoices paid in 31-60 days (%)</w:t>
            </w:r>
          </w:p>
        </w:tc>
        <w:tc>
          <w:tcPr>
            <w:tcW w:w="1644" w:type="dxa"/>
            <w:tcBorders>
              <w:top w:val="nil"/>
              <w:left w:val="nil"/>
              <w:bottom w:val="single" w:sz="4" w:space="0" w:color="auto"/>
              <w:right w:val="single" w:sz="4" w:space="0" w:color="auto"/>
            </w:tcBorders>
            <w:shd w:val="clear" w:color="auto" w:fill="auto"/>
            <w:vAlign w:val="center"/>
            <w:hideMark/>
          </w:tcPr>
          <w:p w14:paraId="49423A5C"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0CC5A647" w14:textId="65C93955"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09AEA583" w14:textId="574A94BF" w:rsidR="009279AF" w:rsidRPr="004E3304" w:rsidRDefault="00F00015" w:rsidP="004E3304">
            <w:pPr>
              <w:rPr>
                <w:color w:val="000000"/>
                <w:szCs w:val="22"/>
              </w:rPr>
            </w:pPr>
            <w:r>
              <w:rPr>
                <w:color w:val="000000"/>
                <w:szCs w:val="22"/>
              </w:rPr>
              <w:t>(</w:t>
            </w:r>
            <w:r w:rsidR="001A365E">
              <w:rPr>
                <w:color w:val="000000"/>
                <w:szCs w:val="22"/>
              </w:rPr>
              <w:t>(</w:t>
            </w:r>
            <w:r w:rsidR="00655286" w:rsidRPr="004E3304">
              <w:rPr>
                <w:color w:val="000000"/>
                <w:szCs w:val="22"/>
              </w:rPr>
              <w:t xml:space="preserve">Number of payments in </w:t>
            </w:r>
            <w:r w:rsidR="00761A6E" w:rsidRPr="004E3304">
              <w:rPr>
                <w:b/>
                <w:color w:val="000000"/>
                <w:szCs w:val="22"/>
              </w:rPr>
              <w:t>SBTCP Dataset</w:t>
            </w:r>
            <w:r w:rsidR="00655286" w:rsidRPr="004E3304">
              <w:rPr>
                <w:color w:val="000000"/>
                <w:szCs w:val="22"/>
              </w:rPr>
              <w:t xml:space="preserve"> that </w:t>
            </w:r>
            <w:r w:rsidR="00655286" w:rsidRPr="004E3304">
              <w:rPr>
                <w:color w:val="000000"/>
                <w:szCs w:val="22"/>
                <w:u w:val="single"/>
              </w:rPr>
              <w:t xml:space="preserve">relate to the relevant operating </w:t>
            </w:r>
            <w:r w:rsidR="00F345E3" w:rsidRPr="004E3304">
              <w:rPr>
                <w:color w:val="000000"/>
                <w:szCs w:val="22"/>
                <w:u w:val="single"/>
              </w:rPr>
              <w:t>segment</w:t>
            </w:r>
            <w:r w:rsidR="00655286" w:rsidRPr="004E3304">
              <w:rPr>
                <w:color w:val="000000"/>
                <w:szCs w:val="22"/>
              </w:rPr>
              <w:t>, where payment time is &gt; 30 days and ≤ 60 days</w:t>
            </w:r>
            <w:r w:rsidR="001A365E">
              <w:rPr>
                <w:color w:val="000000"/>
                <w:szCs w:val="22"/>
              </w:rPr>
              <w:t>)</w:t>
            </w:r>
            <w:r>
              <w:rPr>
                <w:color w:val="000000"/>
              </w:rPr>
              <w:t xml:space="preserve"> </w:t>
            </w:r>
            <w:r w:rsidRPr="004E3304">
              <w:rPr>
                <w:color w:val="000000"/>
                <w:szCs w:val="22"/>
              </w:rPr>
              <w:t xml:space="preserve">÷ Number of payments in </w:t>
            </w:r>
            <w:r w:rsidRPr="004E3304">
              <w:rPr>
                <w:b/>
                <w:color w:val="000000"/>
                <w:szCs w:val="22"/>
              </w:rPr>
              <w:t>SBTCP Dataset</w:t>
            </w:r>
            <w:r w:rsidRPr="004E3304">
              <w:rPr>
                <w:color w:val="000000"/>
                <w:szCs w:val="22"/>
              </w:rPr>
              <w:t xml:space="preserve"> that </w:t>
            </w:r>
            <w:r w:rsidRPr="001A365E">
              <w:rPr>
                <w:color w:val="000000"/>
                <w:szCs w:val="22"/>
                <w:u w:val="single"/>
              </w:rPr>
              <w:t>relate to the relevant operating segment</w:t>
            </w:r>
            <w:r>
              <w:rPr>
                <w:color w:val="000000"/>
                <w:szCs w:val="22"/>
              </w:rPr>
              <w:t>) x</w:t>
            </w:r>
            <w:r w:rsidR="001D26AD">
              <w:rPr>
                <w:color w:val="000000"/>
                <w:szCs w:val="22"/>
              </w:rPr>
              <w:t xml:space="preserve"> </w:t>
            </w:r>
            <w:r>
              <w:rPr>
                <w:color w:val="000000"/>
                <w:szCs w:val="22"/>
              </w:rPr>
              <w:t>100</w:t>
            </w:r>
          </w:p>
          <w:p w14:paraId="1588B6E1" w14:textId="55D5E492"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between 31 and 60 days.</w:t>
            </w:r>
          </w:p>
        </w:tc>
      </w:tr>
      <w:bookmarkEnd w:id="8"/>
      <w:tr w:rsidR="00655286" w:rsidRPr="004E3304" w14:paraId="69815DC2"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E2FD98" w14:textId="4B861F96" w:rsidR="00655286" w:rsidRPr="004E3304" w:rsidRDefault="00A711C9" w:rsidP="0050342D">
            <w:pPr>
              <w:rPr>
                <w:szCs w:val="22"/>
              </w:rPr>
            </w:pPr>
            <w:r>
              <w:rPr>
                <w:szCs w:val="22"/>
              </w:rPr>
              <w:lastRenderedPageBreak/>
              <w:t xml:space="preserve">Operating Segment - </w:t>
            </w:r>
            <w:r w:rsidR="00655286" w:rsidRPr="004E3304">
              <w:rPr>
                <w:szCs w:val="22"/>
              </w:rPr>
              <w:t>Invoices paid over 60 days (%)</w:t>
            </w:r>
          </w:p>
        </w:tc>
        <w:tc>
          <w:tcPr>
            <w:tcW w:w="1644" w:type="dxa"/>
            <w:tcBorders>
              <w:top w:val="nil"/>
              <w:left w:val="nil"/>
              <w:bottom w:val="single" w:sz="4" w:space="0" w:color="auto"/>
              <w:right w:val="single" w:sz="4" w:space="0" w:color="auto"/>
            </w:tcBorders>
            <w:shd w:val="clear" w:color="auto" w:fill="auto"/>
            <w:vAlign w:val="center"/>
            <w:hideMark/>
          </w:tcPr>
          <w:p w14:paraId="0827B2C0"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60123F9" w14:textId="413ABE79"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654EC383" w14:textId="71F9A572" w:rsidR="009279AF" w:rsidRPr="004E3304" w:rsidRDefault="00E201ED" w:rsidP="004E3304">
            <w:pPr>
              <w:rPr>
                <w:color w:val="000000"/>
                <w:szCs w:val="22"/>
              </w:rPr>
            </w:pPr>
            <w:r>
              <w:rPr>
                <w:color w:val="000000"/>
                <w:szCs w:val="22"/>
              </w:rPr>
              <w:t>(</w:t>
            </w:r>
            <w:r w:rsidR="001A365E">
              <w:rPr>
                <w:color w:val="000000"/>
                <w:szCs w:val="22"/>
              </w:rPr>
              <w:t>(</w:t>
            </w:r>
            <w:r w:rsidR="00655286" w:rsidRPr="004E3304">
              <w:rPr>
                <w:color w:val="000000"/>
                <w:szCs w:val="22"/>
              </w:rPr>
              <w:t xml:space="preserve">Number of payments in </w:t>
            </w:r>
            <w:r w:rsidR="00761A6E" w:rsidRPr="004E3304">
              <w:rPr>
                <w:b/>
                <w:color w:val="000000"/>
                <w:szCs w:val="22"/>
              </w:rPr>
              <w:t>SBTCP Dataset</w:t>
            </w:r>
            <w:r w:rsidR="00655286" w:rsidRPr="004E3304">
              <w:rPr>
                <w:color w:val="000000"/>
                <w:szCs w:val="22"/>
              </w:rPr>
              <w:t xml:space="preserve"> that </w:t>
            </w:r>
            <w:r w:rsidR="00655286" w:rsidRPr="004E3304">
              <w:rPr>
                <w:color w:val="000000"/>
                <w:szCs w:val="22"/>
                <w:u w:val="single"/>
              </w:rPr>
              <w:t xml:space="preserve">relate to the relevant operating </w:t>
            </w:r>
            <w:r w:rsidR="00F345E3" w:rsidRPr="004E3304">
              <w:rPr>
                <w:color w:val="000000"/>
                <w:szCs w:val="22"/>
                <w:u w:val="single"/>
              </w:rPr>
              <w:t>segment</w:t>
            </w:r>
            <w:r w:rsidR="00655286" w:rsidRPr="004E3304">
              <w:rPr>
                <w:color w:val="000000"/>
                <w:szCs w:val="22"/>
              </w:rPr>
              <w:t>, where payment time is &gt; 60 days</w:t>
            </w:r>
            <w:r w:rsidR="001A365E">
              <w:rPr>
                <w:color w:val="000000"/>
                <w:szCs w:val="22"/>
              </w:rPr>
              <w:t>)</w:t>
            </w:r>
            <w:r>
              <w:rPr>
                <w:color w:val="000000"/>
              </w:rPr>
              <w:t xml:space="preserve"> </w:t>
            </w:r>
            <w:r w:rsidRPr="004E3304">
              <w:rPr>
                <w:color w:val="000000"/>
                <w:szCs w:val="22"/>
              </w:rPr>
              <w:t xml:space="preserve">÷ Number of payments in </w:t>
            </w:r>
            <w:r w:rsidRPr="004E3304">
              <w:rPr>
                <w:b/>
                <w:color w:val="000000"/>
                <w:szCs w:val="22"/>
              </w:rPr>
              <w:t>SBTCP Dataset</w:t>
            </w:r>
            <w:r w:rsidRPr="004E3304">
              <w:rPr>
                <w:color w:val="000000"/>
                <w:szCs w:val="22"/>
              </w:rPr>
              <w:t xml:space="preserve"> that </w:t>
            </w:r>
            <w:r w:rsidRPr="001A365E">
              <w:rPr>
                <w:color w:val="000000"/>
                <w:szCs w:val="22"/>
                <w:u w:val="single"/>
              </w:rPr>
              <w:t>relate to the relevant operating segment</w:t>
            </w:r>
            <w:r>
              <w:rPr>
                <w:color w:val="000000"/>
                <w:szCs w:val="22"/>
              </w:rPr>
              <w:t>) x</w:t>
            </w:r>
            <w:r w:rsidR="001D26AD">
              <w:rPr>
                <w:color w:val="000000"/>
                <w:szCs w:val="22"/>
              </w:rPr>
              <w:t xml:space="preserve"> </w:t>
            </w:r>
            <w:r>
              <w:rPr>
                <w:color w:val="000000"/>
                <w:szCs w:val="22"/>
              </w:rPr>
              <w:t>100</w:t>
            </w:r>
          </w:p>
          <w:p w14:paraId="24CDF873" w14:textId="0C10385B"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more than 60 days.</w:t>
            </w:r>
          </w:p>
        </w:tc>
      </w:tr>
      <w:tr w:rsidR="00C22B14" w:rsidRPr="004E3304" w14:paraId="27743E83" w14:textId="77777777" w:rsidTr="00EE1D33">
        <w:trPr>
          <w:cantSplit/>
          <w:trHeight w:val="283"/>
        </w:trPr>
        <w:tc>
          <w:tcPr>
            <w:tcW w:w="14548" w:type="dxa"/>
            <w:gridSpan w:val="6"/>
            <w:tcBorders>
              <w:top w:val="nil"/>
              <w:left w:val="single" w:sz="4" w:space="0" w:color="auto"/>
              <w:bottom w:val="single" w:sz="4" w:space="0" w:color="auto"/>
              <w:right w:val="single" w:sz="4" w:space="0" w:color="auto"/>
            </w:tcBorders>
            <w:shd w:val="clear" w:color="000000" w:fill="C5E2E2"/>
            <w:noWrap/>
            <w:vAlign w:val="center"/>
            <w:hideMark/>
          </w:tcPr>
          <w:p w14:paraId="3783B878" w14:textId="776F01AD" w:rsidR="00C22B14" w:rsidRPr="004E3304" w:rsidRDefault="00C22B14" w:rsidP="00EE1D33">
            <w:pPr>
              <w:spacing w:before="40" w:after="40"/>
              <w:rPr>
                <w:i/>
                <w:iCs/>
                <w:color w:val="000000"/>
                <w:szCs w:val="22"/>
              </w:rPr>
            </w:pPr>
            <w:r w:rsidRPr="004E3304">
              <w:rPr>
                <w:i/>
                <w:iCs/>
                <w:color w:val="000000"/>
                <w:szCs w:val="22"/>
              </w:rPr>
              <w:t>Operating Segment 2</w:t>
            </w:r>
          </w:p>
        </w:tc>
      </w:tr>
      <w:tr w:rsidR="00655286" w:rsidRPr="004E3304" w14:paraId="71C74FE5" w14:textId="77777777" w:rsidTr="00EE1D33">
        <w:trPr>
          <w:cantSplit/>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18EFFC8" w14:textId="77777777" w:rsidR="00655286" w:rsidRPr="004E3304" w:rsidRDefault="00655286" w:rsidP="0050342D">
            <w:pPr>
              <w:rPr>
                <w:szCs w:val="22"/>
              </w:rPr>
            </w:pPr>
            <w:r w:rsidRPr="004E3304">
              <w:rPr>
                <w:szCs w:val="22"/>
              </w:rPr>
              <w:t>Operating Segment Name</w:t>
            </w:r>
          </w:p>
        </w:tc>
        <w:tc>
          <w:tcPr>
            <w:tcW w:w="1644" w:type="dxa"/>
            <w:tcBorders>
              <w:top w:val="nil"/>
              <w:left w:val="nil"/>
              <w:bottom w:val="single" w:sz="4" w:space="0" w:color="auto"/>
              <w:right w:val="single" w:sz="4" w:space="0" w:color="auto"/>
            </w:tcBorders>
            <w:shd w:val="clear" w:color="auto" w:fill="auto"/>
            <w:vAlign w:val="center"/>
            <w:hideMark/>
          </w:tcPr>
          <w:p w14:paraId="55F76D7A"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102FC8A6" w14:textId="77777777" w:rsidR="00655286" w:rsidRPr="004E3304" w:rsidRDefault="00655286" w:rsidP="003A332A">
            <w:pPr>
              <w:jc w:val="center"/>
              <w:rPr>
                <w:color w:val="000000"/>
                <w:szCs w:val="22"/>
              </w:rPr>
            </w:pPr>
            <w:r w:rsidRPr="004E3304">
              <w:rPr>
                <w:color w:val="000000"/>
                <w:szCs w:val="22"/>
              </w:rPr>
              <w:t>Text</w:t>
            </w:r>
          </w:p>
        </w:tc>
        <w:tc>
          <w:tcPr>
            <w:tcW w:w="8430" w:type="dxa"/>
            <w:gridSpan w:val="2"/>
            <w:tcBorders>
              <w:top w:val="nil"/>
              <w:left w:val="nil"/>
              <w:bottom w:val="single" w:sz="4" w:space="0" w:color="auto"/>
              <w:right w:val="single" w:sz="4" w:space="0" w:color="auto"/>
            </w:tcBorders>
            <w:shd w:val="clear" w:color="auto" w:fill="auto"/>
            <w:vAlign w:val="center"/>
            <w:hideMark/>
          </w:tcPr>
          <w:p w14:paraId="14314E4A" w14:textId="77777777" w:rsidR="00655286" w:rsidRPr="004E3304" w:rsidRDefault="00655286" w:rsidP="004E3304">
            <w:pPr>
              <w:rPr>
                <w:color w:val="000000"/>
                <w:szCs w:val="22"/>
              </w:rPr>
            </w:pPr>
            <w:r w:rsidRPr="004E3304">
              <w:rPr>
                <w:color w:val="000000"/>
                <w:szCs w:val="22"/>
              </w:rPr>
              <w:t>Name of the Operating Segment, as reflected in the reporting entity's consolidated financial reports.</w:t>
            </w:r>
          </w:p>
        </w:tc>
      </w:tr>
      <w:tr w:rsidR="00655286" w:rsidRPr="004E3304" w14:paraId="10CC604B" w14:textId="77777777" w:rsidTr="00EE1D33">
        <w:trPr>
          <w:cantSplit/>
          <w:trHeight w:val="7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510898" w14:textId="73769801" w:rsidR="00655286" w:rsidRPr="004E3304" w:rsidRDefault="00A711C9" w:rsidP="0050342D">
            <w:pPr>
              <w:rPr>
                <w:szCs w:val="22"/>
              </w:rPr>
            </w:pPr>
            <w:r>
              <w:rPr>
                <w:szCs w:val="22"/>
              </w:rPr>
              <w:t xml:space="preserve">Operating Segment - </w:t>
            </w:r>
            <w:r w:rsidR="00655286" w:rsidRPr="004E3304">
              <w:rPr>
                <w:szCs w:val="22"/>
              </w:rPr>
              <w:t>Most common payment term (statistical mode)</w:t>
            </w:r>
          </w:p>
        </w:tc>
        <w:tc>
          <w:tcPr>
            <w:tcW w:w="1644" w:type="dxa"/>
            <w:tcBorders>
              <w:top w:val="nil"/>
              <w:left w:val="nil"/>
              <w:bottom w:val="single" w:sz="4" w:space="0" w:color="auto"/>
              <w:right w:val="single" w:sz="4" w:space="0" w:color="auto"/>
            </w:tcBorders>
            <w:shd w:val="clear" w:color="auto" w:fill="auto"/>
            <w:vAlign w:val="center"/>
            <w:hideMark/>
          </w:tcPr>
          <w:p w14:paraId="6DC36132"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B749AEB" w14:textId="64EE8DF8" w:rsidR="00655286" w:rsidRPr="004E3304" w:rsidRDefault="00655286" w:rsidP="003A332A">
            <w:pPr>
              <w:jc w:val="center"/>
              <w:rPr>
                <w:color w:val="000000"/>
                <w:szCs w:val="22"/>
              </w:rPr>
            </w:pPr>
            <w:r w:rsidRPr="004E3304">
              <w:rPr>
                <w:color w:val="000000"/>
                <w:szCs w:val="22"/>
              </w:rPr>
              <w:t xml:space="preserve">Whole </w:t>
            </w:r>
            <w:r w:rsidR="003205D4">
              <w:rPr>
                <w:color w:val="000000"/>
                <w:szCs w:val="22"/>
              </w:rPr>
              <w:t xml:space="preserve">Number </w:t>
            </w:r>
            <w:r w:rsidR="003205D4">
              <w:rPr>
                <w:color w:val="000000"/>
                <w:szCs w:val="22"/>
              </w:rPr>
              <w:br/>
              <w:t>[</w:t>
            </w:r>
            <w:r w:rsidRPr="004E3304">
              <w:rPr>
                <w:color w:val="000000"/>
                <w:szCs w:val="22"/>
              </w:rPr>
              <w:t>0]</w:t>
            </w:r>
          </w:p>
        </w:tc>
        <w:tc>
          <w:tcPr>
            <w:tcW w:w="8430" w:type="dxa"/>
            <w:gridSpan w:val="2"/>
            <w:tcBorders>
              <w:top w:val="nil"/>
              <w:left w:val="nil"/>
              <w:bottom w:val="single" w:sz="4" w:space="0" w:color="auto"/>
              <w:right w:val="single" w:sz="4" w:space="0" w:color="auto"/>
            </w:tcBorders>
            <w:shd w:val="clear" w:color="auto" w:fill="auto"/>
            <w:vAlign w:val="center"/>
            <w:hideMark/>
          </w:tcPr>
          <w:p w14:paraId="79B18CD3" w14:textId="77777777" w:rsidR="009279AF" w:rsidRPr="004E3304" w:rsidRDefault="00655286" w:rsidP="004E3304">
            <w:pPr>
              <w:rPr>
                <w:color w:val="000000"/>
                <w:szCs w:val="22"/>
              </w:rPr>
            </w:pPr>
            <w:r w:rsidRPr="004E3304">
              <w:rPr>
                <w:color w:val="000000"/>
                <w:szCs w:val="22"/>
              </w:rPr>
              <w:t xml:space="preserve">The statistical mode of all payment terms in the </w:t>
            </w:r>
            <w:r w:rsidR="00761A6E" w:rsidRPr="004E3304">
              <w:rPr>
                <w:b/>
                <w:color w:val="000000"/>
                <w:szCs w:val="22"/>
              </w:rPr>
              <w:t>SBTCP Dataset</w:t>
            </w:r>
            <w:r w:rsidRPr="004E3304">
              <w:rPr>
                <w:color w:val="000000"/>
                <w:szCs w:val="22"/>
              </w:rPr>
              <w:t xml:space="preserve"> </w:t>
            </w:r>
            <w:r w:rsidRPr="004E3304">
              <w:rPr>
                <w:color w:val="000000"/>
                <w:szCs w:val="22"/>
                <w:u w:val="single"/>
              </w:rPr>
              <w:t xml:space="preserve">that relate to the relevant operating </w:t>
            </w:r>
            <w:r w:rsidR="00F345E3" w:rsidRPr="004E3304">
              <w:rPr>
                <w:color w:val="000000"/>
                <w:szCs w:val="22"/>
                <w:u w:val="single"/>
              </w:rPr>
              <w:t>segment</w:t>
            </w:r>
            <w:r w:rsidRPr="004E3304">
              <w:rPr>
                <w:color w:val="000000"/>
                <w:szCs w:val="22"/>
              </w:rPr>
              <w:t>.</w:t>
            </w:r>
          </w:p>
          <w:p w14:paraId="43682EF8" w14:textId="19AF6B3C" w:rsidR="00655286" w:rsidRPr="004E3304" w:rsidRDefault="00655286" w:rsidP="004E3304">
            <w:pPr>
              <w:rPr>
                <w:color w:val="000000"/>
                <w:szCs w:val="22"/>
              </w:rPr>
            </w:pPr>
            <w:r w:rsidRPr="004E3304">
              <w:rPr>
                <w:color w:val="000000"/>
                <w:szCs w:val="22"/>
              </w:rPr>
              <w:t>This is the most common payment term of all payments that have been made under a trade credit arrangement to small business suppliers and allocated to the relevant operating segment for financial reporting purposes.</w:t>
            </w:r>
          </w:p>
        </w:tc>
      </w:tr>
      <w:tr w:rsidR="00655286" w:rsidRPr="004E3304" w14:paraId="1BEC403E" w14:textId="77777777" w:rsidTr="00EE1D33">
        <w:trPr>
          <w:cantSplit/>
          <w:trHeight w:val="164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96DBF7" w14:textId="27B24863" w:rsidR="00655286" w:rsidRPr="004E3304" w:rsidRDefault="00A711C9" w:rsidP="0050342D">
            <w:pPr>
              <w:rPr>
                <w:szCs w:val="22"/>
              </w:rPr>
            </w:pPr>
            <w:r>
              <w:rPr>
                <w:szCs w:val="22"/>
              </w:rPr>
              <w:t xml:space="preserve">Operating Segment - </w:t>
            </w:r>
            <w:r w:rsidR="00655286" w:rsidRPr="004E3304">
              <w:rPr>
                <w:szCs w:val="22"/>
              </w:rPr>
              <w:t>Average payment time</w:t>
            </w:r>
          </w:p>
        </w:tc>
        <w:tc>
          <w:tcPr>
            <w:tcW w:w="1644" w:type="dxa"/>
            <w:tcBorders>
              <w:top w:val="nil"/>
              <w:left w:val="nil"/>
              <w:bottom w:val="single" w:sz="4" w:space="0" w:color="auto"/>
              <w:right w:val="single" w:sz="4" w:space="0" w:color="auto"/>
            </w:tcBorders>
            <w:shd w:val="clear" w:color="auto" w:fill="auto"/>
            <w:vAlign w:val="center"/>
            <w:hideMark/>
          </w:tcPr>
          <w:p w14:paraId="3581477B"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BA00EBA" w14:textId="20FAC67C"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2B557ADE" w14:textId="77777777" w:rsidR="009279AF" w:rsidRPr="004E3304" w:rsidRDefault="00655286" w:rsidP="004E3304">
            <w:pPr>
              <w:rPr>
                <w:color w:val="000000"/>
                <w:szCs w:val="22"/>
              </w:rPr>
            </w:pPr>
            <w:r w:rsidRPr="004E3304">
              <w:rPr>
                <w:color w:val="000000"/>
                <w:szCs w:val="22"/>
              </w:rPr>
              <w:t xml:space="preserve">The statistical mean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F345E3" w:rsidRPr="004E3304">
              <w:rPr>
                <w:color w:val="000000"/>
                <w:szCs w:val="22"/>
                <w:u w:val="single"/>
              </w:rPr>
              <w:t>segment</w:t>
            </w:r>
            <w:r w:rsidRPr="004E3304">
              <w:rPr>
                <w:color w:val="000000"/>
                <w:szCs w:val="22"/>
              </w:rPr>
              <w:t>.</w:t>
            </w:r>
          </w:p>
          <w:p w14:paraId="0661D5A2" w14:textId="2B74650D" w:rsidR="00655286" w:rsidRPr="004E3304" w:rsidRDefault="00655286" w:rsidP="004E3304">
            <w:pPr>
              <w:rPr>
                <w:color w:val="000000"/>
                <w:szCs w:val="22"/>
              </w:rPr>
            </w:pPr>
            <w:r w:rsidRPr="004E3304">
              <w:rPr>
                <w:color w:val="000000"/>
                <w:szCs w:val="22"/>
              </w:rPr>
              <w:t>This is the (arithmetic) average payment time of all payments that have been made under a trade credit arrangement to small business suppliers and allocated to the relevant operating segment for financial reporting purposes.</w:t>
            </w:r>
          </w:p>
        </w:tc>
      </w:tr>
      <w:tr w:rsidR="00655286" w:rsidRPr="004E3304" w14:paraId="312E4EAE"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69517B" w14:textId="7D8FD8B3" w:rsidR="00655286" w:rsidRPr="004E3304" w:rsidRDefault="00A711C9" w:rsidP="0050342D">
            <w:pPr>
              <w:rPr>
                <w:szCs w:val="22"/>
              </w:rPr>
            </w:pPr>
            <w:r>
              <w:rPr>
                <w:szCs w:val="22"/>
              </w:rPr>
              <w:lastRenderedPageBreak/>
              <w:t xml:space="preserve">Operating Segment - </w:t>
            </w:r>
            <w:r w:rsidR="00655286" w:rsidRPr="004E3304">
              <w:rPr>
                <w:szCs w:val="22"/>
              </w:rPr>
              <w:t>Median payment time</w:t>
            </w:r>
          </w:p>
        </w:tc>
        <w:tc>
          <w:tcPr>
            <w:tcW w:w="1644" w:type="dxa"/>
            <w:tcBorders>
              <w:top w:val="nil"/>
              <w:left w:val="nil"/>
              <w:bottom w:val="single" w:sz="4" w:space="0" w:color="auto"/>
              <w:right w:val="single" w:sz="4" w:space="0" w:color="auto"/>
            </w:tcBorders>
            <w:shd w:val="clear" w:color="auto" w:fill="auto"/>
            <w:vAlign w:val="center"/>
            <w:hideMark/>
          </w:tcPr>
          <w:p w14:paraId="5067B60C"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5BFC672" w14:textId="5F77CADF"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76308EDF" w14:textId="77777777" w:rsidR="009279AF" w:rsidRPr="004E3304" w:rsidRDefault="00655286" w:rsidP="004E3304">
            <w:pPr>
              <w:rPr>
                <w:color w:val="000000"/>
                <w:szCs w:val="22"/>
              </w:rPr>
            </w:pPr>
            <w:r w:rsidRPr="004E3304">
              <w:rPr>
                <w:color w:val="000000"/>
                <w:szCs w:val="22"/>
              </w:rPr>
              <w:t xml:space="preserve">The statistical median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F345E3" w:rsidRPr="004E3304">
              <w:rPr>
                <w:color w:val="000000"/>
                <w:szCs w:val="22"/>
                <w:u w:val="single"/>
              </w:rPr>
              <w:t>segment</w:t>
            </w:r>
            <w:r w:rsidRPr="004E3304">
              <w:rPr>
                <w:color w:val="000000"/>
                <w:szCs w:val="22"/>
              </w:rPr>
              <w:t>.</w:t>
            </w:r>
          </w:p>
          <w:p w14:paraId="192CE652" w14:textId="095753A5" w:rsidR="00655286" w:rsidRPr="004E3304" w:rsidRDefault="00655286" w:rsidP="004E3304">
            <w:pPr>
              <w:rPr>
                <w:color w:val="000000"/>
                <w:szCs w:val="22"/>
              </w:rPr>
            </w:pPr>
            <w:r w:rsidRPr="004E3304">
              <w:rPr>
                <w:color w:val="000000"/>
                <w:szCs w:val="22"/>
              </w:rPr>
              <w:t>This is the median payment time of all payments that have been made under a trade credit arrangement to small business suppliers and allocated to the relevant operating segment for financial reporting purposes.</w:t>
            </w:r>
          </w:p>
        </w:tc>
      </w:tr>
      <w:tr w:rsidR="00655286" w:rsidRPr="004E3304" w14:paraId="6C725FD7"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8D3E67" w14:textId="127949F6" w:rsidR="00655286" w:rsidRPr="004E3304" w:rsidRDefault="00A711C9" w:rsidP="0050342D">
            <w:pPr>
              <w:rPr>
                <w:szCs w:val="22"/>
              </w:rPr>
            </w:pPr>
            <w:r>
              <w:rPr>
                <w:szCs w:val="22"/>
              </w:rPr>
              <w:t xml:space="preserve">Operating Segment - </w:t>
            </w:r>
            <w:r w:rsidR="00655286" w:rsidRPr="004E3304">
              <w:rPr>
                <w:szCs w:val="22"/>
              </w:rPr>
              <w:t>80th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3D9FE36A"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9E425DC" w14:textId="7903B429"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720677F9" w14:textId="77777777" w:rsidR="009279AF" w:rsidRPr="004E3304" w:rsidRDefault="00655286" w:rsidP="004E3304">
            <w:pPr>
              <w:rPr>
                <w:color w:val="000000"/>
                <w:szCs w:val="22"/>
              </w:rPr>
            </w:pPr>
            <w:r w:rsidRPr="004E3304">
              <w:rPr>
                <w:color w:val="000000"/>
                <w:szCs w:val="22"/>
              </w:rPr>
              <w:t xml:space="preserve">The 80th percentile value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F345E3" w:rsidRPr="004E3304">
              <w:rPr>
                <w:color w:val="000000"/>
                <w:szCs w:val="22"/>
                <w:u w:val="single"/>
              </w:rPr>
              <w:t>segment</w:t>
            </w:r>
            <w:r w:rsidRPr="004E3304">
              <w:rPr>
                <w:color w:val="000000"/>
                <w:szCs w:val="22"/>
              </w:rPr>
              <w:t>.</w:t>
            </w:r>
          </w:p>
          <w:p w14:paraId="008D4649" w14:textId="3FE5E81D" w:rsidR="00655286" w:rsidRPr="004E3304" w:rsidRDefault="00655286" w:rsidP="004E3304">
            <w:pPr>
              <w:rPr>
                <w:color w:val="000000"/>
                <w:szCs w:val="22"/>
              </w:rPr>
            </w:pPr>
            <w:r w:rsidRPr="004E3304">
              <w:rPr>
                <w:color w:val="000000"/>
                <w:szCs w:val="22"/>
              </w:rPr>
              <w:t>This is the number of days to make 80% of the payments that have been made under a trade credit arrangement to small business suppliers and allocated to the relevant operating segment for financial reporting purposes.</w:t>
            </w:r>
          </w:p>
        </w:tc>
      </w:tr>
      <w:tr w:rsidR="00655286" w:rsidRPr="004E3304" w14:paraId="0B79C673"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AD3A666" w14:textId="52170A74" w:rsidR="00655286" w:rsidRPr="004E3304" w:rsidRDefault="00A711C9" w:rsidP="0050342D">
            <w:pPr>
              <w:rPr>
                <w:szCs w:val="22"/>
              </w:rPr>
            </w:pPr>
            <w:r>
              <w:rPr>
                <w:szCs w:val="22"/>
              </w:rPr>
              <w:t xml:space="preserve">Operating Segment - </w:t>
            </w:r>
            <w:r w:rsidR="00655286" w:rsidRPr="004E3304">
              <w:rPr>
                <w:szCs w:val="22"/>
              </w:rPr>
              <w:t>95th percentile payment time</w:t>
            </w:r>
          </w:p>
        </w:tc>
        <w:tc>
          <w:tcPr>
            <w:tcW w:w="1644" w:type="dxa"/>
            <w:tcBorders>
              <w:top w:val="nil"/>
              <w:left w:val="nil"/>
              <w:bottom w:val="single" w:sz="4" w:space="0" w:color="auto"/>
              <w:right w:val="single" w:sz="4" w:space="0" w:color="auto"/>
            </w:tcBorders>
            <w:shd w:val="clear" w:color="auto" w:fill="auto"/>
            <w:vAlign w:val="center"/>
            <w:hideMark/>
          </w:tcPr>
          <w:p w14:paraId="24A39B74"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38F897B" w14:textId="51B753A1"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117707FA" w14:textId="77777777" w:rsidR="00A44777" w:rsidRPr="004E3304" w:rsidRDefault="00655286" w:rsidP="004E3304">
            <w:pPr>
              <w:rPr>
                <w:color w:val="000000"/>
                <w:szCs w:val="22"/>
              </w:rPr>
            </w:pPr>
            <w:r w:rsidRPr="004E3304">
              <w:rPr>
                <w:color w:val="000000"/>
                <w:szCs w:val="22"/>
              </w:rPr>
              <w:t xml:space="preserve">The 95th percentile value of the payment times in the </w:t>
            </w:r>
            <w:r w:rsidR="00761A6E" w:rsidRPr="004E3304">
              <w:rPr>
                <w:b/>
                <w:color w:val="000000"/>
                <w:szCs w:val="22"/>
              </w:rPr>
              <w:t>SBTCP Dataset</w:t>
            </w:r>
            <w:r w:rsidRPr="004E3304">
              <w:rPr>
                <w:color w:val="000000"/>
                <w:szCs w:val="22"/>
              </w:rPr>
              <w:t xml:space="preserve"> that </w:t>
            </w:r>
            <w:r w:rsidRPr="004E3304">
              <w:rPr>
                <w:color w:val="000000"/>
                <w:szCs w:val="22"/>
                <w:u w:val="single"/>
              </w:rPr>
              <w:t xml:space="preserve">relate to the relevant operating </w:t>
            </w:r>
            <w:r w:rsidR="00F345E3" w:rsidRPr="004E3304">
              <w:rPr>
                <w:color w:val="000000"/>
                <w:szCs w:val="22"/>
                <w:u w:val="single"/>
              </w:rPr>
              <w:t>segment</w:t>
            </w:r>
            <w:r w:rsidRPr="004E3304">
              <w:rPr>
                <w:color w:val="000000"/>
                <w:szCs w:val="22"/>
              </w:rPr>
              <w:t>.</w:t>
            </w:r>
            <w:r w:rsidRPr="004E3304">
              <w:rPr>
                <w:color w:val="000000"/>
                <w:szCs w:val="22"/>
              </w:rPr>
              <w:br w:type="page"/>
            </w:r>
            <w:r w:rsidRPr="004E3304">
              <w:rPr>
                <w:color w:val="000000"/>
                <w:szCs w:val="22"/>
              </w:rPr>
              <w:br w:type="page"/>
            </w:r>
          </w:p>
          <w:p w14:paraId="249A1372" w14:textId="1E79BE4A" w:rsidR="00655286" w:rsidRPr="004E3304" w:rsidRDefault="00655286" w:rsidP="004E3304">
            <w:pPr>
              <w:rPr>
                <w:color w:val="000000"/>
                <w:szCs w:val="22"/>
              </w:rPr>
            </w:pPr>
            <w:r w:rsidRPr="004E3304">
              <w:rPr>
                <w:color w:val="000000"/>
                <w:szCs w:val="22"/>
              </w:rPr>
              <w:t>This is the number of days to make 95% of the payments that have been made under a trade credit arrangement to small business suppliers and allocated to the relevant operating segment for financial reporting purposes.</w:t>
            </w:r>
          </w:p>
        </w:tc>
      </w:tr>
      <w:tr w:rsidR="00655286" w:rsidRPr="004E3304" w14:paraId="60973FB9" w14:textId="77777777" w:rsidTr="00EE1D33">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69CA00" w14:textId="04DE1433" w:rsidR="00A711C9" w:rsidRDefault="00A711C9" w:rsidP="0050342D">
            <w:pPr>
              <w:rPr>
                <w:szCs w:val="22"/>
              </w:rPr>
            </w:pPr>
            <w:r>
              <w:rPr>
                <w:szCs w:val="22"/>
              </w:rPr>
              <w:t xml:space="preserve">Operating Segment – </w:t>
            </w:r>
          </w:p>
          <w:p w14:paraId="59BEEF3C" w14:textId="4168DFBF" w:rsidR="00655286" w:rsidRPr="004E3304" w:rsidRDefault="00655286" w:rsidP="0050342D">
            <w:pPr>
              <w:rPr>
                <w:szCs w:val="22"/>
              </w:rPr>
            </w:pPr>
            <w:r w:rsidRPr="004E3304">
              <w:rPr>
                <w:szCs w:val="22"/>
              </w:rPr>
              <w:t>Percentage of small business trade credit arrangements paid within payment terms</w:t>
            </w:r>
          </w:p>
        </w:tc>
        <w:tc>
          <w:tcPr>
            <w:tcW w:w="1644" w:type="dxa"/>
            <w:tcBorders>
              <w:top w:val="nil"/>
              <w:left w:val="nil"/>
              <w:bottom w:val="single" w:sz="4" w:space="0" w:color="auto"/>
              <w:right w:val="single" w:sz="4" w:space="0" w:color="auto"/>
            </w:tcBorders>
            <w:shd w:val="clear" w:color="auto" w:fill="auto"/>
            <w:vAlign w:val="center"/>
            <w:hideMark/>
          </w:tcPr>
          <w:p w14:paraId="0CECB940"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08B87AA" w14:textId="61B9123F"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0A1645E7" w14:textId="67484982" w:rsidR="009279AF" w:rsidRPr="006D244B" w:rsidRDefault="00655286" w:rsidP="004E3304">
            <w:pPr>
              <w:rPr>
                <w:color w:val="000000"/>
                <w:szCs w:val="22"/>
              </w:rPr>
            </w:pPr>
            <w:r w:rsidRPr="004E3304">
              <w:rPr>
                <w:color w:val="000000"/>
                <w:szCs w:val="22"/>
              </w:rPr>
              <w:t>(</w:t>
            </w:r>
            <w:r w:rsidR="001A365E">
              <w:rPr>
                <w:color w:val="000000"/>
                <w:szCs w:val="22"/>
              </w:rPr>
              <w:t>(</w:t>
            </w:r>
            <w:r w:rsidRPr="004E3304">
              <w:rPr>
                <w:color w:val="000000"/>
                <w:szCs w:val="22"/>
              </w:rPr>
              <w:t xml:space="preserve">Number of payments in </w:t>
            </w:r>
            <w:r w:rsidR="00761A6E" w:rsidRPr="004E3304">
              <w:rPr>
                <w:b/>
                <w:color w:val="000000"/>
                <w:szCs w:val="22"/>
              </w:rPr>
              <w:t>SBTCP Dataset</w:t>
            </w:r>
            <w:r w:rsidRPr="004E3304">
              <w:rPr>
                <w:color w:val="000000"/>
                <w:szCs w:val="22"/>
              </w:rPr>
              <w:t xml:space="preserve"> that </w:t>
            </w:r>
            <w:r w:rsidRPr="00E201ED">
              <w:rPr>
                <w:color w:val="000000"/>
                <w:szCs w:val="22"/>
                <w:u w:val="single"/>
              </w:rPr>
              <w:t xml:space="preserve">relate to the relevant operating </w:t>
            </w:r>
            <w:r w:rsidR="00F345E3" w:rsidRPr="00E201ED">
              <w:rPr>
                <w:color w:val="000000"/>
                <w:szCs w:val="22"/>
                <w:u w:val="single"/>
              </w:rPr>
              <w:t>segment</w:t>
            </w:r>
            <w:r w:rsidRPr="004E3304">
              <w:rPr>
                <w:color w:val="000000"/>
                <w:szCs w:val="22"/>
              </w:rPr>
              <w:t xml:space="preserve"> where payment time ≤ payment term</w:t>
            </w:r>
            <w:r w:rsidR="001A365E">
              <w:rPr>
                <w:color w:val="000000"/>
                <w:szCs w:val="22"/>
              </w:rPr>
              <w:t>)</w:t>
            </w:r>
            <w:r w:rsidRPr="004E3304">
              <w:rPr>
                <w:color w:val="000000"/>
                <w:szCs w:val="22"/>
              </w:rPr>
              <w:t xml:space="preserve"> ÷ Number of payments in </w:t>
            </w:r>
            <w:r w:rsidR="00761A6E" w:rsidRPr="004E3304">
              <w:rPr>
                <w:b/>
                <w:color w:val="000000"/>
                <w:szCs w:val="22"/>
              </w:rPr>
              <w:t>SBTCP Dataset</w:t>
            </w:r>
            <w:r w:rsidRPr="004E3304">
              <w:rPr>
                <w:color w:val="000000"/>
                <w:szCs w:val="22"/>
              </w:rPr>
              <w:t xml:space="preserve"> that </w:t>
            </w:r>
            <w:r w:rsidRPr="00E201ED">
              <w:rPr>
                <w:color w:val="000000"/>
                <w:szCs w:val="22"/>
                <w:u w:val="single"/>
              </w:rPr>
              <w:t xml:space="preserve">relate to the relevant operating </w:t>
            </w:r>
            <w:r w:rsidR="00F345E3" w:rsidRPr="00E201ED">
              <w:rPr>
                <w:color w:val="000000"/>
                <w:szCs w:val="22"/>
                <w:u w:val="single"/>
              </w:rPr>
              <w:t>segment</w:t>
            </w:r>
            <w:r w:rsidR="006D244B">
              <w:rPr>
                <w:color w:val="000000"/>
                <w:szCs w:val="22"/>
                <w:u w:val="single"/>
              </w:rPr>
              <w:t>)</w:t>
            </w:r>
            <w:r w:rsidR="006D244B">
              <w:rPr>
                <w:color w:val="000000"/>
                <w:szCs w:val="22"/>
              </w:rPr>
              <w:t xml:space="preserve"> x 100</w:t>
            </w:r>
          </w:p>
          <w:p w14:paraId="33E08689" w14:textId="7D358AAF"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less than or equal to the payment term (for that particular payment).</w:t>
            </w:r>
          </w:p>
        </w:tc>
      </w:tr>
      <w:tr w:rsidR="00655286" w:rsidRPr="004E3304" w14:paraId="0192CCE5" w14:textId="77777777" w:rsidTr="00EE1D33">
        <w:trPr>
          <w:cantSplit/>
          <w:trHeight w:val="22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7498AA" w14:textId="56B992DC" w:rsidR="00655286" w:rsidRPr="004E3304" w:rsidRDefault="00A711C9" w:rsidP="0050342D">
            <w:pPr>
              <w:rPr>
                <w:szCs w:val="22"/>
              </w:rPr>
            </w:pPr>
            <w:r>
              <w:rPr>
                <w:szCs w:val="22"/>
              </w:rPr>
              <w:lastRenderedPageBreak/>
              <w:t xml:space="preserve">Operating Segment - </w:t>
            </w:r>
            <w:r w:rsidR="00655286" w:rsidRPr="004E3304">
              <w:rPr>
                <w:szCs w:val="22"/>
              </w:rPr>
              <w:t>Invoices paid within 30 days (%)</w:t>
            </w:r>
          </w:p>
        </w:tc>
        <w:tc>
          <w:tcPr>
            <w:tcW w:w="1644" w:type="dxa"/>
            <w:tcBorders>
              <w:top w:val="nil"/>
              <w:left w:val="nil"/>
              <w:bottom w:val="single" w:sz="4" w:space="0" w:color="auto"/>
              <w:right w:val="single" w:sz="4" w:space="0" w:color="auto"/>
            </w:tcBorders>
            <w:shd w:val="clear" w:color="auto" w:fill="auto"/>
            <w:vAlign w:val="center"/>
            <w:hideMark/>
          </w:tcPr>
          <w:p w14:paraId="05118049"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0B7331C9" w14:textId="10A7E93B"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574F9EEA" w14:textId="6717349F" w:rsidR="009279AF" w:rsidRPr="004E3304" w:rsidRDefault="006D244B" w:rsidP="004E3304">
            <w:pPr>
              <w:rPr>
                <w:color w:val="000000"/>
                <w:szCs w:val="22"/>
              </w:rPr>
            </w:pPr>
            <w:r>
              <w:rPr>
                <w:color w:val="000000"/>
                <w:szCs w:val="22"/>
              </w:rPr>
              <w:t>(</w:t>
            </w:r>
            <w:r w:rsidR="001A365E">
              <w:rPr>
                <w:color w:val="000000"/>
                <w:szCs w:val="22"/>
              </w:rPr>
              <w:t>(</w:t>
            </w:r>
            <w:r w:rsidR="00655286" w:rsidRPr="004E3304">
              <w:rPr>
                <w:color w:val="000000"/>
                <w:szCs w:val="22"/>
              </w:rPr>
              <w:t xml:space="preserve">Number of payments in </w:t>
            </w:r>
            <w:r w:rsidR="00761A6E" w:rsidRPr="004E3304">
              <w:rPr>
                <w:b/>
                <w:color w:val="000000"/>
                <w:szCs w:val="22"/>
              </w:rPr>
              <w:t>SBTCP Dataset</w:t>
            </w:r>
            <w:r w:rsidR="00655286" w:rsidRPr="004E3304">
              <w:rPr>
                <w:color w:val="000000"/>
                <w:szCs w:val="22"/>
              </w:rPr>
              <w:t xml:space="preserve"> that </w:t>
            </w:r>
            <w:r w:rsidR="00655286" w:rsidRPr="004E3304">
              <w:rPr>
                <w:color w:val="000000"/>
                <w:szCs w:val="22"/>
                <w:u w:val="single"/>
              </w:rPr>
              <w:t xml:space="preserve">relate to the relevant operating </w:t>
            </w:r>
            <w:r w:rsidR="00F345E3" w:rsidRPr="004E3304">
              <w:rPr>
                <w:color w:val="000000"/>
                <w:szCs w:val="22"/>
                <w:u w:val="single"/>
              </w:rPr>
              <w:t>segment</w:t>
            </w:r>
            <w:r w:rsidR="00655286" w:rsidRPr="004E3304">
              <w:rPr>
                <w:color w:val="000000"/>
                <w:szCs w:val="22"/>
              </w:rPr>
              <w:t>, where payment time where Payment Time ≤ 30 days</w:t>
            </w:r>
            <w:r w:rsidR="001A365E">
              <w:rPr>
                <w:color w:val="000000"/>
                <w:szCs w:val="22"/>
              </w:rPr>
              <w:t>)</w:t>
            </w:r>
            <w:r>
              <w:rPr>
                <w:color w:val="000000"/>
                <w:szCs w:val="22"/>
              </w:rPr>
              <w:t xml:space="preserve"> </w:t>
            </w:r>
            <w:r w:rsidRPr="004E3304">
              <w:rPr>
                <w:color w:val="000000"/>
                <w:szCs w:val="22"/>
              </w:rPr>
              <w:t xml:space="preserve">÷ Number of payments in </w:t>
            </w:r>
            <w:r w:rsidRPr="004E3304">
              <w:rPr>
                <w:b/>
                <w:color w:val="000000"/>
                <w:szCs w:val="22"/>
              </w:rPr>
              <w:t>SBTCP Dataset</w:t>
            </w:r>
            <w:r w:rsidRPr="004E3304">
              <w:rPr>
                <w:color w:val="000000"/>
                <w:szCs w:val="22"/>
              </w:rPr>
              <w:t xml:space="preserve"> that </w:t>
            </w:r>
            <w:r w:rsidRPr="006D244B">
              <w:rPr>
                <w:color w:val="000000"/>
                <w:szCs w:val="22"/>
                <w:u w:val="single"/>
              </w:rPr>
              <w:t>relate to the relevant operating segment</w:t>
            </w:r>
            <w:r>
              <w:rPr>
                <w:color w:val="000000"/>
                <w:szCs w:val="22"/>
              </w:rPr>
              <w:t>) x</w:t>
            </w:r>
            <w:r w:rsidR="001D26AD">
              <w:rPr>
                <w:color w:val="000000"/>
                <w:szCs w:val="22"/>
              </w:rPr>
              <w:t xml:space="preserve"> </w:t>
            </w:r>
            <w:r>
              <w:rPr>
                <w:color w:val="000000"/>
                <w:szCs w:val="22"/>
              </w:rPr>
              <w:t>100</w:t>
            </w:r>
          </w:p>
          <w:p w14:paraId="5D49A783" w14:textId="138458CE"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less than or equal to 30 days.</w:t>
            </w:r>
          </w:p>
        </w:tc>
      </w:tr>
      <w:tr w:rsidR="00655286" w:rsidRPr="004E3304" w14:paraId="36CE86E4" w14:textId="77777777" w:rsidTr="00EE1D33">
        <w:trPr>
          <w:cantSplit/>
          <w:trHeight w:val="24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CB16C6" w14:textId="2843F3D1" w:rsidR="00655286" w:rsidRPr="004E3304" w:rsidRDefault="00A711C9" w:rsidP="0050342D">
            <w:pPr>
              <w:rPr>
                <w:szCs w:val="22"/>
              </w:rPr>
            </w:pPr>
            <w:r>
              <w:rPr>
                <w:szCs w:val="22"/>
              </w:rPr>
              <w:t xml:space="preserve">Operating Segment - </w:t>
            </w:r>
            <w:r w:rsidR="00655286" w:rsidRPr="004E3304">
              <w:rPr>
                <w:szCs w:val="22"/>
              </w:rPr>
              <w:t>Invoices paid in 31-60 days (%)</w:t>
            </w:r>
          </w:p>
        </w:tc>
        <w:tc>
          <w:tcPr>
            <w:tcW w:w="1644" w:type="dxa"/>
            <w:tcBorders>
              <w:top w:val="nil"/>
              <w:left w:val="nil"/>
              <w:bottom w:val="single" w:sz="4" w:space="0" w:color="auto"/>
              <w:right w:val="single" w:sz="4" w:space="0" w:color="auto"/>
            </w:tcBorders>
            <w:shd w:val="clear" w:color="auto" w:fill="auto"/>
            <w:vAlign w:val="center"/>
            <w:hideMark/>
          </w:tcPr>
          <w:p w14:paraId="4535A2DD"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5B5E41C" w14:textId="0499637F"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53B8F59E" w14:textId="6D3D559C" w:rsidR="009279AF" w:rsidRPr="004E3304" w:rsidRDefault="006D244B" w:rsidP="004E3304">
            <w:pPr>
              <w:rPr>
                <w:color w:val="000000"/>
                <w:szCs w:val="22"/>
              </w:rPr>
            </w:pPr>
            <w:r>
              <w:rPr>
                <w:color w:val="000000"/>
                <w:szCs w:val="22"/>
              </w:rPr>
              <w:t>(</w:t>
            </w:r>
            <w:r w:rsidR="001A365E">
              <w:rPr>
                <w:color w:val="000000"/>
                <w:szCs w:val="22"/>
              </w:rPr>
              <w:t>(</w:t>
            </w:r>
            <w:r w:rsidR="00655286" w:rsidRPr="004E3304">
              <w:rPr>
                <w:color w:val="000000"/>
                <w:szCs w:val="22"/>
              </w:rPr>
              <w:t xml:space="preserve">Number of payments in </w:t>
            </w:r>
            <w:r w:rsidR="00761A6E" w:rsidRPr="004E3304">
              <w:rPr>
                <w:b/>
                <w:color w:val="000000"/>
                <w:szCs w:val="22"/>
              </w:rPr>
              <w:t>SBTCP Dataset</w:t>
            </w:r>
            <w:r w:rsidR="00655286" w:rsidRPr="004E3304">
              <w:rPr>
                <w:color w:val="000000"/>
                <w:szCs w:val="22"/>
              </w:rPr>
              <w:t xml:space="preserve"> that </w:t>
            </w:r>
            <w:r w:rsidR="00655286" w:rsidRPr="004E3304">
              <w:rPr>
                <w:color w:val="000000"/>
                <w:szCs w:val="22"/>
                <w:u w:val="single"/>
              </w:rPr>
              <w:t xml:space="preserve">relate to the relevant operating </w:t>
            </w:r>
            <w:r w:rsidR="00F345E3" w:rsidRPr="004E3304">
              <w:rPr>
                <w:color w:val="000000"/>
                <w:szCs w:val="22"/>
                <w:u w:val="single"/>
              </w:rPr>
              <w:t>segment</w:t>
            </w:r>
            <w:r w:rsidR="00655286" w:rsidRPr="004E3304">
              <w:rPr>
                <w:color w:val="000000"/>
                <w:szCs w:val="22"/>
              </w:rPr>
              <w:t>, where payment time is &gt; 30 days and ≤ 60 days</w:t>
            </w:r>
            <w:r w:rsidR="001A365E">
              <w:rPr>
                <w:color w:val="000000"/>
                <w:szCs w:val="22"/>
              </w:rPr>
              <w:t>)</w:t>
            </w:r>
            <w:r>
              <w:rPr>
                <w:color w:val="000000"/>
              </w:rPr>
              <w:t xml:space="preserve"> </w:t>
            </w:r>
            <w:r w:rsidRPr="004E3304">
              <w:rPr>
                <w:color w:val="000000"/>
                <w:szCs w:val="22"/>
              </w:rPr>
              <w:t xml:space="preserve">÷ Number of payments in </w:t>
            </w:r>
            <w:r w:rsidRPr="004E3304">
              <w:rPr>
                <w:b/>
                <w:color w:val="000000"/>
                <w:szCs w:val="22"/>
              </w:rPr>
              <w:t>SBTCP Dataset</w:t>
            </w:r>
            <w:r w:rsidRPr="004E3304">
              <w:rPr>
                <w:color w:val="000000"/>
                <w:szCs w:val="22"/>
              </w:rPr>
              <w:t xml:space="preserve"> that </w:t>
            </w:r>
            <w:r w:rsidRPr="006D244B">
              <w:rPr>
                <w:color w:val="000000"/>
                <w:szCs w:val="22"/>
                <w:u w:val="single"/>
              </w:rPr>
              <w:t>relate to the relevant operating segment</w:t>
            </w:r>
            <w:r>
              <w:rPr>
                <w:color w:val="000000"/>
                <w:szCs w:val="22"/>
              </w:rPr>
              <w:t>) x</w:t>
            </w:r>
            <w:r w:rsidR="001D26AD">
              <w:rPr>
                <w:color w:val="000000"/>
                <w:szCs w:val="22"/>
              </w:rPr>
              <w:t xml:space="preserve"> </w:t>
            </w:r>
            <w:r>
              <w:rPr>
                <w:color w:val="000000"/>
                <w:szCs w:val="22"/>
              </w:rPr>
              <w:t>100</w:t>
            </w:r>
          </w:p>
          <w:p w14:paraId="1DFCC843" w14:textId="24906D2C"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between 31 and 60 days.</w:t>
            </w:r>
          </w:p>
        </w:tc>
      </w:tr>
      <w:tr w:rsidR="00655286" w:rsidRPr="004E3304" w14:paraId="285F0A4B" w14:textId="77777777" w:rsidTr="00EE1D33">
        <w:trPr>
          <w:cantSplit/>
          <w:trHeight w:val="23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C19A362" w14:textId="51ED4FFF" w:rsidR="00655286" w:rsidRPr="004E3304" w:rsidRDefault="00A711C9" w:rsidP="0050342D">
            <w:pPr>
              <w:rPr>
                <w:szCs w:val="22"/>
              </w:rPr>
            </w:pPr>
            <w:r>
              <w:rPr>
                <w:szCs w:val="22"/>
              </w:rPr>
              <w:t xml:space="preserve">Operating Segment - </w:t>
            </w:r>
            <w:r w:rsidR="00655286" w:rsidRPr="004E3304">
              <w:rPr>
                <w:szCs w:val="22"/>
              </w:rPr>
              <w:t>Invoices paid over 60 days (%)</w:t>
            </w:r>
          </w:p>
        </w:tc>
        <w:tc>
          <w:tcPr>
            <w:tcW w:w="1644" w:type="dxa"/>
            <w:tcBorders>
              <w:top w:val="nil"/>
              <w:left w:val="nil"/>
              <w:bottom w:val="single" w:sz="4" w:space="0" w:color="auto"/>
              <w:right w:val="single" w:sz="4" w:space="0" w:color="auto"/>
            </w:tcBorders>
            <w:shd w:val="clear" w:color="auto" w:fill="auto"/>
            <w:vAlign w:val="center"/>
            <w:hideMark/>
          </w:tcPr>
          <w:p w14:paraId="6E9DB62C"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3362B271" w14:textId="617D5385"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39ED5CCD" w14:textId="49A528BA" w:rsidR="003A332A" w:rsidRDefault="006D244B" w:rsidP="004E3304">
            <w:pPr>
              <w:rPr>
                <w:color w:val="000000"/>
                <w:szCs w:val="22"/>
              </w:rPr>
            </w:pPr>
            <w:r>
              <w:rPr>
                <w:color w:val="000000"/>
                <w:szCs w:val="22"/>
              </w:rPr>
              <w:t>(</w:t>
            </w:r>
            <w:r w:rsidR="001A365E">
              <w:rPr>
                <w:color w:val="000000"/>
                <w:szCs w:val="22"/>
              </w:rPr>
              <w:t>(</w:t>
            </w:r>
            <w:r w:rsidR="00655286" w:rsidRPr="004E3304">
              <w:rPr>
                <w:color w:val="000000"/>
                <w:szCs w:val="22"/>
              </w:rPr>
              <w:t xml:space="preserve">Number of payments in </w:t>
            </w:r>
            <w:r w:rsidR="00761A6E" w:rsidRPr="004E3304">
              <w:rPr>
                <w:b/>
                <w:color w:val="000000"/>
                <w:szCs w:val="22"/>
              </w:rPr>
              <w:t>SBTCP Dataset</w:t>
            </w:r>
            <w:r w:rsidR="00655286" w:rsidRPr="004E3304">
              <w:rPr>
                <w:color w:val="000000"/>
                <w:szCs w:val="22"/>
              </w:rPr>
              <w:t xml:space="preserve"> that </w:t>
            </w:r>
            <w:r w:rsidR="00655286" w:rsidRPr="004E3304">
              <w:rPr>
                <w:color w:val="000000"/>
                <w:szCs w:val="22"/>
                <w:u w:val="single"/>
              </w:rPr>
              <w:t xml:space="preserve">relate to the relevant operating </w:t>
            </w:r>
            <w:r w:rsidR="00F345E3" w:rsidRPr="004E3304">
              <w:rPr>
                <w:color w:val="000000"/>
                <w:szCs w:val="22"/>
                <w:u w:val="single"/>
              </w:rPr>
              <w:t>segment</w:t>
            </w:r>
            <w:r w:rsidR="00655286" w:rsidRPr="004E3304">
              <w:rPr>
                <w:color w:val="000000"/>
                <w:szCs w:val="22"/>
              </w:rPr>
              <w:t>, where payment time is &gt; 60 days</w:t>
            </w:r>
            <w:r w:rsidR="00655286" w:rsidRPr="004E3304">
              <w:rPr>
                <w:color w:val="000000"/>
                <w:szCs w:val="22"/>
              </w:rPr>
              <w:br w:type="page"/>
            </w:r>
            <w:r w:rsidR="00655286" w:rsidRPr="004E3304">
              <w:rPr>
                <w:color w:val="000000"/>
                <w:szCs w:val="22"/>
              </w:rPr>
              <w:br w:type="page"/>
            </w:r>
            <w:r>
              <w:rPr>
                <w:color w:val="000000"/>
                <w:szCs w:val="22"/>
              </w:rPr>
              <w:t xml:space="preserve"> </w:t>
            </w:r>
            <w:r w:rsidRPr="004E3304">
              <w:rPr>
                <w:color w:val="000000"/>
                <w:szCs w:val="22"/>
              </w:rPr>
              <w:t xml:space="preserve">÷ Number of payments in </w:t>
            </w:r>
            <w:r w:rsidRPr="004E3304">
              <w:rPr>
                <w:b/>
                <w:color w:val="000000"/>
                <w:szCs w:val="22"/>
              </w:rPr>
              <w:t>SBTCP Dataset</w:t>
            </w:r>
            <w:r w:rsidRPr="004E3304">
              <w:rPr>
                <w:color w:val="000000"/>
                <w:szCs w:val="22"/>
              </w:rPr>
              <w:t xml:space="preserve"> that </w:t>
            </w:r>
            <w:r w:rsidRPr="006D244B">
              <w:rPr>
                <w:color w:val="000000"/>
                <w:szCs w:val="22"/>
                <w:u w:val="single"/>
              </w:rPr>
              <w:t>relate to the relevant operating segment</w:t>
            </w:r>
            <w:r>
              <w:rPr>
                <w:color w:val="000000"/>
                <w:szCs w:val="22"/>
              </w:rPr>
              <w:t>) x</w:t>
            </w:r>
            <w:r w:rsidR="001D26AD">
              <w:rPr>
                <w:color w:val="000000"/>
                <w:szCs w:val="22"/>
              </w:rPr>
              <w:t xml:space="preserve"> </w:t>
            </w:r>
            <w:r>
              <w:rPr>
                <w:color w:val="000000"/>
                <w:szCs w:val="22"/>
              </w:rPr>
              <w:t>100</w:t>
            </w:r>
          </w:p>
          <w:p w14:paraId="6C6467A6" w14:textId="7D6229DF" w:rsidR="00655286" w:rsidRPr="004E3304" w:rsidRDefault="00655286" w:rsidP="004E3304">
            <w:pPr>
              <w:rPr>
                <w:color w:val="000000"/>
                <w:szCs w:val="22"/>
              </w:rPr>
            </w:pPr>
            <w:r w:rsidRPr="004E3304">
              <w:rPr>
                <w:color w:val="000000"/>
                <w:szCs w:val="22"/>
              </w:rPr>
              <w:t>This is the proportion of the number of payments that have been made under a trade credit arrangement to small business suppliers and allocated to the relevant operating segment for financial reporting purposes, where the payment time is more than 60 days.</w:t>
            </w:r>
          </w:p>
        </w:tc>
      </w:tr>
      <w:tr w:rsidR="000D3946" w:rsidRPr="004E3304" w14:paraId="7FABBBD8" w14:textId="77777777" w:rsidTr="000D3946">
        <w:trPr>
          <w:cantSplit/>
          <w:trHeight w:val="734"/>
        </w:trPr>
        <w:tc>
          <w:tcPr>
            <w:tcW w:w="14548" w:type="dxa"/>
            <w:gridSpan w:val="6"/>
            <w:tcBorders>
              <w:top w:val="nil"/>
              <w:left w:val="single" w:sz="4" w:space="0" w:color="auto"/>
              <w:bottom w:val="single" w:sz="4" w:space="0" w:color="auto"/>
              <w:right w:val="single" w:sz="4" w:space="0" w:color="auto"/>
            </w:tcBorders>
            <w:shd w:val="clear" w:color="auto" w:fill="auto"/>
            <w:vAlign w:val="center"/>
          </w:tcPr>
          <w:p w14:paraId="7C91C7D2" w14:textId="2DE04F1A" w:rsidR="000D3946" w:rsidRPr="000D3946" w:rsidRDefault="000D3946" w:rsidP="004E3304">
            <w:pPr>
              <w:rPr>
                <w:i/>
                <w:iCs/>
                <w:color w:val="000000"/>
                <w:szCs w:val="22"/>
              </w:rPr>
            </w:pPr>
            <w:r w:rsidRPr="000D3946">
              <w:rPr>
                <w:rFonts w:cs="Calibri"/>
                <w:b/>
                <w:i/>
                <w:iCs/>
                <w:sz w:val="24"/>
                <w:szCs w:val="24"/>
              </w:rPr>
              <w:t xml:space="preserve">Important Note: </w:t>
            </w:r>
            <w:r w:rsidRPr="000D3946">
              <w:rPr>
                <w:rFonts w:cs="Calibri"/>
                <w:i/>
                <w:iCs/>
                <w:color w:val="000000"/>
                <w:sz w:val="20"/>
              </w:rPr>
              <w:t> </w:t>
            </w:r>
            <w:r w:rsidRPr="000D3946">
              <w:rPr>
                <w:rFonts w:cs="Calibri"/>
                <w:i/>
                <w:iCs/>
                <w:color w:val="000000"/>
                <w:szCs w:val="22"/>
              </w:rPr>
              <w:t>Please be advised that the relevant operating segment information is required for each operating segment an entity has. When submitting a report, the necessary data fields will be enabled for additional operating segments, as required</w:t>
            </w:r>
            <w:r w:rsidRPr="000D3946">
              <w:rPr>
                <w:rFonts w:cs="Calibri"/>
                <w:i/>
                <w:iCs/>
                <w:color w:val="000000"/>
                <w:sz w:val="20"/>
              </w:rPr>
              <w:t>.</w:t>
            </w:r>
          </w:p>
        </w:tc>
      </w:tr>
      <w:tr w:rsidR="00C22B14" w:rsidRPr="004E3304" w14:paraId="20FCC025" w14:textId="77777777" w:rsidTr="008F5E70">
        <w:trPr>
          <w:cantSplit/>
          <w:trHeight w:val="369"/>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2146E958" w14:textId="77097D1C" w:rsidR="00C22B14" w:rsidRPr="004E3304" w:rsidRDefault="00C22B14" w:rsidP="008F5E70">
            <w:pPr>
              <w:spacing w:before="80" w:after="80"/>
              <w:rPr>
                <w:b/>
                <w:bCs/>
                <w:i/>
                <w:iCs/>
                <w:color w:val="FFFFFF"/>
                <w:szCs w:val="22"/>
              </w:rPr>
            </w:pPr>
            <w:r w:rsidRPr="00C22B14">
              <w:rPr>
                <w:b/>
                <w:bCs/>
                <w:color w:val="FFFFFF" w:themeColor="background1"/>
                <w:sz w:val="24"/>
                <w:szCs w:val="24"/>
              </w:rPr>
              <w:lastRenderedPageBreak/>
              <w:t>Miscellaneous</w:t>
            </w:r>
          </w:p>
        </w:tc>
      </w:tr>
      <w:tr w:rsidR="00655286" w:rsidRPr="004E3304" w14:paraId="3DAABFD8" w14:textId="77777777" w:rsidTr="008F5E70">
        <w:trPr>
          <w:cantSplit/>
          <w:trHeight w:val="1502"/>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63FEB2" w14:textId="77777777" w:rsidR="00655286" w:rsidRPr="004E3304" w:rsidRDefault="00655286" w:rsidP="008F5E70">
            <w:pPr>
              <w:rPr>
                <w:szCs w:val="22"/>
              </w:rPr>
            </w:pPr>
            <w:r w:rsidRPr="004E3304">
              <w:rPr>
                <w:szCs w:val="22"/>
              </w:rPr>
              <w:t>Small business trade credit payments as a percentage of total number of trade credit payments</w:t>
            </w:r>
          </w:p>
        </w:tc>
        <w:tc>
          <w:tcPr>
            <w:tcW w:w="1644" w:type="dxa"/>
            <w:tcBorders>
              <w:top w:val="nil"/>
              <w:left w:val="nil"/>
              <w:bottom w:val="single" w:sz="4" w:space="0" w:color="auto"/>
              <w:right w:val="single" w:sz="4" w:space="0" w:color="auto"/>
            </w:tcBorders>
            <w:shd w:val="clear" w:color="auto" w:fill="auto"/>
            <w:vAlign w:val="center"/>
            <w:hideMark/>
          </w:tcPr>
          <w:p w14:paraId="662EAF6E"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280CF4B7" w14:textId="5213A64E"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79B1C47B" w14:textId="70A043B6" w:rsidR="009279AF" w:rsidRPr="004E3304" w:rsidRDefault="006D244B" w:rsidP="0030569C">
            <w:pPr>
              <w:spacing w:before="60"/>
              <w:rPr>
                <w:color w:val="000000"/>
                <w:szCs w:val="22"/>
              </w:rPr>
            </w:pPr>
            <w:r>
              <w:rPr>
                <w:color w:val="000000"/>
                <w:szCs w:val="22"/>
              </w:rPr>
              <w:t>(</w:t>
            </w:r>
            <w:r w:rsidR="00655286" w:rsidRPr="004E3304">
              <w:rPr>
                <w:color w:val="000000"/>
                <w:szCs w:val="22"/>
              </w:rPr>
              <w:t xml:space="preserve">(Number of payments in the </w:t>
            </w:r>
            <w:r w:rsidR="00761A6E" w:rsidRPr="004E3304">
              <w:rPr>
                <w:b/>
                <w:color w:val="000000"/>
                <w:szCs w:val="22"/>
              </w:rPr>
              <w:t>SBTCP Dataset</w:t>
            </w:r>
            <w:r w:rsidR="00655286" w:rsidRPr="004E3304">
              <w:rPr>
                <w:color w:val="000000"/>
                <w:szCs w:val="22"/>
              </w:rPr>
              <w:t xml:space="preserve"> + number of partial payments to Australian small business suppliers) ÷ Number of payments in the </w:t>
            </w:r>
            <w:r w:rsidR="00655286" w:rsidRPr="006D244B">
              <w:rPr>
                <w:b/>
                <w:color w:val="000000"/>
                <w:szCs w:val="22"/>
              </w:rPr>
              <w:t>TCP Dataset</w:t>
            </w:r>
            <w:r>
              <w:rPr>
                <w:b/>
                <w:color w:val="000000"/>
                <w:szCs w:val="22"/>
              </w:rPr>
              <w:t xml:space="preserve">) </w:t>
            </w:r>
            <w:r w:rsidRPr="006D244B">
              <w:rPr>
                <w:bCs/>
                <w:color w:val="000000"/>
                <w:szCs w:val="22"/>
              </w:rPr>
              <w:t>x 100</w:t>
            </w:r>
          </w:p>
          <w:p w14:paraId="1414DD96" w14:textId="79B396EC" w:rsidR="00655286" w:rsidRPr="004E3304" w:rsidRDefault="00655286" w:rsidP="0030569C">
            <w:pPr>
              <w:spacing w:after="0"/>
              <w:rPr>
                <w:color w:val="000000"/>
                <w:szCs w:val="22"/>
              </w:rPr>
            </w:pPr>
            <w:r w:rsidRPr="004E3304">
              <w:rPr>
                <w:color w:val="000000"/>
                <w:szCs w:val="22"/>
              </w:rPr>
              <w:t>This is the number of payments made under a trade credit arrangement to small business suppliers as a percentage of the total number of payments made under a trade credit arrangement (to all Australian entities) by the reporting entity and all its controlled entities (considered as a group).</w:t>
            </w:r>
          </w:p>
        </w:tc>
      </w:tr>
      <w:tr w:rsidR="00655286" w:rsidRPr="004E3304" w14:paraId="341EFB59" w14:textId="77777777" w:rsidTr="008F5E70">
        <w:trPr>
          <w:cantSplit/>
          <w:trHeight w:val="113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8E9CCE" w14:textId="77777777" w:rsidR="00655286" w:rsidRPr="004E3304" w:rsidRDefault="00655286" w:rsidP="008F5E70">
            <w:pPr>
              <w:rPr>
                <w:szCs w:val="22"/>
              </w:rPr>
            </w:pPr>
            <w:r w:rsidRPr="004E3304">
              <w:rPr>
                <w:szCs w:val="22"/>
              </w:rPr>
              <w:t>Percentage of Peppol enabled small business procurement</w:t>
            </w:r>
          </w:p>
        </w:tc>
        <w:tc>
          <w:tcPr>
            <w:tcW w:w="1644" w:type="dxa"/>
            <w:tcBorders>
              <w:top w:val="nil"/>
              <w:left w:val="nil"/>
              <w:bottom w:val="single" w:sz="4" w:space="0" w:color="auto"/>
              <w:right w:val="single" w:sz="4" w:space="0" w:color="auto"/>
            </w:tcBorders>
            <w:shd w:val="clear" w:color="auto" w:fill="auto"/>
            <w:vAlign w:val="center"/>
            <w:hideMark/>
          </w:tcPr>
          <w:p w14:paraId="2C2274C9" w14:textId="77777777" w:rsidR="00655286" w:rsidRPr="004E3304" w:rsidRDefault="00655286" w:rsidP="003A332A">
            <w:pPr>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40E716B7" w14:textId="67B6A283" w:rsidR="00655286" w:rsidRPr="004E3304" w:rsidRDefault="003205D4" w:rsidP="003A332A">
            <w:pPr>
              <w:jc w:val="center"/>
              <w:rPr>
                <w:color w:val="000000"/>
                <w:szCs w:val="22"/>
              </w:rPr>
            </w:pPr>
            <w:r>
              <w:rPr>
                <w:color w:val="000000"/>
                <w:szCs w:val="22"/>
              </w:rPr>
              <w:t xml:space="preserve">Number </w:t>
            </w:r>
            <w:r>
              <w:rPr>
                <w:color w:val="000000"/>
                <w:szCs w:val="22"/>
              </w:rPr>
              <w:br/>
              <w:t>[</w:t>
            </w:r>
            <w:r w:rsidR="00655286" w:rsidRPr="004E3304">
              <w:rPr>
                <w:color w:val="000000"/>
                <w:szCs w:val="22"/>
              </w:rPr>
              <w:t>0.00]</w:t>
            </w:r>
          </w:p>
        </w:tc>
        <w:tc>
          <w:tcPr>
            <w:tcW w:w="8430" w:type="dxa"/>
            <w:gridSpan w:val="2"/>
            <w:tcBorders>
              <w:top w:val="nil"/>
              <w:left w:val="nil"/>
              <w:bottom w:val="single" w:sz="4" w:space="0" w:color="auto"/>
              <w:right w:val="single" w:sz="4" w:space="0" w:color="auto"/>
            </w:tcBorders>
            <w:shd w:val="clear" w:color="auto" w:fill="auto"/>
            <w:vAlign w:val="center"/>
            <w:hideMark/>
          </w:tcPr>
          <w:p w14:paraId="25D8B45A" w14:textId="549191E3" w:rsidR="009279AF" w:rsidRPr="004E3304" w:rsidRDefault="00655286" w:rsidP="0030569C">
            <w:pPr>
              <w:spacing w:before="0"/>
              <w:rPr>
                <w:rFonts w:cs="Calibri"/>
                <w:b/>
                <w:color w:val="000000"/>
                <w:sz w:val="20"/>
              </w:rPr>
            </w:pPr>
            <w:r w:rsidRPr="004E3304">
              <w:rPr>
                <w:color w:val="000000"/>
                <w:szCs w:val="22"/>
              </w:rPr>
              <w:t xml:space="preserve">Number of payments that are Peppol capable payments in the </w:t>
            </w:r>
            <w:r w:rsidR="00761A6E" w:rsidRPr="004E3304">
              <w:rPr>
                <w:b/>
                <w:color w:val="000000"/>
                <w:szCs w:val="22"/>
              </w:rPr>
              <w:t>SBTCP Dataset</w:t>
            </w:r>
            <w:r w:rsidRPr="004E3304">
              <w:rPr>
                <w:color w:val="000000"/>
                <w:szCs w:val="22"/>
              </w:rPr>
              <w:t xml:space="preserve"> ÷ Number of payments in the </w:t>
            </w:r>
            <w:r w:rsidR="00761A6E" w:rsidRPr="004E3304">
              <w:rPr>
                <w:b/>
                <w:color w:val="000000"/>
                <w:szCs w:val="22"/>
              </w:rPr>
              <w:t>SBTCP Dataset</w:t>
            </w:r>
            <w:r w:rsidR="00FD6621">
              <w:rPr>
                <w:rFonts w:cs="Calibri"/>
                <w:b/>
                <w:color w:val="000000"/>
                <w:sz w:val="20"/>
              </w:rPr>
              <w:t>.</w:t>
            </w:r>
          </w:p>
          <w:p w14:paraId="7C5F4032" w14:textId="33CBA07D" w:rsidR="00655286" w:rsidRPr="004E3304" w:rsidRDefault="00655286" w:rsidP="0030569C">
            <w:pPr>
              <w:spacing w:after="60"/>
              <w:rPr>
                <w:color w:val="000000"/>
                <w:szCs w:val="22"/>
              </w:rPr>
            </w:pPr>
            <w:r w:rsidRPr="004E3304">
              <w:rPr>
                <w:color w:val="000000"/>
                <w:szCs w:val="22"/>
              </w:rPr>
              <w:t xml:space="preserve">This is the proportion of payments made under a trade credit arrangement to small business suppliers by the reporting entity and all its controlled entities (considered as a group) under that used Peppol-enabled systems. </w:t>
            </w:r>
          </w:p>
        </w:tc>
      </w:tr>
      <w:tr w:rsidR="00655286" w:rsidRPr="004E3304" w14:paraId="3DA1902D" w14:textId="77777777" w:rsidTr="008F5E70">
        <w:trPr>
          <w:cantSplit/>
          <w:trHeight w:val="2392"/>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9D45FF" w14:textId="77777777" w:rsidR="00655286" w:rsidRPr="004E3304" w:rsidRDefault="00655286" w:rsidP="008F5E70">
            <w:pPr>
              <w:rPr>
                <w:szCs w:val="22"/>
              </w:rPr>
            </w:pPr>
            <w:r w:rsidRPr="004E3304">
              <w:rPr>
                <w:szCs w:val="22"/>
              </w:rPr>
              <w:t>Report comments</w:t>
            </w:r>
          </w:p>
        </w:tc>
        <w:tc>
          <w:tcPr>
            <w:tcW w:w="1644" w:type="dxa"/>
            <w:tcBorders>
              <w:top w:val="nil"/>
              <w:left w:val="nil"/>
              <w:bottom w:val="single" w:sz="4" w:space="0" w:color="auto"/>
              <w:right w:val="single" w:sz="4" w:space="0" w:color="auto"/>
            </w:tcBorders>
            <w:shd w:val="clear" w:color="auto" w:fill="auto"/>
            <w:vAlign w:val="center"/>
            <w:hideMark/>
          </w:tcPr>
          <w:p w14:paraId="27BF2AF4" w14:textId="77777777" w:rsidR="00655286" w:rsidRDefault="00655286" w:rsidP="003A332A">
            <w:pPr>
              <w:jc w:val="center"/>
              <w:rPr>
                <w:color w:val="000000"/>
                <w:szCs w:val="22"/>
              </w:rPr>
            </w:pPr>
            <w:r w:rsidRPr="004E3304">
              <w:rPr>
                <w:color w:val="000000"/>
                <w:szCs w:val="22"/>
              </w:rPr>
              <w:t>Optional</w:t>
            </w:r>
          </w:p>
          <w:p w14:paraId="6393181C" w14:textId="7BCD90CF" w:rsidR="00233D68" w:rsidRPr="00233D68" w:rsidRDefault="00233D68" w:rsidP="003A332A">
            <w:pPr>
              <w:jc w:val="center"/>
              <w:rPr>
                <w:color w:val="000000"/>
                <w:sz w:val="18"/>
                <w:szCs w:val="18"/>
              </w:rPr>
            </w:pPr>
            <w:r w:rsidRPr="00233D68">
              <w:rPr>
                <w:color w:val="000000"/>
                <w:sz w:val="18"/>
                <w:szCs w:val="18"/>
              </w:rPr>
              <w:t xml:space="preserve">(Note: </w:t>
            </w:r>
            <w:r w:rsidR="00B321D1">
              <w:rPr>
                <w:color w:val="000000"/>
                <w:sz w:val="18"/>
                <w:szCs w:val="18"/>
              </w:rPr>
              <w:t>mandatory</w:t>
            </w:r>
            <w:r>
              <w:rPr>
                <w:color w:val="000000"/>
                <w:sz w:val="18"/>
                <w:szCs w:val="18"/>
              </w:rPr>
              <w:t xml:space="preserve"> in certain circumstances</w:t>
            </w:r>
            <w:r w:rsidR="006D0002">
              <w:rPr>
                <w:color w:val="000000"/>
                <w:sz w:val="18"/>
                <w:szCs w:val="18"/>
              </w:rPr>
              <w:t xml:space="preserve"> – see description</w:t>
            </w:r>
            <w:r w:rsidR="007F513B">
              <w:rPr>
                <w:color w:val="000000"/>
                <w:sz w:val="18"/>
                <w:szCs w:val="18"/>
              </w:rPr>
              <w:t>)</w:t>
            </w:r>
          </w:p>
        </w:tc>
        <w:tc>
          <w:tcPr>
            <w:tcW w:w="1644" w:type="dxa"/>
            <w:gridSpan w:val="2"/>
            <w:tcBorders>
              <w:top w:val="nil"/>
              <w:left w:val="nil"/>
              <w:bottom w:val="single" w:sz="4" w:space="0" w:color="auto"/>
              <w:right w:val="single" w:sz="4" w:space="0" w:color="auto"/>
            </w:tcBorders>
            <w:shd w:val="clear" w:color="auto" w:fill="auto"/>
            <w:vAlign w:val="center"/>
            <w:hideMark/>
          </w:tcPr>
          <w:p w14:paraId="1D10C729" w14:textId="77777777" w:rsidR="00655286" w:rsidRPr="004E3304" w:rsidRDefault="00655286" w:rsidP="003A332A">
            <w:pPr>
              <w:jc w:val="center"/>
              <w:rPr>
                <w:color w:val="000000"/>
                <w:szCs w:val="22"/>
              </w:rPr>
            </w:pPr>
            <w:r w:rsidRPr="004E3304">
              <w:rPr>
                <w:color w:val="000000"/>
                <w:szCs w:val="22"/>
              </w:rPr>
              <w:t>Text</w:t>
            </w:r>
          </w:p>
        </w:tc>
        <w:tc>
          <w:tcPr>
            <w:tcW w:w="8430" w:type="dxa"/>
            <w:gridSpan w:val="2"/>
            <w:tcBorders>
              <w:top w:val="nil"/>
              <w:left w:val="nil"/>
              <w:bottom w:val="single" w:sz="4" w:space="0" w:color="auto"/>
              <w:right w:val="single" w:sz="4" w:space="0" w:color="auto"/>
            </w:tcBorders>
            <w:shd w:val="clear" w:color="auto" w:fill="auto"/>
            <w:vAlign w:val="center"/>
            <w:hideMark/>
          </w:tcPr>
          <w:p w14:paraId="72E39126" w14:textId="77777777" w:rsidR="00FD6621" w:rsidRDefault="00655286" w:rsidP="00655286">
            <w:pPr>
              <w:spacing w:before="0" w:after="0"/>
              <w:rPr>
                <w:rFonts w:cs="Calibri"/>
                <w:color w:val="000000"/>
                <w:sz w:val="20"/>
              </w:rPr>
            </w:pPr>
            <w:r w:rsidRPr="004E3304">
              <w:rPr>
                <w:color w:val="000000"/>
                <w:szCs w:val="22"/>
              </w:rPr>
              <w:t xml:space="preserve">Explain and provide context for the reporting entity’s payment times and practices. </w:t>
            </w:r>
          </w:p>
          <w:p w14:paraId="72442D14" w14:textId="303F761E" w:rsidR="009279AF" w:rsidRPr="004E3304" w:rsidRDefault="002C41FB" w:rsidP="004E3304">
            <w:pPr>
              <w:rPr>
                <w:color w:val="000000"/>
                <w:szCs w:val="22"/>
              </w:rPr>
            </w:pPr>
            <w:r>
              <w:t>Entities must provide</w:t>
            </w:r>
            <w:r w:rsidR="00104A8C">
              <w:t xml:space="preserve"> </w:t>
            </w:r>
            <w:r w:rsidR="00104A8C" w:rsidRPr="00104A8C">
              <w:rPr>
                <w:color w:val="000000"/>
                <w:szCs w:val="22"/>
              </w:rPr>
              <w:t>reasonable additional information relating to any of the following</w:t>
            </w:r>
            <w:r w:rsidR="00655286" w:rsidRPr="004E3304">
              <w:rPr>
                <w:color w:val="000000"/>
                <w:szCs w:val="22"/>
              </w:rPr>
              <w:t>:</w:t>
            </w:r>
          </w:p>
          <w:p w14:paraId="6F5AC768" w14:textId="3AAF0717" w:rsidR="009279AF" w:rsidRPr="004E3304" w:rsidRDefault="00655286" w:rsidP="00390FA0">
            <w:pPr>
              <w:pStyle w:val="Bullet"/>
              <w:spacing w:after="0"/>
              <w:ind w:left="284" w:hanging="284"/>
            </w:pPr>
            <w:r w:rsidRPr="004E3304">
              <w:t>Material events that affected payment times</w:t>
            </w:r>
            <w:r w:rsidR="003851B2">
              <w:t xml:space="preserve"> and practi</w:t>
            </w:r>
            <w:r w:rsidR="00D00ED0">
              <w:t>c</w:t>
            </w:r>
            <w:r w:rsidR="003851B2">
              <w:t>es</w:t>
            </w:r>
            <w:r w:rsidRPr="004E3304">
              <w:t>.</w:t>
            </w:r>
          </w:p>
          <w:p w14:paraId="1E401CBE" w14:textId="45589A2D" w:rsidR="009279AF" w:rsidRPr="004E3304" w:rsidRDefault="00655286" w:rsidP="00390FA0">
            <w:pPr>
              <w:pStyle w:val="Bullet"/>
              <w:spacing w:after="0"/>
              <w:ind w:left="284" w:hanging="284"/>
            </w:pPr>
            <w:r w:rsidRPr="004E3304">
              <w:t>Changes to financial reporting practices or methods.</w:t>
            </w:r>
          </w:p>
          <w:p w14:paraId="5A3E256F" w14:textId="5750B80F" w:rsidR="009279AF" w:rsidRPr="004E3304" w:rsidRDefault="00655286" w:rsidP="00390FA0">
            <w:pPr>
              <w:pStyle w:val="Bullet"/>
              <w:spacing w:after="0"/>
              <w:ind w:left="284" w:hanging="284"/>
            </w:pPr>
            <w:r w:rsidRPr="004E3304">
              <w:t xml:space="preserve">Identification of controlled entities for which payment data was excluded, explaining why the information was not accessible. </w:t>
            </w:r>
          </w:p>
          <w:p w14:paraId="5A5FA6EF" w14:textId="0985BF80" w:rsidR="00DE6480" w:rsidRPr="004E3304" w:rsidRDefault="00DE6480" w:rsidP="00390FA0">
            <w:pPr>
              <w:pStyle w:val="Bullet"/>
              <w:spacing w:after="0"/>
              <w:ind w:left="284" w:hanging="284"/>
            </w:pPr>
            <w:r>
              <w:t>Any other details without which the report is likely to be misleading in a material respect.</w:t>
            </w:r>
          </w:p>
          <w:p w14:paraId="27B53355" w14:textId="058BAB7A" w:rsidR="00655286" w:rsidRPr="004E3304" w:rsidRDefault="00655286" w:rsidP="0030569C">
            <w:pPr>
              <w:spacing w:after="60"/>
              <w:rPr>
                <w:color w:val="000000"/>
                <w:szCs w:val="22"/>
              </w:rPr>
            </w:pPr>
            <w:r w:rsidRPr="004E3304">
              <w:rPr>
                <w:color w:val="000000"/>
                <w:szCs w:val="22"/>
              </w:rPr>
              <w:t>Comments should not include any personal or commercially sensitive information.</w:t>
            </w:r>
          </w:p>
        </w:tc>
      </w:tr>
      <w:tr w:rsidR="00655286" w:rsidRPr="004E3304" w14:paraId="54CBEE37" w14:textId="77777777" w:rsidTr="008F5E70">
        <w:trPr>
          <w:cantSplit/>
          <w:trHeight w:hRule="exact" w:val="39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A24DFCB" w14:textId="77777777" w:rsidR="00655286" w:rsidRPr="004E3304" w:rsidRDefault="00655286" w:rsidP="008F5E70">
            <w:pPr>
              <w:spacing w:before="0" w:after="0"/>
              <w:rPr>
                <w:szCs w:val="22"/>
              </w:rPr>
            </w:pPr>
            <w:r w:rsidRPr="004E3304">
              <w:rPr>
                <w:szCs w:val="22"/>
              </w:rPr>
              <w:t>Modified report information</w:t>
            </w:r>
          </w:p>
        </w:tc>
        <w:tc>
          <w:tcPr>
            <w:tcW w:w="1644" w:type="dxa"/>
            <w:tcBorders>
              <w:top w:val="nil"/>
              <w:left w:val="nil"/>
              <w:bottom w:val="single" w:sz="4" w:space="0" w:color="auto"/>
              <w:right w:val="single" w:sz="4" w:space="0" w:color="auto"/>
            </w:tcBorders>
            <w:shd w:val="clear" w:color="auto" w:fill="auto"/>
            <w:vAlign w:val="center"/>
            <w:hideMark/>
          </w:tcPr>
          <w:p w14:paraId="73AA5997" w14:textId="3E5D628A" w:rsidR="00655286" w:rsidRPr="004E3304" w:rsidRDefault="00FA53A6" w:rsidP="0030569C">
            <w:pPr>
              <w:spacing w:before="0" w:after="0"/>
              <w:jc w:val="center"/>
              <w:rPr>
                <w:color w:val="000000"/>
                <w:szCs w:val="22"/>
              </w:rPr>
            </w:pPr>
            <w:r>
              <w:rPr>
                <w:color w:val="000000"/>
                <w:szCs w:val="22"/>
              </w:rPr>
              <w:t>Recommend</w:t>
            </w:r>
            <w:r w:rsidR="00B76565">
              <w:rPr>
                <w:color w:val="000000"/>
                <w:szCs w:val="22"/>
              </w:rPr>
              <w:t>ed</w:t>
            </w:r>
          </w:p>
        </w:tc>
        <w:tc>
          <w:tcPr>
            <w:tcW w:w="1644" w:type="dxa"/>
            <w:gridSpan w:val="2"/>
            <w:tcBorders>
              <w:top w:val="nil"/>
              <w:left w:val="nil"/>
              <w:bottom w:val="single" w:sz="4" w:space="0" w:color="auto"/>
              <w:right w:val="single" w:sz="4" w:space="0" w:color="auto"/>
            </w:tcBorders>
            <w:shd w:val="clear" w:color="auto" w:fill="auto"/>
            <w:vAlign w:val="center"/>
            <w:hideMark/>
          </w:tcPr>
          <w:p w14:paraId="693BF6F4" w14:textId="77777777" w:rsidR="00655286" w:rsidRPr="004E3304" w:rsidRDefault="00655286" w:rsidP="0030569C">
            <w:pPr>
              <w:spacing w:before="0" w:after="0"/>
              <w:jc w:val="center"/>
              <w:rPr>
                <w:color w:val="000000"/>
                <w:szCs w:val="22"/>
              </w:rPr>
            </w:pPr>
            <w:r w:rsidRPr="004E3304">
              <w:rPr>
                <w:color w:val="000000"/>
                <w:szCs w:val="22"/>
              </w:rPr>
              <w:t>Text</w:t>
            </w:r>
          </w:p>
        </w:tc>
        <w:tc>
          <w:tcPr>
            <w:tcW w:w="8430" w:type="dxa"/>
            <w:gridSpan w:val="2"/>
            <w:tcBorders>
              <w:top w:val="nil"/>
              <w:left w:val="nil"/>
              <w:bottom w:val="single" w:sz="4" w:space="0" w:color="auto"/>
              <w:right w:val="single" w:sz="4" w:space="0" w:color="auto"/>
            </w:tcBorders>
            <w:shd w:val="clear" w:color="auto" w:fill="auto"/>
            <w:vAlign w:val="center"/>
            <w:hideMark/>
          </w:tcPr>
          <w:p w14:paraId="3C7DEDA5" w14:textId="77777777" w:rsidR="00655286" w:rsidRPr="004E3304" w:rsidRDefault="00655286" w:rsidP="0030569C">
            <w:pPr>
              <w:spacing w:before="0" w:after="0"/>
              <w:rPr>
                <w:color w:val="000000"/>
                <w:szCs w:val="22"/>
              </w:rPr>
            </w:pPr>
            <w:r w:rsidRPr="004E3304">
              <w:rPr>
                <w:color w:val="000000"/>
                <w:szCs w:val="22"/>
              </w:rPr>
              <w:t>Explain and provide context for the reporting entity’s modified report.</w:t>
            </w:r>
          </w:p>
        </w:tc>
      </w:tr>
      <w:tr w:rsidR="003A332A" w:rsidRPr="004E3304" w14:paraId="660DF494" w14:textId="77777777" w:rsidTr="008F5E70">
        <w:trPr>
          <w:cantSplit/>
          <w:trHeight w:val="188"/>
        </w:trPr>
        <w:tc>
          <w:tcPr>
            <w:tcW w:w="14548" w:type="dxa"/>
            <w:gridSpan w:val="6"/>
            <w:tcBorders>
              <w:top w:val="nil"/>
              <w:left w:val="single" w:sz="4" w:space="0" w:color="auto"/>
              <w:bottom w:val="single" w:sz="4" w:space="0" w:color="auto"/>
              <w:right w:val="single" w:sz="4" w:space="0" w:color="auto"/>
            </w:tcBorders>
            <w:shd w:val="clear" w:color="000000" w:fill="00827F"/>
            <w:noWrap/>
            <w:vAlign w:val="center"/>
            <w:hideMark/>
          </w:tcPr>
          <w:p w14:paraId="6B1AD8DE" w14:textId="7E0F877F" w:rsidR="003A332A" w:rsidRPr="004E3304" w:rsidRDefault="003A332A" w:rsidP="008F5E70">
            <w:pPr>
              <w:keepNext/>
              <w:spacing w:before="80" w:after="80"/>
              <w:rPr>
                <w:b/>
                <w:bCs/>
                <w:i/>
                <w:iCs/>
                <w:color w:val="FFFFFF"/>
                <w:szCs w:val="22"/>
              </w:rPr>
            </w:pPr>
            <w:r w:rsidRPr="00C22B14">
              <w:rPr>
                <w:b/>
                <w:bCs/>
                <w:color w:val="FFFFFF" w:themeColor="background1"/>
                <w:sz w:val="24"/>
                <w:szCs w:val="24"/>
              </w:rPr>
              <w:t>Declaration</w:t>
            </w:r>
          </w:p>
        </w:tc>
      </w:tr>
      <w:tr w:rsidR="00655286" w:rsidRPr="004E3304" w14:paraId="548E7810" w14:textId="77777777" w:rsidTr="008F5E70">
        <w:trPr>
          <w:cantSplit/>
          <w:trHeight w:val="39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06CC4C8" w14:textId="47EAC5B7" w:rsidR="00655286" w:rsidRPr="004E3304" w:rsidRDefault="00655286" w:rsidP="008F5E70">
            <w:pPr>
              <w:spacing w:before="0" w:after="0"/>
              <w:rPr>
                <w:szCs w:val="22"/>
              </w:rPr>
            </w:pPr>
            <w:r w:rsidRPr="004E3304">
              <w:rPr>
                <w:szCs w:val="22"/>
              </w:rPr>
              <w:t>Declaration</w:t>
            </w:r>
          </w:p>
        </w:tc>
        <w:tc>
          <w:tcPr>
            <w:tcW w:w="1644" w:type="dxa"/>
            <w:tcBorders>
              <w:top w:val="nil"/>
              <w:left w:val="nil"/>
              <w:bottom w:val="single" w:sz="4" w:space="0" w:color="auto"/>
              <w:right w:val="single" w:sz="4" w:space="0" w:color="auto"/>
            </w:tcBorders>
            <w:shd w:val="clear" w:color="auto" w:fill="auto"/>
            <w:vAlign w:val="center"/>
            <w:hideMark/>
          </w:tcPr>
          <w:p w14:paraId="27C5FF87" w14:textId="77777777" w:rsidR="00655286" w:rsidRPr="004E3304" w:rsidRDefault="00655286" w:rsidP="0030569C">
            <w:pPr>
              <w:spacing w:before="0" w:after="0"/>
              <w:jc w:val="center"/>
              <w:rPr>
                <w:color w:val="000000"/>
                <w:szCs w:val="22"/>
              </w:rPr>
            </w:pPr>
            <w:r w:rsidRPr="004E3304">
              <w:rPr>
                <w:color w:val="000000"/>
                <w:szCs w:val="22"/>
              </w:rPr>
              <w:t>Mandatory</w:t>
            </w:r>
          </w:p>
        </w:tc>
        <w:tc>
          <w:tcPr>
            <w:tcW w:w="1644" w:type="dxa"/>
            <w:gridSpan w:val="2"/>
            <w:tcBorders>
              <w:top w:val="nil"/>
              <w:left w:val="nil"/>
              <w:bottom w:val="single" w:sz="4" w:space="0" w:color="auto"/>
              <w:right w:val="single" w:sz="4" w:space="0" w:color="auto"/>
            </w:tcBorders>
            <w:shd w:val="clear" w:color="auto" w:fill="auto"/>
            <w:vAlign w:val="center"/>
            <w:hideMark/>
          </w:tcPr>
          <w:p w14:paraId="71E8B3D5" w14:textId="77777777" w:rsidR="00655286" w:rsidRPr="004E3304" w:rsidRDefault="00655286" w:rsidP="0030569C">
            <w:pPr>
              <w:spacing w:before="0" w:after="0"/>
              <w:jc w:val="center"/>
              <w:rPr>
                <w:color w:val="000000"/>
                <w:szCs w:val="22"/>
              </w:rPr>
            </w:pPr>
            <w:r w:rsidRPr="004E3304">
              <w:rPr>
                <w:color w:val="000000"/>
                <w:szCs w:val="22"/>
              </w:rPr>
              <w:t>Checkbox</w:t>
            </w:r>
          </w:p>
        </w:tc>
        <w:tc>
          <w:tcPr>
            <w:tcW w:w="8430" w:type="dxa"/>
            <w:gridSpan w:val="2"/>
            <w:tcBorders>
              <w:top w:val="nil"/>
              <w:left w:val="nil"/>
              <w:bottom w:val="single" w:sz="4" w:space="0" w:color="auto"/>
              <w:right w:val="single" w:sz="4" w:space="0" w:color="auto"/>
            </w:tcBorders>
            <w:shd w:val="clear" w:color="auto" w:fill="auto"/>
            <w:vAlign w:val="center"/>
            <w:hideMark/>
          </w:tcPr>
          <w:p w14:paraId="0747F1C3" w14:textId="72C3BBA9" w:rsidR="00655286" w:rsidRPr="004E3304" w:rsidRDefault="00655286" w:rsidP="0030569C">
            <w:pPr>
              <w:spacing w:before="0" w:after="0"/>
              <w:rPr>
                <w:color w:val="000000"/>
                <w:szCs w:val="22"/>
              </w:rPr>
            </w:pPr>
          </w:p>
        </w:tc>
      </w:tr>
    </w:tbl>
    <w:p w14:paraId="0389E54C" w14:textId="77777777" w:rsidR="00700A2E" w:rsidRDefault="0051511D" w:rsidP="00823954">
      <w:pPr>
        <w:pStyle w:val="Heading3"/>
      </w:pPr>
      <w:bookmarkStart w:id="9" w:name="_Toc184842616"/>
      <w:r>
        <w:lastRenderedPageBreak/>
        <w:t>Modified Report – Nil report</w:t>
      </w:r>
      <w:r w:rsidR="00700A2E">
        <w:t>er</w:t>
      </w:r>
      <w:bookmarkEnd w:id="9"/>
    </w:p>
    <w:tbl>
      <w:tblPr>
        <w:tblW w:w="14565" w:type="dxa"/>
        <w:tblCellMar>
          <w:top w:w="28" w:type="dxa"/>
          <w:left w:w="85" w:type="dxa"/>
          <w:bottom w:w="28" w:type="dxa"/>
          <w:right w:w="85" w:type="dxa"/>
        </w:tblCellMar>
        <w:tblLook w:val="04A0" w:firstRow="1" w:lastRow="0" w:firstColumn="1" w:lastColumn="0" w:noHBand="0" w:noVBand="1"/>
      </w:tblPr>
      <w:tblGrid>
        <w:gridCol w:w="2830"/>
        <w:gridCol w:w="1630"/>
        <w:gridCol w:w="71"/>
        <w:gridCol w:w="1560"/>
        <w:gridCol w:w="8474"/>
      </w:tblGrid>
      <w:tr w:rsidR="00E16CFA" w:rsidRPr="000B68C7" w14:paraId="3281A805" w14:textId="77777777" w:rsidTr="0092223B">
        <w:trPr>
          <w:trHeight w:val="680"/>
          <w:tblHeader/>
        </w:trPr>
        <w:tc>
          <w:tcPr>
            <w:tcW w:w="14565" w:type="dxa"/>
            <w:gridSpan w:val="5"/>
            <w:tcBorders>
              <w:top w:val="single" w:sz="4" w:space="0" w:color="auto"/>
              <w:left w:val="single" w:sz="4" w:space="0" w:color="auto"/>
              <w:bottom w:val="single" w:sz="4" w:space="0" w:color="auto"/>
              <w:right w:val="nil"/>
            </w:tcBorders>
            <w:shd w:val="clear" w:color="auto" w:fill="1D3757" w:themeFill="accent3" w:themeFillShade="80"/>
            <w:vAlign w:val="center"/>
            <w:hideMark/>
          </w:tcPr>
          <w:p w14:paraId="0735F58A" w14:textId="77777777" w:rsidR="00E16CFA" w:rsidRDefault="00E16CFA" w:rsidP="0092223B">
            <w:pPr>
              <w:spacing w:before="0" w:after="0"/>
              <w:rPr>
                <w:rFonts w:cs="Calibri"/>
                <w:b/>
                <w:bCs/>
                <w:color w:val="FFFFFF"/>
                <w:sz w:val="28"/>
                <w:szCs w:val="28"/>
              </w:rPr>
            </w:pPr>
            <w:r w:rsidRPr="000B68C7">
              <w:rPr>
                <w:rFonts w:cs="Calibri"/>
                <w:b/>
                <w:bCs/>
                <w:color w:val="FFFFFF"/>
                <w:sz w:val="28"/>
                <w:szCs w:val="28"/>
              </w:rPr>
              <w:t>MODIFIED PAYMENT TIMES REPORT</w:t>
            </w:r>
            <w:r>
              <w:rPr>
                <w:rFonts w:cs="Calibri"/>
                <w:b/>
                <w:bCs/>
                <w:color w:val="FFFFFF"/>
                <w:sz w:val="28"/>
                <w:szCs w:val="28"/>
              </w:rPr>
              <w:t xml:space="preserve"> – NIL REPORTER</w:t>
            </w:r>
          </w:p>
          <w:p w14:paraId="3C195293" w14:textId="77777777" w:rsidR="00E16CFA" w:rsidRPr="00BB7DE8" w:rsidRDefault="00E16CFA" w:rsidP="0092223B">
            <w:pPr>
              <w:spacing w:before="0" w:after="0"/>
              <w:rPr>
                <w:rFonts w:cs="Calibri"/>
                <w:b/>
                <w:bCs/>
                <w:color w:val="FFFFFF"/>
                <w:sz w:val="26"/>
                <w:szCs w:val="26"/>
              </w:rPr>
            </w:pPr>
            <w:r w:rsidRPr="00BB7DE8">
              <w:rPr>
                <w:rFonts w:cs="Calibri"/>
                <w:b/>
                <w:bCs/>
                <w:color w:val="FFFFFF"/>
                <w:sz w:val="26"/>
                <w:szCs w:val="26"/>
              </w:rPr>
              <w:t>Entity that did not make any payments to small business suppliers</w:t>
            </w:r>
          </w:p>
        </w:tc>
      </w:tr>
      <w:tr w:rsidR="00E16CFA" w:rsidRPr="000B68C7" w14:paraId="521FC86D" w14:textId="77777777" w:rsidTr="0092223B">
        <w:trPr>
          <w:trHeight w:val="510"/>
          <w:tblHeader/>
        </w:trPr>
        <w:tc>
          <w:tcPr>
            <w:tcW w:w="2830" w:type="dxa"/>
            <w:tcBorders>
              <w:top w:val="nil"/>
              <w:left w:val="single" w:sz="4" w:space="0" w:color="auto"/>
              <w:bottom w:val="single" w:sz="4" w:space="0" w:color="auto"/>
              <w:right w:val="single" w:sz="4" w:space="0" w:color="auto"/>
            </w:tcBorders>
            <w:shd w:val="clear" w:color="000000" w:fill="ACC5E3"/>
            <w:vAlign w:val="center"/>
            <w:hideMark/>
          </w:tcPr>
          <w:p w14:paraId="3317A0C2" w14:textId="77777777" w:rsidR="00E16CFA" w:rsidRPr="000B68C7" w:rsidRDefault="00E16CFA" w:rsidP="0092223B">
            <w:pPr>
              <w:spacing w:before="0" w:after="0"/>
              <w:rPr>
                <w:rFonts w:cs="Calibri"/>
                <w:b/>
                <w:bCs/>
                <w:color w:val="000000"/>
                <w:sz w:val="24"/>
                <w:szCs w:val="24"/>
              </w:rPr>
            </w:pPr>
            <w:r w:rsidRPr="000B68C7">
              <w:rPr>
                <w:rFonts w:cs="Calibri"/>
                <w:b/>
                <w:bCs/>
                <w:color w:val="000000"/>
                <w:sz w:val="24"/>
                <w:szCs w:val="24"/>
              </w:rPr>
              <w:t>Field Name</w:t>
            </w:r>
          </w:p>
        </w:tc>
        <w:tc>
          <w:tcPr>
            <w:tcW w:w="1630" w:type="dxa"/>
            <w:tcBorders>
              <w:top w:val="nil"/>
              <w:left w:val="nil"/>
              <w:bottom w:val="single" w:sz="4" w:space="0" w:color="auto"/>
              <w:right w:val="single" w:sz="4" w:space="0" w:color="auto"/>
            </w:tcBorders>
            <w:shd w:val="clear" w:color="000000" w:fill="ACC5E3"/>
            <w:vAlign w:val="center"/>
            <w:hideMark/>
          </w:tcPr>
          <w:p w14:paraId="2C7EFD42" w14:textId="77777777" w:rsidR="00E16CFA" w:rsidRPr="000B68C7" w:rsidRDefault="00E16CFA" w:rsidP="00231424">
            <w:pPr>
              <w:spacing w:before="0" w:after="0"/>
              <w:jc w:val="center"/>
              <w:rPr>
                <w:rFonts w:cs="Calibri"/>
                <w:b/>
                <w:bCs/>
                <w:color w:val="000000"/>
                <w:sz w:val="24"/>
                <w:szCs w:val="24"/>
              </w:rPr>
            </w:pPr>
            <w:r w:rsidRPr="000B68C7">
              <w:rPr>
                <w:rFonts w:cs="Calibri"/>
                <w:b/>
                <w:bCs/>
                <w:color w:val="000000"/>
                <w:sz w:val="24"/>
                <w:szCs w:val="24"/>
              </w:rPr>
              <w:t>Field Type</w:t>
            </w:r>
          </w:p>
        </w:tc>
        <w:tc>
          <w:tcPr>
            <w:tcW w:w="1631" w:type="dxa"/>
            <w:gridSpan w:val="2"/>
            <w:tcBorders>
              <w:top w:val="nil"/>
              <w:left w:val="nil"/>
              <w:bottom w:val="single" w:sz="4" w:space="0" w:color="auto"/>
              <w:right w:val="single" w:sz="4" w:space="0" w:color="auto"/>
            </w:tcBorders>
            <w:shd w:val="clear" w:color="000000" w:fill="ACC5E3"/>
            <w:vAlign w:val="center"/>
            <w:hideMark/>
          </w:tcPr>
          <w:p w14:paraId="1EC68B18" w14:textId="77777777" w:rsidR="00E16CFA" w:rsidRPr="000B68C7" w:rsidRDefault="00E16CFA" w:rsidP="00231424">
            <w:pPr>
              <w:spacing w:before="0" w:after="0"/>
              <w:jc w:val="center"/>
              <w:rPr>
                <w:rFonts w:cs="Calibri"/>
                <w:b/>
                <w:bCs/>
                <w:color w:val="000000"/>
                <w:sz w:val="24"/>
                <w:szCs w:val="24"/>
              </w:rPr>
            </w:pPr>
            <w:r w:rsidRPr="000B68C7">
              <w:rPr>
                <w:rFonts w:cs="Calibri"/>
                <w:b/>
                <w:bCs/>
                <w:color w:val="000000"/>
                <w:sz w:val="24"/>
                <w:szCs w:val="24"/>
              </w:rPr>
              <w:t>Field Format</w:t>
            </w:r>
          </w:p>
        </w:tc>
        <w:tc>
          <w:tcPr>
            <w:tcW w:w="8474" w:type="dxa"/>
            <w:tcBorders>
              <w:top w:val="nil"/>
              <w:left w:val="nil"/>
              <w:bottom w:val="single" w:sz="4" w:space="0" w:color="auto"/>
              <w:right w:val="single" w:sz="4" w:space="0" w:color="auto"/>
            </w:tcBorders>
            <w:shd w:val="clear" w:color="000000" w:fill="ACC5E3"/>
            <w:vAlign w:val="center"/>
            <w:hideMark/>
          </w:tcPr>
          <w:p w14:paraId="41D2E173" w14:textId="77777777" w:rsidR="00E16CFA" w:rsidRPr="000B68C7" w:rsidRDefault="00E16CFA" w:rsidP="0092223B">
            <w:pPr>
              <w:spacing w:before="0" w:after="0"/>
              <w:rPr>
                <w:rFonts w:cs="Calibri"/>
                <w:b/>
                <w:bCs/>
                <w:color w:val="000000"/>
                <w:sz w:val="24"/>
                <w:szCs w:val="24"/>
              </w:rPr>
            </w:pPr>
            <w:r w:rsidRPr="000B68C7">
              <w:rPr>
                <w:rFonts w:cs="Calibri"/>
                <w:b/>
                <w:bCs/>
                <w:color w:val="000000"/>
                <w:sz w:val="24"/>
                <w:szCs w:val="24"/>
              </w:rPr>
              <w:t>Description</w:t>
            </w:r>
          </w:p>
        </w:tc>
      </w:tr>
      <w:tr w:rsidR="00BB7DE8" w:rsidRPr="00BB7DE8" w14:paraId="128E6E01" w14:textId="77777777" w:rsidTr="0092223B">
        <w:trPr>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675A6981" w14:textId="2EF48B4A" w:rsidR="00BB7DE8" w:rsidRPr="00BB7DE8" w:rsidRDefault="00BB7DE8" w:rsidP="0092223B">
            <w:pPr>
              <w:spacing w:before="80" w:after="80"/>
              <w:rPr>
                <w:b/>
                <w:bCs/>
                <w:color w:val="FFFFFF" w:themeColor="background1"/>
                <w:sz w:val="24"/>
                <w:szCs w:val="24"/>
              </w:rPr>
            </w:pPr>
            <w:bookmarkStart w:id="10" w:name="_Hlk184390198"/>
            <w:r w:rsidRPr="00BB7DE8">
              <w:rPr>
                <w:b/>
                <w:bCs/>
                <w:color w:val="FFFFFF" w:themeColor="background1"/>
                <w:sz w:val="24"/>
                <w:szCs w:val="24"/>
              </w:rPr>
              <w:t>Entity Details</w:t>
            </w:r>
          </w:p>
        </w:tc>
      </w:tr>
      <w:bookmarkEnd w:id="10"/>
      <w:tr w:rsidR="00BB7DE8" w:rsidRPr="00BB7DE8" w14:paraId="6D255ECE"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1EE4AA" w14:textId="77777777" w:rsidR="00BB7DE8" w:rsidRPr="00BB7DE8" w:rsidRDefault="00BB7DE8" w:rsidP="0092223B">
            <w:r w:rsidRPr="00BB7DE8">
              <w:t>Entity Name</w:t>
            </w:r>
          </w:p>
        </w:tc>
        <w:tc>
          <w:tcPr>
            <w:tcW w:w="3261" w:type="dxa"/>
            <w:gridSpan w:val="3"/>
            <w:tcBorders>
              <w:top w:val="nil"/>
              <w:left w:val="nil"/>
              <w:bottom w:val="single" w:sz="4" w:space="0" w:color="auto"/>
              <w:right w:val="single" w:sz="4" w:space="0" w:color="auto"/>
            </w:tcBorders>
            <w:shd w:val="clear" w:color="auto" w:fill="auto"/>
            <w:vAlign w:val="center"/>
            <w:hideMark/>
          </w:tcPr>
          <w:p w14:paraId="57577549" w14:textId="25C1FC09" w:rsidR="00BB7DE8" w:rsidRPr="00BB7DE8" w:rsidRDefault="00BB7DE8" w:rsidP="00BB7DE8">
            <w:pPr>
              <w:jc w:val="center"/>
              <w:rPr>
                <w:color w:val="000000"/>
              </w:rPr>
            </w:pPr>
            <w:r w:rsidRPr="00BB7DE8">
              <w:rPr>
                <w:color w:val="000000"/>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513B5B2B" w14:textId="2A821F19" w:rsidR="00BB7DE8" w:rsidRPr="00BB7DE8" w:rsidRDefault="00BB7DE8" w:rsidP="00BB7DE8">
            <w:pPr>
              <w:rPr>
                <w:color w:val="000000"/>
              </w:rPr>
            </w:pPr>
            <w:r w:rsidRPr="00BB7DE8">
              <w:rPr>
                <w:color w:val="000000"/>
              </w:rPr>
              <w:t>Reporting entity's name as registered on the Australian Business Register</w:t>
            </w:r>
            <w:r w:rsidR="006B3144">
              <w:rPr>
                <w:color w:val="000000"/>
              </w:rPr>
              <w:t>.</w:t>
            </w:r>
          </w:p>
        </w:tc>
      </w:tr>
      <w:tr w:rsidR="00BB7DE8" w:rsidRPr="00BB7DE8" w14:paraId="30BE84E6"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B2EB0A" w14:textId="77777777" w:rsidR="00BB7DE8" w:rsidRPr="00BB7DE8" w:rsidRDefault="00BB7DE8" w:rsidP="0092223B">
            <w:r w:rsidRPr="00BB7DE8">
              <w:t>Entity ABN</w:t>
            </w:r>
          </w:p>
        </w:tc>
        <w:tc>
          <w:tcPr>
            <w:tcW w:w="3261" w:type="dxa"/>
            <w:gridSpan w:val="3"/>
            <w:tcBorders>
              <w:top w:val="nil"/>
              <w:left w:val="nil"/>
              <w:bottom w:val="single" w:sz="4" w:space="0" w:color="auto"/>
              <w:right w:val="single" w:sz="4" w:space="0" w:color="auto"/>
            </w:tcBorders>
            <w:shd w:val="clear" w:color="auto" w:fill="auto"/>
            <w:vAlign w:val="center"/>
            <w:hideMark/>
          </w:tcPr>
          <w:p w14:paraId="7D205BA9" w14:textId="43D4DFF9" w:rsidR="00BB7DE8" w:rsidRPr="00BB7DE8" w:rsidRDefault="00BB7DE8" w:rsidP="00BB7DE8">
            <w:pPr>
              <w:jc w:val="center"/>
              <w:rPr>
                <w:color w:val="000000"/>
              </w:rPr>
            </w:pPr>
            <w:r w:rsidRPr="00BB7DE8">
              <w:rPr>
                <w:color w:val="000000"/>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5D696E6F" w14:textId="2E824638" w:rsidR="00BB7DE8" w:rsidRPr="00BB7DE8" w:rsidRDefault="00BB7DE8" w:rsidP="00BB7DE8">
            <w:pPr>
              <w:rPr>
                <w:color w:val="000000"/>
              </w:rPr>
            </w:pPr>
            <w:r w:rsidRPr="00BB7DE8">
              <w:rPr>
                <w:color w:val="000000"/>
              </w:rPr>
              <w:t>Reporting entity's Australian Business Number, if applicable</w:t>
            </w:r>
            <w:r w:rsidR="006B3144">
              <w:rPr>
                <w:color w:val="000000"/>
              </w:rPr>
              <w:t>.</w:t>
            </w:r>
          </w:p>
        </w:tc>
      </w:tr>
      <w:tr w:rsidR="00BB7DE8" w:rsidRPr="00BB7DE8" w14:paraId="4FEBD47F"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7FD269A" w14:textId="77777777" w:rsidR="00BB7DE8" w:rsidRPr="00BB7DE8" w:rsidRDefault="00BB7DE8" w:rsidP="0092223B">
            <w:r w:rsidRPr="00BB7DE8">
              <w:t>Entity ACN</w:t>
            </w:r>
          </w:p>
        </w:tc>
        <w:tc>
          <w:tcPr>
            <w:tcW w:w="3261" w:type="dxa"/>
            <w:gridSpan w:val="3"/>
            <w:tcBorders>
              <w:top w:val="nil"/>
              <w:left w:val="nil"/>
              <w:bottom w:val="single" w:sz="4" w:space="0" w:color="auto"/>
              <w:right w:val="single" w:sz="4" w:space="0" w:color="auto"/>
            </w:tcBorders>
            <w:shd w:val="clear" w:color="auto" w:fill="auto"/>
            <w:vAlign w:val="center"/>
            <w:hideMark/>
          </w:tcPr>
          <w:p w14:paraId="5C3A991C" w14:textId="5DBECEE0" w:rsidR="00BB7DE8" w:rsidRPr="00BB7DE8" w:rsidRDefault="00BB7DE8" w:rsidP="00BB7DE8">
            <w:pPr>
              <w:jc w:val="center"/>
              <w:rPr>
                <w:color w:val="000000"/>
              </w:rPr>
            </w:pPr>
            <w:r w:rsidRPr="00BB7DE8">
              <w:rPr>
                <w:color w:val="000000"/>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4F10BB3C" w14:textId="46ECF118" w:rsidR="00BB7DE8" w:rsidRPr="00BB7DE8" w:rsidRDefault="00BB7DE8" w:rsidP="00BB7DE8">
            <w:pPr>
              <w:rPr>
                <w:color w:val="000000"/>
              </w:rPr>
            </w:pPr>
            <w:r w:rsidRPr="00BB7DE8">
              <w:rPr>
                <w:color w:val="000000"/>
              </w:rPr>
              <w:t>Reporting entity's Australian Company Number, if applicable</w:t>
            </w:r>
            <w:r w:rsidR="006B3144">
              <w:rPr>
                <w:color w:val="000000"/>
              </w:rPr>
              <w:t>.</w:t>
            </w:r>
          </w:p>
        </w:tc>
      </w:tr>
      <w:tr w:rsidR="00BB7DE8" w:rsidRPr="00BB7DE8" w14:paraId="3832E799"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43F4F7" w14:textId="77777777" w:rsidR="00BB7DE8" w:rsidRPr="00BB7DE8" w:rsidRDefault="00BB7DE8" w:rsidP="0092223B">
            <w:r w:rsidRPr="00BB7DE8">
              <w:t>Entity ARBN</w:t>
            </w:r>
          </w:p>
        </w:tc>
        <w:tc>
          <w:tcPr>
            <w:tcW w:w="3261" w:type="dxa"/>
            <w:gridSpan w:val="3"/>
            <w:tcBorders>
              <w:top w:val="nil"/>
              <w:left w:val="nil"/>
              <w:bottom w:val="single" w:sz="4" w:space="0" w:color="auto"/>
              <w:right w:val="single" w:sz="4" w:space="0" w:color="auto"/>
            </w:tcBorders>
            <w:shd w:val="clear" w:color="auto" w:fill="auto"/>
            <w:vAlign w:val="center"/>
            <w:hideMark/>
          </w:tcPr>
          <w:p w14:paraId="57766A4B" w14:textId="4639D841" w:rsidR="00BB7DE8" w:rsidRPr="00BB7DE8" w:rsidRDefault="00BB7DE8" w:rsidP="00BB7DE8">
            <w:pPr>
              <w:jc w:val="center"/>
              <w:rPr>
                <w:color w:val="000000"/>
              </w:rPr>
            </w:pPr>
            <w:r w:rsidRPr="00BB7DE8">
              <w:rPr>
                <w:color w:val="000000"/>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74D8B209" w14:textId="4B433E1E" w:rsidR="00BB7DE8" w:rsidRPr="00BB7DE8" w:rsidRDefault="00BB7DE8" w:rsidP="00BB7DE8">
            <w:pPr>
              <w:rPr>
                <w:color w:val="000000"/>
              </w:rPr>
            </w:pPr>
            <w:r w:rsidRPr="00BB7DE8">
              <w:rPr>
                <w:color w:val="000000"/>
              </w:rPr>
              <w:t>Reporting entity's Australian Registered Body Number, if applicable</w:t>
            </w:r>
            <w:r w:rsidR="006B3144">
              <w:rPr>
                <w:color w:val="000000"/>
              </w:rPr>
              <w:t>.</w:t>
            </w:r>
          </w:p>
        </w:tc>
      </w:tr>
      <w:tr w:rsidR="00BB7DE8" w:rsidRPr="00BB7DE8" w14:paraId="4268A633" w14:textId="77777777" w:rsidTr="0092223B">
        <w:trPr>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6D932E6B" w14:textId="49CDCA41" w:rsidR="00BB7DE8" w:rsidRPr="00BB7DE8" w:rsidRDefault="00BB7DE8" w:rsidP="0092223B">
            <w:r w:rsidRPr="00BB7DE8">
              <w:rPr>
                <w:b/>
                <w:bCs/>
                <w:color w:val="FFFFFF" w:themeColor="background1"/>
                <w:sz w:val="24"/>
                <w:szCs w:val="24"/>
              </w:rPr>
              <w:t>Report Details</w:t>
            </w:r>
          </w:p>
        </w:tc>
      </w:tr>
      <w:tr w:rsidR="00BB7DE8" w:rsidRPr="00BB7DE8" w14:paraId="1892E007" w14:textId="77777777" w:rsidTr="0092223B">
        <w:trPr>
          <w:trHeight w:val="170"/>
        </w:trPr>
        <w:tc>
          <w:tcPr>
            <w:tcW w:w="14565" w:type="dxa"/>
            <w:gridSpan w:val="5"/>
            <w:tcBorders>
              <w:top w:val="nil"/>
              <w:left w:val="single" w:sz="4" w:space="0" w:color="auto"/>
              <w:bottom w:val="single" w:sz="4" w:space="0" w:color="auto"/>
              <w:right w:val="single" w:sz="4" w:space="0" w:color="auto"/>
            </w:tcBorders>
            <w:shd w:val="clear" w:color="000000" w:fill="C5E2E2"/>
            <w:noWrap/>
            <w:vAlign w:val="center"/>
            <w:hideMark/>
          </w:tcPr>
          <w:p w14:paraId="1B4DF3E9" w14:textId="78F9E31B" w:rsidR="00BB7DE8" w:rsidRPr="00BB7DE8" w:rsidRDefault="00BB7DE8" w:rsidP="0092223B">
            <w:pPr>
              <w:spacing w:before="40" w:after="40"/>
              <w:rPr>
                <w:color w:val="000000"/>
              </w:rPr>
            </w:pPr>
            <w:r w:rsidRPr="00BB7DE8">
              <w:rPr>
                <w:rFonts w:cs="Calibri"/>
                <w:i/>
                <w:color w:val="000000"/>
                <w:szCs w:val="22"/>
              </w:rPr>
              <w:t>Reporting Period</w:t>
            </w:r>
          </w:p>
        </w:tc>
      </w:tr>
      <w:tr w:rsidR="00E16CFA" w:rsidRPr="00BB7DE8" w14:paraId="5C851111"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A930BA" w14:textId="77777777" w:rsidR="00E16CFA" w:rsidRPr="00BB7DE8" w:rsidRDefault="00E16CFA" w:rsidP="0092223B">
            <w:r w:rsidRPr="00BB7DE8">
              <w:t xml:space="preserve">Reporting </w:t>
            </w:r>
            <w:proofErr w:type="gramStart"/>
            <w:r w:rsidRPr="00BB7DE8">
              <w:t>period</w:t>
            </w:r>
            <w:proofErr w:type="gramEnd"/>
            <w:r w:rsidRPr="00BB7DE8">
              <w:t xml:space="preserve"> start date</w:t>
            </w:r>
          </w:p>
        </w:tc>
        <w:tc>
          <w:tcPr>
            <w:tcW w:w="1630" w:type="dxa"/>
            <w:tcBorders>
              <w:top w:val="nil"/>
              <w:left w:val="nil"/>
              <w:bottom w:val="single" w:sz="4" w:space="0" w:color="auto"/>
              <w:right w:val="single" w:sz="4" w:space="0" w:color="auto"/>
            </w:tcBorders>
            <w:shd w:val="clear" w:color="auto" w:fill="auto"/>
            <w:vAlign w:val="center"/>
            <w:hideMark/>
          </w:tcPr>
          <w:p w14:paraId="56BF34A6" w14:textId="77777777" w:rsidR="00E16CFA" w:rsidRPr="00BB7DE8" w:rsidRDefault="00E16CFA" w:rsidP="00BB7DE8">
            <w:pPr>
              <w:jc w:val="center"/>
              <w:rPr>
                <w:color w:val="000000"/>
              </w:rPr>
            </w:pPr>
            <w:r w:rsidRPr="00BB7DE8">
              <w:rPr>
                <w:color w:val="000000"/>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00539F6C" w14:textId="77777777" w:rsidR="00E16CFA" w:rsidRPr="00BB7DE8" w:rsidRDefault="00E16CFA" w:rsidP="00BB7DE8">
            <w:pPr>
              <w:jc w:val="center"/>
              <w:rPr>
                <w:color w:val="000000"/>
              </w:rPr>
            </w:pPr>
            <w:r w:rsidRPr="00BB7DE8">
              <w:rPr>
                <w:color w:val="000000"/>
              </w:rPr>
              <w:t>DD/MM/YYYY</w:t>
            </w:r>
          </w:p>
        </w:tc>
        <w:tc>
          <w:tcPr>
            <w:tcW w:w="8474" w:type="dxa"/>
            <w:tcBorders>
              <w:top w:val="nil"/>
              <w:left w:val="nil"/>
              <w:bottom w:val="single" w:sz="4" w:space="0" w:color="auto"/>
              <w:right w:val="single" w:sz="4" w:space="0" w:color="auto"/>
            </w:tcBorders>
            <w:shd w:val="clear" w:color="auto" w:fill="auto"/>
            <w:vAlign w:val="center"/>
            <w:hideMark/>
          </w:tcPr>
          <w:p w14:paraId="2317A0EB" w14:textId="1FD585FF" w:rsidR="00E16CFA" w:rsidRPr="00BB7DE8" w:rsidRDefault="00E16CFA" w:rsidP="00BB7DE8">
            <w:pPr>
              <w:rPr>
                <w:color w:val="000000"/>
              </w:rPr>
            </w:pPr>
            <w:r w:rsidRPr="00BB7DE8">
              <w:rPr>
                <w:color w:val="000000"/>
              </w:rPr>
              <w:t>The starting date of the reporting period covered in the report</w:t>
            </w:r>
            <w:r w:rsidR="006B3144">
              <w:rPr>
                <w:color w:val="000000"/>
              </w:rPr>
              <w:t>.</w:t>
            </w:r>
          </w:p>
        </w:tc>
      </w:tr>
      <w:tr w:rsidR="00E16CFA" w:rsidRPr="00BB7DE8" w14:paraId="22C59422"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EC9C27" w14:textId="77777777" w:rsidR="00E16CFA" w:rsidRPr="00BB7DE8" w:rsidRDefault="00E16CFA" w:rsidP="0092223B">
            <w:r w:rsidRPr="00BB7DE8">
              <w:t>Reporting period end date</w:t>
            </w:r>
          </w:p>
        </w:tc>
        <w:tc>
          <w:tcPr>
            <w:tcW w:w="1630" w:type="dxa"/>
            <w:tcBorders>
              <w:top w:val="nil"/>
              <w:left w:val="nil"/>
              <w:bottom w:val="single" w:sz="4" w:space="0" w:color="auto"/>
              <w:right w:val="single" w:sz="4" w:space="0" w:color="auto"/>
            </w:tcBorders>
            <w:shd w:val="clear" w:color="auto" w:fill="auto"/>
            <w:vAlign w:val="center"/>
            <w:hideMark/>
          </w:tcPr>
          <w:p w14:paraId="4B2F8259" w14:textId="77777777" w:rsidR="00E16CFA" w:rsidRPr="00BB7DE8" w:rsidRDefault="00E16CFA" w:rsidP="00BB7DE8">
            <w:pPr>
              <w:jc w:val="center"/>
              <w:rPr>
                <w:color w:val="000000"/>
              </w:rPr>
            </w:pPr>
            <w:r w:rsidRPr="00BB7DE8">
              <w:rPr>
                <w:color w:val="000000"/>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78A865AC" w14:textId="77777777" w:rsidR="00E16CFA" w:rsidRPr="00BB7DE8" w:rsidRDefault="00E16CFA" w:rsidP="00BB7DE8">
            <w:pPr>
              <w:jc w:val="center"/>
              <w:rPr>
                <w:color w:val="000000"/>
              </w:rPr>
            </w:pPr>
            <w:r w:rsidRPr="00BB7DE8">
              <w:rPr>
                <w:color w:val="000000"/>
              </w:rPr>
              <w:t>DD/MM/YYYY</w:t>
            </w:r>
          </w:p>
        </w:tc>
        <w:tc>
          <w:tcPr>
            <w:tcW w:w="8474" w:type="dxa"/>
            <w:tcBorders>
              <w:top w:val="nil"/>
              <w:left w:val="nil"/>
              <w:bottom w:val="single" w:sz="4" w:space="0" w:color="auto"/>
              <w:right w:val="single" w:sz="4" w:space="0" w:color="auto"/>
            </w:tcBorders>
            <w:shd w:val="clear" w:color="auto" w:fill="auto"/>
            <w:vAlign w:val="center"/>
            <w:hideMark/>
          </w:tcPr>
          <w:p w14:paraId="6F51736A" w14:textId="52277E9A" w:rsidR="00E16CFA" w:rsidRPr="00BB7DE8" w:rsidRDefault="00E16CFA" w:rsidP="00BB7DE8">
            <w:pPr>
              <w:rPr>
                <w:color w:val="000000"/>
              </w:rPr>
            </w:pPr>
            <w:r w:rsidRPr="00BB7DE8">
              <w:rPr>
                <w:color w:val="000000"/>
              </w:rPr>
              <w:t>The end date of the reporting period covered in the report</w:t>
            </w:r>
            <w:r w:rsidR="006B3144">
              <w:rPr>
                <w:color w:val="000000"/>
              </w:rPr>
              <w:t>.</w:t>
            </w:r>
          </w:p>
        </w:tc>
      </w:tr>
      <w:tr w:rsidR="00BB7DE8" w:rsidRPr="00BB7DE8" w14:paraId="5A454CCF" w14:textId="77777777" w:rsidTr="0092223B">
        <w:trPr>
          <w:trHeight w:val="283"/>
        </w:trPr>
        <w:tc>
          <w:tcPr>
            <w:tcW w:w="14565" w:type="dxa"/>
            <w:gridSpan w:val="5"/>
            <w:tcBorders>
              <w:top w:val="nil"/>
              <w:left w:val="single" w:sz="4" w:space="0" w:color="auto"/>
              <w:bottom w:val="single" w:sz="4" w:space="0" w:color="auto"/>
              <w:right w:val="single" w:sz="4" w:space="0" w:color="auto"/>
            </w:tcBorders>
            <w:shd w:val="clear" w:color="000000" w:fill="C5E2E2"/>
            <w:noWrap/>
            <w:vAlign w:val="center"/>
            <w:hideMark/>
          </w:tcPr>
          <w:p w14:paraId="3B161C37" w14:textId="3A127971" w:rsidR="00BB7DE8" w:rsidRPr="00BB7DE8" w:rsidRDefault="00BB7DE8" w:rsidP="0092223B">
            <w:pPr>
              <w:spacing w:before="40" w:after="40"/>
              <w:rPr>
                <w:color w:val="000000"/>
              </w:rPr>
            </w:pPr>
            <w:r w:rsidRPr="00BB7DE8">
              <w:rPr>
                <w:rFonts w:cs="Calibri"/>
                <w:i/>
                <w:color w:val="000000"/>
                <w:szCs w:val="22"/>
              </w:rPr>
              <w:t>Approver</w:t>
            </w:r>
          </w:p>
        </w:tc>
      </w:tr>
      <w:tr w:rsidR="00E16CFA" w:rsidRPr="00BB7DE8" w14:paraId="27F55332"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A09171" w14:textId="31F29F51" w:rsidR="00E16CFA" w:rsidRPr="00BB7DE8" w:rsidRDefault="00E16CFA" w:rsidP="0092223B">
            <w:r w:rsidRPr="00BB7DE8">
              <w:t xml:space="preserve">Approving responsible member </w:t>
            </w:r>
            <w:r w:rsidR="00F25D41">
              <w:t>given name</w:t>
            </w:r>
          </w:p>
        </w:tc>
        <w:tc>
          <w:tcPr>
            <w:tcW w:w="1630" w:type="dxa"/>
            <w:tcBorders>
              <w:top w:val="nil"/>
              <w:left w:val="nil"/>
              <w:bottom w:val="single" w:sz="4" w:space="0" w:color="auto"/>
              <w:right w:val="single" w:sz="4" w:space="0" w:color="auto"/>
            </w:tcBorders>
            <w:shd w:val="clear" w:color="auto" w:fill="auto"/>
            <w:vAlign w:val="center"/>
            <w:hideMark/>
          </w:tcPr>
          <w:p w14:paraId="3DF879A3" w14:textId="77777777" w:rsidR="00E16CFA" w:rsidRPr="00BB7DE8" w:rsidRDefault="00E16CFA" w:rsidP="00BB7DE8">
            <w:pPr>
              <w:jc w:val="center"/>
              <w:rPr>
                <w:color w:val="000000"/>
              </w:rPr>
            </w:pPr>
            <w:r w:rsidRPr="00BB7DE8">
              <w:rPr>
                <w:color w:val="000000"/>
              </w:rPr>
              <w:t>Recommended</w:t>
            </w:r>
          </w:p>
        </w:tc>
        <w:tc>
          <w:tcPr>
            <w:tcW w:w="1631" w:type="dxa"/>
            <w:gridSpan w:val="2"/>
            <w:tcBorders>
              <w:top w:val="nil"/>
              <w:left w:val="nil"/>
              <w:bottom w:val="single" w:sz="4" w:space="0" w:color="auto"/>
              <w:right w:val="single" w:sz="4" w:space="0" w:color="auto"/>
            </w:tcBorders>
            <w:shd w:val="clear" w:color="auto" w:fill="auto"/>
            <w:vAlign w:val="center"/>
            <w:hideMark/>
          </w:tcPr>
          <w:p w14:paraId="005F370A" w14:textId="616ABF0C" w:rsidR="00E16CFA" w:rsidRPr="00BB7DE8" w:rsidRDefault="00E16CFA" w:rsidP="00BB7DE8">
            <w:pPr>
              <w:jc w:val="center"/>
              <w:rPr>
                <w:color w:val="000000"/>
              </w:rPr>
            </w:pPr>
            <w:r w:rsidRPr="00BB7DE8">
              <w:rPr>
                <w:color w:val="000000"/>
              </w:rPr>
              <w:t>Text</w:t>
            </w:r>
          </w:p>
        </w:tc>
        <w:tc>
          <w:tcPr>
            <w:tcW w:w="8474" w:type="dxa"/>
            <w:tcBorders>
              <w:top w:val="nil"/>
              <w:left w:val="nil"/>
              <w:bottom w:val="single" w:sz="4" w:space="0" w:color="auto"/>
              <w:right w:val="single" w:sz="4" w:space="0" w:color="auto"/>
            </w:tcBorders>
            <w:shd w:val="clear" w:color="auto" w:fill="auto"/>
            <w:vAlign w:val="center"/>
            <w:hideMark/>
          </w:tcPr>
          <w:p w14:paraId="5FCF1F6C" w14:textId="1C2595B8" w:rsidR="00E16CFA" w:rsidRPr="00BB7DE8" w:rsidRDefault="00F25D41" w:rsidP="00BB7DE8">
            <w:pPr>
              <w:rPr>
                <w:color w:val="000000"/>
              </w:rPr>
            </w:pPr>
            <w:r>
              <w:rPr>
                <w:color w:val="000000"/>
              </w:rPr>
              <w:t>Given name</w:t>
            </w:r>
            <w:r w:rsidR="00E16CFA" w:rsidRPr="00BB7DE8">
              <w:rPr>
                <w:color w:val="000000"/>
              </w:rPr>
              <w:t xml:space="preserve"> of the responsible member who approved the report. </w:t>
            </w:r>
          </w:p>
        </w:tc>
      </w:tr>
      <w:tr w:rsidR="00E16CFA" w:rsidRPr="00BB7DE8" w14:paraId="5DCFB18D"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8568AE" w14:textId="39151FF7" w:rsidR="00E16CFA" w:rsidRPr="00BB7DE8" w:rsidRDefault="00E16CFA" w:rsidP="0092223B">
            <w:r w:rsidRPr="00BB7DE8">
              <w:t xml:space="preserve">Approving responsible member </w:t>
            </w:r>
            <w:r w:rsidR="00F25D41">
              <w:t>family name</w:t>
            </w:r>
          </w:p>
        </w:tc>
        <w:tc>
          <w:tcPr>
            <w:tcW w:w="1630" w:type="dxa"/>
            <w:tcBorders>
              <w:top w:val="nil"/>
              <w:left w:val="nil"/>
              <w:bottom w:val="single" w:sz="4" w:space="0" w:color="auto"/>
              <w:right w:val="single" w:sz="4" w:space="0" w:color="auto"/>
            </w:tcBorders>
            <w:shd w:val="clear" w:color="auto" w:fill="auto"/>
            <w:vAlign w:val="center"/>
            <w:hideMark/>
          </w:tcPr>
          <w:p w14:paraId="5E0D8193" w14:textId="77777777" w:rsidR="00E16CFA" w:rsidRPr="00BB7DE8" w:rsidRDefault="00E16CFA" w:rsidP="00BB7DE8">
            <w:pPr>
              <w:jc w:val="center"/>
              <w:rPr>
                <w:color w:val="000000"/>
              </w:rPr>
            </w:pPr>
            <w:r w:rsidRPr="00BB7DE8">
              <w:rPr>
                <w:color w:val="000000"/>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4730BE3E" w14:textId="57301A6E" w:rsidR="00E16CFA" w:rsidRPr="00BB7DE8" w:rsidRDefault="00E16CFA" w:rsidP="00BB7DE8">
            <w:pPr>
              <w:jc w:val="center"/>
              <w:rPr>
                <w:color w:val="000000"/>
              </w:rPr>
            </w:pPr>
            <w:r w:rsidRPr="00BB7DE8">
              <w:rPr>
                <w:color w:val="000000"/>
              </w:rPr>
              <w:t>Text</w:t>
            </w:r>
          </w:p>
        </w:tc>
        <w:tc>
          <w:tcPr>
            <w:tcW w:w="8474" w:type="dxa"/>
            <w:tcBorders>
              <w:top w:val="nil"/>
              <w:left w:val="nil"/>
              <w:bottom w:val="single" w:sz="4" w:space="0" w:color="auto"/>
              <w:right w:val="single" w:sz="4" w:space="0" w:color="auto"/>
            </w:tcBorders>
            <w:shd w:val="clear" w:color="auto" w:fill="auto"/>
            <w:vAlign w:val="center"/>
            <w:hideMark/>
          </w:tcPr>
          <w:p w14:paraId="33FF2232" w14:textId="6B17FEBF" w:rsidR="00E16CFA" w:rsidRPr="00BB7DE8" w:rsidRDefault="00F25D41" w:rsidP="00BB7DE8">
            <w:pPr>
              <w:rPr>
                <w:color w:val="000000"/>
              </w:rPr>
            </w:pPr>
            <w:r>
              <w:rPr>
                <w:color w:val="000000"/>
              </w:rPr>
              <w:t>Family name</w:t>
            </w:r>
            <w:r w:rsidR="00E16CFA" w:rsidRPr="00BB7DE8">
              <w:rPr>
                <w:color w:val="000000"/>
              </w:rPr>
              <w:t xml:space="preserve"> of the responsible member who approved the report. </w:t>
            </w:r>
          </w:p>
        </w:tc>
      </w:tr>
      <w:tr w:rsidR="00E16CFA" w:rsidRPr="00BB7DE8" w14:paraId="48A4EA7E" w14:textId="77777777" w:rsidTr="0092223B">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3DB62D1" w14:textId="77777777" w:rsidR="00E16CFA" w:rsidRPr="00BB7DE8" w:rsidRDefault="00E16CFA" w:rsidP="0092223B">
            <w:r w:rsidRPr="00BB7DE8">
              <w:t>Responsible member approval date</w:t>
            </w:r>
          </w:p>
        </w:tc>
        <w:tc>
          <w:tcPr>
            <w:tcW w:w="1630" w:type="dxa"/>
            <w:tcBorders>
              <w:top w:val="nil"/>
              <w:left w:val="nil"/>
              <w:bottom w:val="single" w:sz="4" w:space="0" w:color="auto"/>
              <w:right w:val="single" w:sz="4" w:space="0" w:color="auto"/>
            </w:tcBorders>
            <w:shd w:val="clear" w:color="auto" w:fill="auto"/>
            <w:vAlign w:val="center"/>
            <w:hideMark/>
          </w:tcPr>
          <w:p w14:paraId="126A9151" w14:textId="77777777" w:rsidR="00E16CFA" w:rsidRPr="00BB7DE8" w:rsidRDefault="00E16CFA" w:rsidP="00BB7DE8">
            <w:pPr>
              <w:jc w:val="center"/>
              <w:rPr>
                <w:color w:val="000000"/>
              </w:rPr>
            </w:pPr>
            <w:r w:rsidRPr="00BB7DE8">
              <w:rPr>
                <w:color w:val="000000"/>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1D559C68" w14:textId="77777777" w:rsidR="00E16CFA" w:rsidRPr="00BB7DE8" w:rsidRDefault="00E16CFA" w:rsidP="00BB7DE8">
            <w:pPr>
              <w:jc w:val="center"/>
              <w:rPr>
                <w:color w:val="000000"/>
              </w:rPr>
            </w:pPr>
            <w:r w:rsidRPr="00BB7DE8">
              <w:rPr>
                <w:color w:val="000000"/>
              </w:rPr>
              <w:t>DD/MM/YYYY</w:t>
            </w:r>
          </w:p>
        </w:tc>
        <w:tc>
          <w:tcPr>
            <w:tcW w:w="8474" w:type="dxa"/>
            <w:tcBorders>
              <w:top w:val="nil"/>
              <w:left w:val="nil"/>
              <w:bottom w:val="single" w:sz="4" w:space="0" w:color="auto"/>
              <w:right w:val="single" w:sz="4" w:space="0" w:color="auto"/>
            </w:tcBorders>
            <w:shd w:val="clear" w:color="auto" w:fill="auto"/>
            <w:vAlign w:val="center"/>
            <w:hideMark/>
          </w:tcPr>
          <w:p w14:paraId="785DFC4C" w14:textId="77777777" w:rsidR="00E16CFA" w:rsidRPr="00BB7DE8" w:rsidRDefault="00E16CFA" w:rsidP="00BB7DE8">
            <w:pPr>
              <w:rPr>
                <w:color w:val="000000"/>
              </w:rPr>
            </w:pPr>
            <w:r w:rsidRPr="00BB7DE8">
              <w:rPr>
                <w:color w:val="000000"/>
              </w:rPr>
              <w:t xml:space="preserve">The date that the responsible member who approved the report. </w:t>
            </w:r>
          </w:p>
        </w:tc>
      </w:tr>
      <w:tr w:rsidR="00BB7DE8" w:rsidRPr="00BB7DE8" w14:paraId="55BAFDFD" w14:textId="77777777" w:rsidTr="003D08F8">
        <w:trPr>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56E2CC0D" w14:textId="2757A3C9" w:rsidR="00BB7DE8" w:rsidRPr="00BB7DE8" w:rsidRDefault="00BB7DE8" w:rsidP="003D08F8">
            <w:pPr>
              <w:keepNext/>
            </w:pPr>
            <w:r w:rsidRPr="00BB7DE8">
              <w:rPr>
                <w:b/>
                <w:bCs/>
                <w:color w:val="FFFFFF" w:themeColor="background1"/>
                <w:sz w:val="24"/>
                <w:szCs w:val="24"/>
              </w:rPr>
              <w:lastRenderedPageBreak/>
              <w:t>Miscellaneous</w:t>
            </w:r>
          </w:p>
        </w:tc>
      </w:tr>
      <w:tr w:rsidR="00E16CFA" w:rsidRPr="00BB7DE8" w14:paraId="60D80F3B" w14:textId="77777777" w:rsidTr="003D08F8">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AEC900" w14:textId="77777777" w:rsidR="00E16CFA" w:rsidRPr="00BB7DE8" w:rsidRDefault="00E16CFA" w:rsidP="003D08F8">
            <w:r w:rsidRPr="00BB7DE8">
              <w:t>Small business trade credit payments as a percentage of total number of trade credit payments</w:t>
            </w:r>
          </w:p>
        </w:tc>
        <w:tc>
          <w:tcPr>
            <w:tcW w:w="1701" w:type="dxa"/>
            <w:gridSpan w:val="2"/>
            <w:tcBorders>
              <w:top w:val="nil"/>
              <w:left w:val="nil"/>
              <w:bottom w:val="single" w:sz="4" w:space="0" w:color="auto"/>
              <w:right w:val="single" w:sz="4" w:space="0" w:color="auto"/>
            </w:tcBorders>
            <w:shd w:val="clear" w:color="auto" w:fill="auto"/>
            <w:vAlign w:val="center"/>
            <w:hideMark/>
          </w:tcPr>
          <w:p w14:paraId="2961C2AB" w14:textId="77777777" w:rsidR="00E16CFA" w:rsidRPr="00BB7DE8" w:rsidRDefault="00E16CFA" w:rsidP="00BB7DE8">
            <w:pPr>
              <w:jc w:val="center"/>
              <w:rPr>
                <w:color w:val="000000"/>
              </w:rPr>
            </w:pPr>
            <w:r w:rsidRPr="00BB7DE8">
              <w:rPr>
                <w:color w:val="000000"/>
              </w:rPr>
              <w:t>Mandatory</w:t>
            </w:r>
          </w:p>
        </w:tc>
        <w:tc>
          <w:tcPr>
            <w:tcW w:w="1560" w:type="dxa"/>
            <w:tcBorders>
              <w:top w:val="nil"/>
              <w:left w:val="nil"/>
              <w:bottom w:val="single" w:sz="4" w:space="0" w:color="auto"/>
              <w:right w:val="single" w:sz="4" w:space="0" w:color="auto"/>
            </w:tcBorders>
            <w:shd w:val="clear" w:color="auto" w:fill="auto"/>
            <w:vAlign w:val="center"/>
            <w:hideMark/>
          </w:tcPr>
          <w:p w14:paraId="2675E068" w14:textId="6EF97747" w:rsidR="00E16CFA" w:rsidRPr="00BB7DE8" w:rsidRDefault="003205D4" w:rsidP="00BB7DE8">
            <w:pPr>
              <w:jc w:val="center"/>
              <w:rPr>
                <w:color w:val="000000"/>
              </w:rPr>
            </w:pPr>
            <w:r w:rsidRPr="00BB7DE8">
              <w:rPr>
                <w:color w:val="000000"/>
              </w:rPr>
              <w:t xml:space="preserve">Number </w:t>
            </w:r>
            <w:r w:rsidRPr="00BB7DE8">
              <w:rPr>
                <w:color w:val="000000"/>
              </w:rPr>
              <w:br/>
              <w:t>[</w:t>
            </w:r>
            <w:r w:rsidR="00E16CFA" w:rsidRPr="00BB7DE8">
              <w:rPr>
                <w:color w:val="000000"/>
              </w:rPr>
              <w:t>0.00]</w:t>
            </w:r>
          </w:p>
        </w:tc>
        <w:tc>
          <w:tcPr>
            <w:tcW w:w="8474" w:type="dxa"/>
            <w:tcBorders>
              <w:top w:val="nil"/>
              <w:left w:val="nil"/>
              <w:bottom w:val="single" w:sz="4" w:space="0" w:color="auto"/>
              <w:right w:val="single" w:sz="4" w:space="0" w:color="auto"/>
            </w:tcBorders>
            <w:shd w:val="clear" w:color="auto" w:fill="auto"/>
            <w:vAlign w:val="center"/>
            <w:hideMark/>
          </w:tcPr>
          <w:p w14:paraId="132ECECD" w14:textId="082C499C" w:rsidR="00E16CFA" w:rsidRPr="00BB7DE8" w:rsidRDefault="00E16CFA" w:rsidP="00BB7DE8">
            <w:pPr>
              <w:rPr>
                <w:color w:val="000000"/>
              </w:rPr>
            </w:pPr>
            <w:r w:rsidRPr="00BB7DE8">
              <w:rPr>
                <w:color w:val="000000"/>
              </w:rPr>
              <w:t>(</w:t>
            </w:r>
            <w:r w:rsidR="0030569C">
              <w:rPr>
                <w:color w:val="000000"/>
              </w:rPr>
              <w:t>(</w:t>
            </w:r>
            <w:r w:rsidRPr="00BB7DE8">
              <w:rPr>
                <w:color w:val="000000"/>
              </w:rPr>
              <w:t>Number of payments in the SBTCP Dataset + number of partial payments to Australian small business suppliers) ÷ Number of payments in the TCP Dataset</w:t>
            </w:r>
            <w:r w:rsidR="0030569C">
              <w:rPr>
                <w:color w:val="000000"/>
              </w:rPr>
              <w:t>) x 100</w:t>
            </w:r>
          </w:p>
          <w:p w14:paraId="3A7866EB" w14:textId="77777777" w:rsidR="00E16CFA" w:rsidRPr="00BB7DE8" w:rsidRDefault="00E16CFA" w:rsidP="00BB7DE8">
            <w:pPr>
              <w:rPr>
                <w:color w:val="000000"/>
              </w:rPr>
            </w:pPr>
            <w:r w:rsidRPr="00BB7DE8">
              <w:rPr>
                <w:color w:val="000000"/>
              </w:rPr>
              <w:t>This is the number of payments made under a trade credit arrangement to small business suppliers as a percentage of the total number of payments made under a trade credit arrangement (to all Australian entities) by the reporting entity and all its controlled entities (considered as a group).</w:t>
            </w:r>
          </w:p>
          <w:p w14:paraId="018B8774" w14:textId="64572F72" w:rsidR="00E16CFA" w:rsidRPr="00BB7DE8" w:rsidRDefault="00E16CFA" w:rsidP="00BB7DE8">
            <w:pPr>
              <w:rPr>
                <w:i/>
                <w:iCs/>
                <w:color w:val="000000"/>
              </w:rPr>
            </w:pPr>
            <w:r w:rsidRPr="00BB7DE8">
              <w:rPr>
                <w:b/>
                <w:bCs/>
                <w:i/>
                <w:iCs/>
                <w:color w:val="000000"/>
              </w:rPr>
              <w:t>Note</w:t>
            </w:r>
            <w:r w:rsidR="00BB7DE8" w:rsidRPr="00BB7DE8">
              <w:rPr>
                <w:b/>
                <w:bCs/>
                <w:i/>
                <w:iCs/>
                <w:color w:val="000000"/>
              </w:rPr>
              <w:t>:</w:t>
            </w:r>
            <w:r w:rsidRPr="00BB7DE8">
              <w:rPr>
                <w:i/>
                <w:iCs/>
                <w:color w:val="000000"/>
              </w:rPr>
              <w:t xml:space="preserve"> for this report type, the inputted value must be 0</w:t>
            </w:r>
            <w:r w:rsidR="0030569C">
              <w:rPr>
                <w:i/>
                <w:iCs/>
                <w:color w:val="000000"/>
              </w:rPr>
              <w:t>%</w:t>
            </w:r>
            <w:r w:rsidRPr="00BB7DE8">
              <w:rPr>
                <w:i/>
                <w:iCs/>
                <w:color w:val="000000"/>
              </w:rPr>
              <w:t>.</w:t>
            </w:r>
          </w:p>
        </w:tc>
      </w:tr>
      <w:tr w:rsidR="00E16CFA" w:rsidRPr="00BB7DE8" w14:paraId="62BC5BE0" w14:textId="77777777" w:rsidTr="003D08F8">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CD3D13" w14:textId="77777777" w:rsidR="00E16CFA" w:rsidRPr="00BB7DE8" w:rsidRDefault="00E16CFA" w:rsidP="003D08F8">
            <w:r w:rsidRPr="00BB7DE8">
              <w:t>Modified report information</w:t>
            </w:r>
          </w:p>
        </w:tc>
        <w:tc>
          <w:tcPr>
            <w:tcW w:w="1701" w:type="dxa"/>
            <w:gridSpan w:val="2"/>
            <w:tcBorders>
              <w:top w:val="nil"/>
              <w:left w:val="nil"/>
              <w:bottom w:val="single" w:sz="4" w:space="0" w:color="auto"/>
              <w:right w:val="single" w:sz="4" w:space="0" w:color="auto"/>
            </w:tcBorders>
            <w:shd w:val="clear" w:color="auto" w:fill="auto"/>
            <w:vAlign w:val="center"/>
            <w:hideMark/>
          </w:tcPr>
          <w:p w14:paraId="6BACE3C2" w14:textId="77777777" w:rsidR="00E16CFA" w:rsidRPr="00BB7DE8" w:rsidRDefault="00E16CFA" w:rsidP="00BB7DE8">
            <w:pPr>
              <w:jc w:val="center"/>
              <w:rPr>
                <w:color w:val="000000"/>
              </w:rPr>
            </w:pPr>
            <w:r w:rsidRPr="00BB7DE8">
              <w:rPr>
                <w:color w:val="000000"/>
              </w:rPr>
              <w:t>Optional</w:t>
            </w:r>
          </w:p>
        </w:tc>
        <w:tc>
          <w:tcPr>
            <w:tcW w:w="1560" w:type="dxa"/>
            <w:tcBorders>
              <w:top w:val="nil"/>
              <w:left w:val="nil"/>
              <w:bottom w:val="single" w:sz="4" w:space="0" w:color="auto"/>
              <w:right w:val="single" w:sz="4" w:space="0" w:color="auto"/>
            </w:tcBorders>
            <w:shd w:val="clear" w:color="auto" w:fill="auto"/>
            <w:vAlign w:val="center"/>
            <w:hideMark/>
          </w:tcPr>
          <w:p w14:paraId="62AA6BDB" w14:textId="77777777" w:rsidR="00E16CFA" w:rsidRPr="00BB7DE8" w:rsidRDefault="00E16CFA" w:rsidP="00BB7DE8">
            <w:pPr>
              <w:jc w:val="center"/>
              <w:rPr>
                <w:color w:val="000000"/>
              </w:rPr>
            </w:pPr>
            <w:r w:rsidRPr="00BB7DE8">
              <w:rPr>
                <w:color w:val="000000"/>
              </w:rPr>
              <w:t>Text</w:t>
            </w:r>
          </w:p>
        </w:tc>
        <w:tc>
          <w:tcPr>
            <w:tcW w:w="8474" w:type="dxa"/>
            <w:tcBorders>
              <w:top w:val="nil"/>
              <w:left w:val="nil"/>
              <w:bottom w:val="single" w:sz="4" w:space="0" w:color="auto"/>
              <w:right w:val="single" w:sz="4" w:space="0" w:color="auto"/>
            </w:tcBorders>
            <w:shd w:val="clear" w:color="auto" w:fill="auto"/>
            <w:vAlign w:val="center"/>
            <w:hideMark/>
          </w:tcPr>
          <w:p w14:paraId="3EF89D6E" w14:textId="77777777" w:rsidR="00E16CFA" w:rsidRPr="00BB7DE8" w:rsidRDefault="00E16CFA" w:rsidP="00BB7DE8">
            <w:pPr>
              <w:rPr>
                <w:color w:val="000000"/>
              </w:rPr>
            </w:pPr>
            <w:r w:rsidRPr="00BB7DE8">
              <w:rPr>
                <w:color w:val="000000"/>
              </w:rPr>
              <w:t>Explain and provide context for the reporting entity’s modified report.</w:t>
            </w:r>
          </w:p>
        </w:tc>
      </w:tr>
      <w:tr w:rsidR="00BB7DE8" w:rsidRPr="00BB7DE8" w14:paraId="6CACE738" w14:textId="77777777" w:rsidTr="003D08F8">
        <w:trPr>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7BE71F69" w14:textId="67728326" w:rsidR="00BB7DE8" w:rsidRPr="00BB7DE8" w:rsidRDefault="00BB7DE8" w:rsidP="003D08F8">
            <w:r w:rsidRPr="00BB7DE8">
              <w:rPr>
                <w:b/>
                <w:bCs/>
                <w:color w:val="FFFFFF" w:themeColor="background1"/>
                <w:sz w:val="24"/>
                <w:szCs w:val="24"/>
              </w:rPr>
              <w:t>Declaration</w:t>
            </w:r>
          </w:p>
        </w:tc>
      </w:tr>
      <w:tr w:rsidR="00E16CFA" w:rsidRPr="00BB7DE8" w14:paraId="25D4B619" w14:textId="77777777" w:rsidTr="003D08F8">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02F34B9" w14:textId="458C494B" w:rsidR="00E16CFA" w:rsidRPr="00BB7DE8" w:rsidRDefault="00E16CFA" w:rsidP="003D08F8">
            <w:r w:rsidRPr="00BB7DE8">
              <w:t>Declaration</w:t>
            </w:r>
          </w:p>
        </w:tc>
        <w:tc>
          <w:tcPr>
            <w:tcW w:w="1701" w:type="dxa"/>
            <w:gridSpan w:val="2"/>
            <w:tcBorders>
              <w:top w:val="nil"/>
              <w:left w:val="nil"/>
              <w:bottom w:val="single" w:sz="4" w:space="0" w:color="auto"/>
              <w:right w:val="single" w:sz="4" w:space="0" w:color="auto"/>
            </w:tcBorders>
            <w:shd w:val="clear" w:color="auto" w:fill="auto"/>
            <w:vAlign w:val="center"/>
            <w:hideMark/>
          </w:tcPr>
          <w:p w14:paraId="6E066DE7" w14:textId="77777777" w:rsidR="00E16CFA" w:rsidRPr="00BB7DE8" w:rsidRDefault="00E16CFA" w:rsidP="00BB7DE8">
            <w:pPr>
              <w:jc w:val="center"/>
              <w:rPr>
                <w:color w:val="000000"/>
              </w:rPr>
            </w:pPr>
            <w:r w:rsidRPr="00BB7DE8">
              <w:rPr>
                <w:color w:val="000000"/>
              </w:rPr>
              <w:t>Mandatory</w:t>
            </w:r>
          </w:p>
        </w:tc>
        <w:tc>
          <w:tcPr>
            <w:tcW w:w="1560" w:type="dxa"/>
            <w:tcBorders>
              <w:top w:val="nil"/>
              <w:left w:val="nil"/>
              <w:bottom w:val="single" w:sz="4" w:space="0" w:color="auto"/>
              <w:right w:val="single" w:sz="4" w:space="0" w:color="auto"/>
            </w:tcBorders>
            <w:shd w:val="clear" w:color="auto" w:fill="auto"/>
            <w:vAlign w:val="center"/>
            <w:hideMark/>
          </w:tcPr>
          <w:p w14:paraId="07B328D0" w14:textId="77777777" w:rsidR="00E16CFA" w:rsidRPr="00BB7DE8" w:rsidRDefault="00E16CFA" w:rsidP="00BB7DE8">
            <w:pPr>
              <w:jc w:val="center"/>
              <w:rPr>
                <w:color w:val="000000"/>
              </w:rPr>
            </w:pPr>
            <w:r w:rsidRPr="00BB7DE8">
              <w:rPr>
                <w:color w:val="000000"/>
              </w:rPr>
              <w:t>Checkbox</w:t>
            </w:r>
          </w:p>
        </w:tc>
        <w:tc>
          <w:tcPr>
            <w:tcW w:w="8474" w:type="dxa"/>
            <w:tcBorders>
              <w:top w:val="nil"/>
              <w:left w:val="nil"/>
              <w:bottom w:val="single" w:sz="4" w:space="0" w:color="auto"/>
              <w:right w:val="single" w:sz="4" w:space="0" w:color="auto"/>
            </w:tcBorders>
            <w:shd w:val="clear" w:color="auto" w:fill="auto"/>
            <w:vAlign w:val="center"/>
            <w:hideMark/>
          </w:tcPr>
          <w:p w14:paraId="7F316AA2" w14:textId="77777777" w:rsidR="00E16CFA" w:rsidRPr="00BB7DE8" w:rsidRDefault="00E16CFA" w:rsidP="00BB7DE8">
            <w:pPr>
              <w:rPr>
                <w:color w:val="000000"/>
              </w:rPr>
            </w:pPr>
          </w:p>
        </w:tc>
      </w:tr>
    </w:tbl>
    <w:p w14:paraId="76230A93" w14:textId="77777777" w:rsidR="00700A2E" w:rsidRDefault="00700A2E">
      <w:pPr>
        <w:spacing w:before="0" w:after="160" w:line="259" w:lineRule="auto"/>
        <w:rPr>
          <w:color w:val="FFFFFF" w:themeColor="background1"/>
          <w:sz w:val="10"/>
          <w:szCs w:val="10"/>
        </w:rPr>
      </w:pPr>
      <w:r>
        <w:br w:type="page"/>
      </w:r>
    </w:p>
    <w:p w14:paraId="1C9FA827" w14:textId="5ECD567E" w:rsidR="00366DA2" w:rsidRDefault="00E83577" w:rsidP="0041008C">
      <w:pPr>
        <w:pStyle w:val="Heading3"/>
      </w:pPr>
      <w:bookmarkStart w:id="11" w:name="_Toc184842617"/>
      <w:r>
        <w:lastRenderedPageBreak/>
        <w:t xml:space="preserve">Modified Report - </w:t>
      </w:r>
      <w:r w:rsidR="00017284" w:rsidRPr="00017284">
        <w:t xml:space="preserve"> </w:t>
      </w:r>
      <w:r w:rsidR="001F4F95">
        <w:t>E</w:t>
      </w:r>
      <w:r w:rsidR="00017284" w:rsidRPr="00017284">
        <w:t>xternal administration</w:t>
      </w:r>
      <w:bookmarkEnd w:id="11"/>
      <w:r w:rsidR="00017284" w:rsidRPr="00017284">
        <w:t xml:space="preserve"> </w:t>
      </w:r>
    </w:p>
    <w:tbl>
      <w:tblPr>
        <w:tblW w:w="14565" w:type="dxa"/>
        <w:tblCellMar>
          <w:top w:w="28" w:type="dxa"/>
          <w:left w:w="85" w:type="dxa"/>
          <w:bottom w:w="28" w:type="dxa"/>
          <w:right w:w="85" w:type="dxa"/>
        </w:tblCellMar>
        <w:tblLook w:val="04A0" w:firstRow="1" w:lastRow="0" w:firstColumn="1" w:lastColumn="0" w:noHBand="0" w:noVBand="1"/>
      </w:tblPr>
      <w:tblGrid>
        <w:gridCol w:w="2830"/>
        <w:gridCol w:w="1630"/>
        <w:gridCol w:w="71"/>
        <w:gridCol w:w="1560"/>
        <w:gridCol w:w="8474"/>
      </w:tblGrid>
      <w:tr w:rsidR="00257764" w:rsidRPr="00257764" w14:paraId="722BA333" w14:textId="77777777" w:rsidTr="003D08F8">
        <w:trPr>
          <w:cantSplit/>
          <w:trHeight w:val="680"/>
          <w:tblHeader/>
        </w:trPr>
        <w:tc>
          <w:tcPr>
            <w:tcW w:w="14565" w:type="dxa"/>
            <w:gridSpan w:val="5"/>
            <w:tcBorders>
              <w:top w:val="nil"/>
              <w:left w:val="single" w:sz="4" w:space="0" w:color="auto"/>
              <w:bottom w:val="single" w:sz="4" w:space="0" w:color="auto"/>
              <w:right w:val="nil"/>
            </w:tcBorders>
            <w:shd w:val="clear" w:color="000000" w:fill="3A6FAF"/>
            <w:vAlign w:val="center"/>
            <w:hideMark/>
          </w:tcPr>
          <w:p w14:paraId="6E19BEA3" w14:textId="1145AF85" w:rsidR="009279AF" w:rsidRDefault="00257764" w:rsidP="003D08F8">
            <w:pPr>
              <w:spacing w:before="0" w:after="0"/>
              <w:rPr>
                <w:rFonts w:cs="Calibri"/>
                <w:b/>
                <w:bCs/>
                <w:color w:val="FFFFFF"/>
                <w:sz w:val="28"/>
                <w:szCs w:val="28"/>
              </w:rPr>
            </w:pPr>
            <w:r w:rsidRPr="00257764">
              <w:rPr>
                <w:rFonts w:cs="Calibri"/>
                <w:b/>
                <w:bCs/>
                <w:color w:val="FFFFFF"/>
                <w:sz w:val="28"/>
                <w:szCs w:val="28"/>
              </w:rPr>
              <w:t>MODIFIED PAYMENT TIMES REPORT</w:t>
            </w:r>
            <w:r w:rsidR="00E27AB2">
              <w:rPr>
                <w:rFonts w:cs="Calibri"/>
                <w:b/>
                <w:bCs/>
                <w:color w:val="FFFFFF"/>
                <w:sz w:val="28"/>
                <w:szCs w:val="28"/>
              </w:rPr>
              <w:t xml:space="preserve"> – EXTERNAL ADMINISTRATION</w:t>
            </w:r>
          </w:p>
          <w:p w14:paraId="1E8868DD" w14:textId="1A0C8A13" w:rsidR="00257764" w:rsidRPr="00385D44" w:rsidRDefault="00257764" w:rsidP="003D08F8">
            <w:pPr>
              <w:spacing w:before="0" w:after="0"/>
              <w:rPr>
                <w:rFonts w:cs="Calibri"/>
                <w:b/>
                <w:bCs/>
                <w:color w:val="FFFFFF"/>
                <w:sz w:val="26"/>
                <w:szCs w:val="26"/>
              </w:rPr>
            </w:pPr>
            <w:r w:rsidRPr="00385D44">
              <w:rPr>
                <w:rFonts w:cs="Calibri"/>
                <w:b/>
                <w:bCs/>
                <w:color w:val="FFFFFF"/>
                <w:sz w:val="26"/>
                <w:szCs w:val="26"/>
              </w:rPr>
              <w:t>Entity in external administration</w:t>
            </w:r>
          </w:p>
        </w:tc>
      </w:tr>
      <w:tr w:rsidR="00257764" w:rsidRPr="00257764" w14:paraId="3C89307C" w14:textId="77777777" w:rsidTr="003D08F8">
        <w:trPr>
          <w:cantSplit/>
          <w:trHeight w:val="510"/>
          <w:tblHeader/>
        </w:trPr>
        <w:tc>
          <w:tcPr>
            <w:tcW w:w="2830" w:type="dxa"/>
            <w:tcBorders>
              <w:top w:val="nil"/>
              <w:left w:val="single" w:sz="4" w:space="0" w:color="auto"/>
              <w:bottom w:val="single" w:sz="4" w:space="0" w:color="auto"/>
              <w:right w:val="single" w:sz="4" w:space="0" w:color="auto"/>
            </w:tcBorders>
            <w:shd w:val="clear" w:color="000000" w:fill="ACC5E3"/>
            <w:vAlign w:val="center"/>
            <w:hideMark/>
          </w:tcPr>
          <w:p w14:paraId="0F20CF38" w14:textId="77777777" w:rsidR="00257764" w:rsidRPr="00257764" w:rsidRDefault="00257764" w:rsidP="003D08F8">
            <w:pPr>
              <w:spacing w:before="0" w:after="0"/>
              <w:rPr>
                <w:rFonts w:cs="Calibri"/>
                <w:b/>
                <w:bCs/>
                <w:color w:val="000000"/>
                <w:sz w:val="24"/>
                <w:szCs w:val="24"/>
              </w:rPr>
            </w:pPr>
            <w:r w:rsidRPr="00257764">
              <w:rPr>
                <w:rFonts w:cs="Calibri"/>
                <w:b/>
                <w:bCs/>
                <w:color w:val="000000"/>
                <w:sz w:val="24"/>
                <w:szCs w:val="24"/>
              </w:rPr>
              <w:t>Field Name</w:t>
            </w:r>
          </w:p>
        </w:tc>
        <w:tc>
          <w:tcPr>
            <w:tcW w:w="1630" w:type="dxa"/>
            <w:tcBorders>
              <w:top w:val="nil"/>
              <w:left w:val="nil"/>
              <w:bottom w:val="single" w:sz="4" w:space="0" w:color="auto"/>
              <w:right w:val="single" w:sz="4" w:space="0" w:color="auto"/>
            </w:tcBorders>
            <w:shd w:val="clear" w:color="000000" w:fill="ACC5E3"/>
            <w:vAlign w:val="center"/>
            <w:hideMark/>
          </w:tcPr>
          <w:p w14:paraId="78BA5C33" w14:textId="77777777" w:rsidR="00257764" w:rsidRPr="00257764" w:rsidRDefault="00257764" w:rsidP="007A5728">
            <w:pPr>
              <w:spacing w:before="0" w:after="0"/>
              <w:jc w:val="center"/>
              <w:rPr>
                <w:rFonts w:cs="Calibri"/>
                <w:b/>
                <w:bCs/>
                <w:color w:val="000000"/>
                <w:sz w:val="24"/>
                <w:szCs w:val="24"/>
              </w:rPr>
            </w:pPr>
            <w:r w:rsidRPr="00257764">
              <w:rPr>
                <w:rFonts w:cs="Calibri"/>
                <w:b/>
                <w:bCs/>
                <w:color w:val="000000"/>
                <w:sz w:val="24"/>
                <w:szCs w:val="24"/>
              </w:rPr>
              <w:t>Field Type</w:t>
            </w:r>
          </w:p>
        </w:tc>
        <w:tc>
          <w:tcPr>
            <w:tcW w:w="1631" w:type="dxa"/>
            <w:gridSpan w:val="2"/>
            <w:tcBorders>
              <w:top w:val="nil"/>
              <w:left w:val="nil"/>
              <w:bottom w:val="single" w:sz="4" w:space="0" w:color="auto"/>
              <w:right w:val="single" w:sz="4" w:space="0" w:color="auto"/>
            </w:tcBorders>
            <w:shd w:val="clear" w:color="000000" w:fill="ACC5E3"/>
            <w:vAlign w:val="center"/>
            <w:hideMark/>
          </w:tcPr>
          <w:p w14:paraId="20700DF6" w14:textId="77777777" w:rsidR="00257764" w:rsidRPr="00257764" w:rsidRDefault="00257764" w:rsidP="007A5728">
            <w:pPr>
              <w:spacing w:before="0" w:after="0"/>
              <w:jc w:val="center"/>
              <w:rPr>
                <w:rFonts w:cs="Calibri"/>
                <w:b/>
                <w:bCs/>
                <w:color w:val="000000"/>
                <w:sz w:val="24"/>
                <w:szCs w:val="24"/>
              </w:rPr>
            </w:pPr>
            <w:r w:rsidRPr="00257764">
              <w:rPr>
                <w:rFonts w:cs="Calibri"/>
                <w:b/>
                <w:bCs/>
                <w:color w:val="000000"/>
                <w:sz w:val="24"/>
                <w:szCs w:val="24"/>
              </w:rPr>
              <w:t>Field Format</w:t>
            </w:r>
          </w:p>
        </w:tc>
        <w:tc>
          <w:tcPr>
            <w:tcW w:w="8474" w:type="dxa"/>
            <w:tcBorders>
              <w:top w:val="nil"/>
              <w:left w:val="nil"/>
              <w:bottom w:val="single" w:sz="4" w:space="0" w:color="auto"/>
              <w:right w:val="single" w:sz="4" w:space="0" w:color="auto"/>
            </w:tcBorders>
            <w:shd w:val="clear" w:color="000000" w:fill="ACC5E3"/>
            <w:vAlign w:val="center"/>
            <w:hideMark/>
          </w:tcPr>
          <w:p w14:paraId="05D44C8B" w14:textId="77777777" w:rsidR="00257764" w:rsidRPr="00257764" w:rsidRDefault="00257764" w:rsidP="003D08F8">
            <w:pPr>
              <w:spacing w:before="0" w:after="0"/>
              <w:rPr>
                <w:rFonts w:cs="Calibri"/>
                <w:b/>
                <w:bCs/>
                <w:color w:val="000000"/>
                <w:sz w:val="24"/>
                <w:szCs w:val="24"/>
              </w:rPr>
            </w:pPr>
            <w:r w:rsidRPr="00257764">
              <w:rPr>
                <w:rFonts w:cs="Calibri"/>
                <w:b/>
                <w:bCs/>
                <w:color w:val="000000"/>
                <w:sz w:val="24"/>
                <w:szCs w:val="24"/>
              </w:rPr>
              <w:t>Description</w:t>
            </w:r>
          </w:p>
        </w:tc>
      </w:tr>
      <w:tr w:rsidR="00BB7DE8" w:rsidRPr="00257764" w14:paraId="05B0C3E7"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60505A9B" w14:textId="21397A52" w:rsidR="00BB7DE8" w:rsidRPr="00257764" w:rsidRDefault="00BB7DE8" w:rsidP="003D08F8">
            <w:pPr>
              <w:spacing w:before="80" w:after="80"/>
              <w:rPr>
                <w:sz w:val="20"/>
              </w:rPr>
            </w:pPr>
            <w:r w:rsidRPr="007A5728">
              <w:rPr>
                <w:b/>
                <w:bCs/>
                <w:color w:val="FFFFFF" w:themeColor="background1"/>
                <w:sz w:val="24"/>
                <w:szCs w:val="24"/>
              </w:rPr>
              <w:t>Entity Details</w:t>
            </w:r>
          </w:p>
        </w:tc>
      </w:tr>
      <w:tr w:rsidR="00BB7DE8" w:rsidRPr="00257764" w14:paraId="4B6536BB"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58355B" w14:textId="77777777" w:rsidR="00BB7DE8" w:rsidRPr="005D2C32" w:rsidRDefault="00BB7DE8" w:rsidP="003D08F8">
            <w:pPr>
              <w:rPr>
                <w:szCs w:val="22"/>
              </w:rPr>
            </w:pPr>
            <w:r w:rsidRPr="005D2C32">
              <w:rPr>
                <w:szCs w:val="22"/>
              </w:rPr>
              <w:t>Entity Name</w:t>
            </w:r>
          </w:p>
        </w:tc>
        <w:tc>
          <w:tcPr>
            <w:tcW w:w="3261" w:type="dxa"/>
            <w:gridSpan w:val="3"/>
            <w:tcBorders>
              <w:top w:val="nil"/>
              <w:left w:val="nil"/>
              <w:bottom w:val="single" w:sz="4" w:space="0" w:color="auto"/>
              <w:right w:val="single" w:sz="4" w:space="0" w:color="auto"/>
            </w:tcBorders>
            <w:shd w:val="clear" w:color="auto" w:fill="auto"/>
            <w:vAlign w:val="center"/>
            <w:hideMark/>
          </w:tcPr>
          <w:p w14:paraId="43CF6442" w14:textId="73DC499C" w:rsidR="00BB7DE8" w:rsidRPr="005D2C32" w:rsidRDefault="00BB7DE8" w:rsidP="007A5728">
            <w:pPr>
              <w:jc w:val="center"/>
              <w:rPr>
                <w:color w:val="000000"/>
                <w:szCs w:val="22"/>
              </w:rPr>
            </w:pPr>
            <w:r w:rsidRPr="005D2C32">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064620CE" w14:textId="1F6805FE" w:rsidR="00BB7DE8" w:rsidRPr="005D2C32" w:rsidRDefault="00BB7DE8" w:rsidP="005C0ABE">
            <w:pPr>
              <w:rPr>
                <w:color w:val="000000"/>
                <w:szCs w:val="22"/>
              </w:rPr>
            </w:pPr>
            <w:r w:rsidRPr="005D2C32">
              <w:rPr>
                <w:color w:val="000000"/>
                <w:szCs w:val="22"/>
              </w:rPr>
              <w:t>Reporting entity's name as registered on the Australian Business Register</w:t>
            </w:r>
            <w:r>
              <w:rPr>
                <w:color w:val="000000"/>
                <w:szCs w:val="22"/>
              </w:rPr>
              <w:t>.</w:t>
            </w:r>
          </w:p>
        </w:tc>
      </w:tr>
      <w:tr w:rsidR="00BB7DE8" w:rsidRPr="00257764" w14:paraId="2CEFB48C"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F1911C" w14:textId="77777777" w:rsidR="00BB7DE8" w:rsidRPr="005D2C32" w:rsidRDefault="00BB7DE8" w:rsidP="003D08F8">
            <w:pPr>
              <w:rPr>
                <w:szCs w:val="22"/>
              </w:rPr>
            </w:pPr>
            <w:r w:rsidRPr="005D2C32">
              <w:rPr>
                <w:szCs w:val="22"/>
              </w:rPr>
              <w:t>Entity ABN</w:t>
            </w:r>
          </w:p>
        </w:tc>
        <w:tc>
          <w:tcPr>
            <w:tcW w:w="3261" w:type="dxa"/>
            <w:gridSpan w:val="3"/>
            <w:tcBorders>
              <w:top w:val="nil"/>
              <w:left w:val="nil"/>
              <w:bottom w:val="single" w:sz="4" w:space="0" w:color="auto"/>
              <w:right w:val="single" w:sz="4" w:space="0" w:color="auto"/>
            </w:tcBorders>
            <w:shd w:val="clear" w:color="auto" w:fill="auto"/>
            <w:vAlign w:val="center"/>
          </w:tcPr>
          <w:p w14:paraId="58FC3320" w14:textId="737E5203" w:rsidR="00BB7DE8" w:rsidRPr="005D2C32" w:rsidRDefault="00BB7DE8" w:rsidP="007A5728">
            <w:pPr>
              <w:jc w:val="center"/>
              <w:rPr>
                <w:color w:val="000000"/>
                <w:szCs w:val="22"/>
              </w:rPr>
            </w:pPr>
            <w:r w:rsidRPr="005D2C32">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5E4234C8" w14:textId="29E90D06" w:rsidR="00BB7DE8" w:rsidRPr="005D2C32" w:rsidRDefault="00BB7DE8" w:rsidP="005C0ABE">
            <w:pPr>
              <w:rPr>
                <w:color w:val="000000"/>
                <w:szCs w:val="22"/>
              </w:rPr>
            </w:pPr>
            <w:r w:rsidRPr="005D2C32">
              <w:rPr>
                <w:color w:val="000000"/>
                <w:szCs w:val="22"/>
              </w:rPr>
              <w:t>Reporting entity's Australian Business Number, if applicable</w:t>
            </w:r>
            <w:r>
              <w:rPr>
                <w:color w:val="000000"/>
                <w:szCs w:val="22"/>
              </w:rPr>
              <w:t>.</w:t>
            </w:r>
          </w:p>
        </w:tc>
      </w:tr>
      <w:tr w:rsidR="00BB7DE8" w:rsidRPr="00257764" w14:paraId="73AE7D52"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EE3B2D" w14:textId="77777777" w:rsidR="00BB7DE8" w:rsidRPr="005D2C32" w:rsidRDefault="00BB7DE8" w:rsidP="003D08F8">
            <w:pPr>
              <w:rPr>
                <w:szCs w:val="22"/>
              </w:rPr>
            </w:pPr>
            <w:r w:rsidRPr="005D2C32">
              <w:rPr>
                <w:szCs w:val="22"/>
              </w:rPr>
              <w:t>Entity ACN</w:t>
            </w:r>
          </w:p>
        </w:tc>
        <w:tc>
          <w:tcPr>
            <w:tcW w:w="3261" w:type="dxa"/>
            <w:gridSpan w:val="3"/>
            <w:tcBorders>
              <w:top w:val="nil"/>
              <w:left w:val="nil"/>
              <w:bottom w:val="single" w:sz="4" w:space="0" w:color="auto"/>
              <w:right w:val="single" w:sz="4" w:space="0" w:color="auto"/>
            </w:tcBorders>
            <w:shd w:val="clear" w:color="auto" w:fill="auto"/>
            <w:vAlign w:val="center"/>
            <w:hideMark/>
          </w:tcPr>
          <w:p w14:paraId="065BDED1" w14:textId="589825D8" w:rsidR="00BB7DE8" w:rsidRPr="005D2C32" w:rsidRDefault="00BB7DE8" w:rsidP="007A5728">
            <w:pPr>
              <w:jc w:val="center"/>
              <w:rPr>
                <w:color w:val="000000"/>
                <w:szCs w:val="22"/>
              </w:rPr>
            </w:pPr>
            <w:r w:rsidRPr="005D2C32">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0D7F9CC9" w14:textId="5BBEBF6F" w:rsidR="00BB7DE8" w:rsidRPr="005D2C32" w:rsidRDefault="00BB7DE8" w:rsidP="005C0ABE">
            <w:pPr>
              <w:rPr>
                <w:color w:val="000000"/>
                <w:szCs w:val="22"/>
              </w:rPr>
            </w:pPr>
            <w:r w:rsidRPr="005D2C32">
              <w:rPr>
                <w:color w:val="000000"/>
                <w:szCs w:val="22"/>
              </w:rPr>
              <w:t>Reporting entity's Australian Company Number, if applicable</w:t>
            </w:r>
            <w:r>
              <w:rPr>
                <w:color w:val="000000"/>
                <w:szCs w:val="22"/>
              </w:rPr>
              <w:t>.</w:t>
            </w:r>
          </w:p>
        </w:tc>
      </w:tr>
      <w:tr w:rsidR="00BB7DE8" w:rsidRPr="00257764" w14:paraId="2D00EA5E"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0AB5D8" w14:textId="77777777" w:rsidR="00BB7DE8" w:rsidRPr="005D2C32" w:rsidRDefault="00BB7DE8" w:rsidP="003D08F8">
            <w:pPr>
              <w:rPr>
                <w:szCs w:val="22"/>
              </w:rPr>
            </w:pPr>
            <w:r w:rsidRPr="005D2C32">
              <w:rPr>
                <w:szCs w:val="22"/>
              </w:rPr>
              <w:t>Entity ARBN</w:t>
            </w:r>
          </w:p>
        </w:tc>
        <w:tc>
          <w:tcPr>
            <w:tcW w:w="3261" w:type="dxa"/>
            <w:gridSpan w:val="3"/>
            <w:tcBorders>
              <w:top w:val="nil"/>
              <w:left w:val="nil"/>
              <w:bottom w:val="single" w:sz="4" w:space="0" w:color="auto"/>
              <w:right w:val="single" w:sz="4" w:space="0" w:color="auto"/>
            </w:tcBorders>
            <w:shd w:val="clear" w:color="auto" w:fill="auto"/>
            <w:vAlign w:val="center"/>
            <w:hideMark/>
          </w:tcPr>
          <w:p w14:paraId="6C593404" w14:textId="644F3EDB" w:rsidR="00BB7DE8" w:rsidRPr="005D2C32" w:rsidRDefault="00BB7DE8" w:rsidP="007A5728">
            <w:pPr>
              <w:jc w:val="center"/>
              <w:rPr>
                <w:color w:val="000000"/>
                <w:szCs w:val="22"/>
              </w:rPr>
            </w:pPr>
            <w:r w:rsidRPr="005D2C32">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352D7C28" w14:textId="12EEF84F" w:rsidR="00BB7DE8" w:rsidRPr="005D2C32" w:rsidRDefault="00BB7DE8" w:rsidP="005C0ABE">
            <w:pPr>
              <w:rPr>
                <w:color w:val="000000"/>
                <w:szCs w:val="22"/>
              </w:rPr>
            </w:pPr>
            <w:r w:rsidRPr="005D2C32">
              <w:rPr>
                <w:color w:val="000000"/>
                <w:szCs w:val="22"/>
              </w:rPr>
              <w:t>Reporting entity's Australian Registered Body Number, if applicable</w:t>
            </w:r>
            <w:r>
              <w:rPr>
                <w:color w:val="000000"/>
                <w:szCs w:val="22"/>
              </w:rPr>
              <w:t>.</w:t>
            </w:r>
          </w:p>
        </w:tc>
      </w:tr>
      <w:tr w:rsidR="00BB7DE8" w:rsidRPr="00257764" w14:paraId="266C0D79"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6F9446C6" w14:textId="1C8710E9" w:rsidR="00BB7DE8" w:rsidRPr="00257764" w:rsidRDefault="00BB7DE8" w:rsidP="003D08F8">
            <w:pPr>
              <w:spacing w:before="80" w:after="80"/>
              <w:rPr>
                <w:sz w:val="20"/>
              </w:rPr>
            </w:pPr>
            <w:r w:rsidRPr="007A5728">
              <w:rPr>
                <w:b/>
                <w:bCs/>
                <w:color w:val="FFFFFF" w:themeColor="background1"/>
                <w:sz w:val="24"/>
                <w:szCs w:val="24"/>
              </w:rPr>
              <w:t>Report Details</w:t>
            </w:r>
          </w:p>
        </w:tc>
      </w:tr>
      <w:tr w:rsidR="00BB7DE8" w:rsidRPr="00257764" w14:paraId="797CA207"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C5E2E2"/>
            <w:noWrap/>
            <w:vAlign w:val="center"/>
            <w:hideMark/>
          </w:tcPr>
          <w:p w14:paraId="28C3C581" w14:textId="6D7BCE3C" w:rsidR="00BB7DE8" w:rsidRPr="00257764" w:rsidRDefault="00BB7DE8" w:rsidP="003D08F8">
            <w:pPr>
              <w:spacing w:before="40" w:after="40"/>
              <w:rPr>
                <w:color w:val="000000"/>
                <w:sz w:val="20"/>
              </w:rPr>
            </w:pPr>
            <w:r w:rsidRPr="007A5728">
              <w:rPr>
                <w:rFonts w:cs="Calibri"/>
                <w:i/>
                <w:color w:val="000000"/>
                <w:szCs w:val="22"/>
              </w:rPr>
              <w:t>Reporting Period</w:t>
            </w:r>
          </w:p>
        </w:tc>
      </w:tr>
      <w:tr w:rsidR="00BB7DE8" w:rsidRPr="00257764" w14:paraId="7B62C019"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D60E147" w14:textId="77777777" w:rsidR="00BB7DE8" w:rsidRPr="005D2C32" w:rsidRDefault="00BB7DE8" w:rsidP="003D08F8">
            <w:pPr>
              <w:rPr>
                <w:szCs w:val="22"/>
              </w:rPr>
            </w:pPr>
            <w:r w:rsidRPr="005D2C32">
              <w:rPr>
                <w:szCs w:val="22"/>
              </w:rPr>
              <w:t xml:space="preserve">Reporting </w:t>
            </w:r>
            <w:proofErr w:type="gramStart"/>
            <w:r w:rsidRPr="005D2C32">
              <w:rPr>
                <w:szCs w:val="22"/>
              </w:rPr>
              <w:t>period</w:t>
            </w:r>
            <w:proofErr w:type="gramEnd"/>
            <w:r w:rsidRPr="005D2C32">
              <w:rPr>
                <w:szCs w:val="22"/>
              </w:rPr>
              <w:t xml:space="preserve"> start date</w:t>
            </w:r>
          </w:p>
        </w:tc>
        <w:tc>
          <w:tcPr>
            <w:tcW w:w="1630" w:type="dxa"/>
            <w:tcBorders>
              <w:top w:val="nil"/>
              <w:left w:val="nil"/>
              <w:bottom w:val="single" w:sz="4" w:space="0" w:color="auto"/>
              <w:right w:val="single" w:sz="4" w:space="0" w:color="auto"/>
            </w:tcBorders>
            <w:shd w:val="clear" w:color="auto" w:fill="auto"/>
            <w:vAlign w:val="center"/>
            <w:hideMark/>
          </w:tcPr>
          <w:p w14:paraId="48AF28A6" w14:textId="77777777" w:rsidR="00BB7DE8" w:rsidRPr="005D2C32" w:rsidRDefault="00BB7DE8" w:rsidP="007A5728">
            <w:pPr>
              <w:jc w:val="cente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02B74991" w14:textId="77777777" w:rsidR="00BB7DE8" w:rsidRPr="005D2C32" w:rsidRDefault="00BB7DE8" w:rsidP="007A5728">
            <w:pPr>
              <w:jc w:val="center"/>
              <w:rPr>
                <w:color w:val="000000"/>
                <w:szCs w:val="22"/>
              </w:rPr>
            </w:pPr>
            <w:r w:rsidRPr="005D2C32">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4C8DEA4F" w14:textId="6A84F331" w:rsidR="00BB7DE8" w:rsidRPr="005D2C32" w:rsidRDefault="00BB7DE8" w:rsidP="005C0ABE">
            <w:pPr>
              <w:rPr>
                <w:color w:val="000000"/>
                <w:szCs w:val="22"/>
              </w:rPr>
            </w:pPr>
            <w:r w:rsidRPr="005D2C32">
              <w:rPr>
                <w:color w:val="000000"/>
                <w:szCs w:val="22"/>
              </w:rPr>
              <w:t>The starting date of the reporting period covered in the report</w:t>
            </w:r>
            <w:r>
              <w:rPr>
                <w:color w:val="000000"/>
                <w:szCs w:val="22"/>
              </w:rPr>
              <w:t>.</w:t>
            </w:r>
          </w:p>
        </w:tc>
      </w:tr>
      <w:tr w:rsidR="00BB7DE8" w:rsidRPr="00257764" w14:paraId="20728B42"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708967" w14:textId="77777777" w:rsidR="00BB7DE8" w:rsidRPr="005D2C32" w:rsidRDefault="00BB7DE8" w:rsidP="003D08F8">
            <w:pPr>
              <w:rPr>
                <w:szCs w:val="22"/>
              </w:rPr>
            </w:pPr>
            <w:r w:rsidRPr="005D2C32">
              <w:rPr>
                <w:szCs w:val="22"/>
              </w:rPr>
              <w:t>Reporting period end date</w:t>
            </w:r>
          </w:p>
        </w:tc>
        <w:tc>
          <w:tcPr>
            <w:tcW w:w="1630" w:type="dxa"/>
            <w:tcBorders>
              <w:top w:val="nil"/>
              <w:left w:val="nil"/>
              <w:bottom w:val="single" w:sz="4" w:space="0" w:color="auto"/>
              <w:right w:val="single" w:sz="4" w:space="0" w:color="auto"/>
            </w:tcBorders>
            <w:shd w:val="clear" w:color="auto" w:fill="auto"/>
            <w:vAlign w:val="center"/>
            <w:hideMark/>
          </w:tcPr>
          <w:p w14:paraId="7653F3E1" w14:textId="77777777" w:rsidR="00BB7DE8" w:rsidRPr="005D2C32" w:rsidRDefault="00BB7DE8" w:rsidP="007A5728">
            <w:pPr>
              <w:jc w:val="cente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0DBFF92D" w14:textId="77777777" w:rsidR="00BB7DE8" w:rsidRPr="005D2C32" w:rsidRDefault="00BB7DE8" w:rsidP="007A5728">
            <w:pPr>
              <w:jc w:val="center"/>
              <w:rPr>
                <w:color w:val="000000"/>
                <w:szCs w:val="22"/>
              </w:rPr>
            </w:pPr>
            <w:r w:rsidRPr="005D2C32">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18C6DF55" w14:textId="78B27043" w:rsidR="00BB7DE8" w:rsidRPr="005D2C32" w:rsidRDefault="00BB7DE8" w:rsidP="005C0ABE">
            <w:pPr>
              <w:rPr>
                <w:color w:val="000000"/>
                <w:szCs w:val="22"/>
              </w:rPr>
            </w:pPr>
            <w:r w:rsidRPr="005D2C32">
              <w:rPr>
                <w:color w:val="000000"/>
                <w:szCs w:val="22"/>
              </w:rPr>
              <w:t>The end date of the reporting period covered in the report</w:t>
            </w:r>
            <w:r>
              <w:rPr>
                <w:color w:val="000000"/>
                <w:szCs w:val="22"/>
              </w:rPr>
              <w:t>.</w:t>
            </w:r>
          </w:p>
        </w:tc>
      </w:tr>
      <w:tr w:rsidR="00BB7DE8" w:rsidRPr="00257764" w14:paraId="2E4EF368"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C5E2E2"/>
            <w:noWrap/>
            <w:vAlign w:val="center"/>
            <w:hideMark/>
          </w:tcPr>
          <w:p w14:paraId="0D7A77B4" w14:textId="0B619951" w:rsidR="00BB7DE8" w:rsidRPr="00257764" w:rsidRDefault="00BB7DE8" w:rsidP="003D08F8">
            <w:pPr>
              <w:spacing w:before="40" w:after="40"/>
              <w:rPr>
                <w:color w:val="000000"/>
                <w:sz w:val="20"/>
              </w:rPr>
            </w:pPr>
            <w:r w:rsidRPr="007A5728">
              <w:rPr>
                <w:rFonts w:cs="Calibri"/>
                <w:i/>
                <w:color w:val="000000"/>
                <w:szCs w:val="22"/>
              </w:rPr>
              <w:t>Approver</w:t>
            </w:r>
          </w:p>
        </w:tc>
      </w:tr>
      <w:tr w:rsidR="00BB7DE8" w:rsidRPr="00257764" w14:paraId="3317E51F"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DCAD68" w14:textId="7A47BC6D" w:rsidR="00BB7DE8" w:rsidRPr="005D2C32" w:rsidRDefault="00BB7DE8" w:rsidP="003D08F8">
            <w:pPr>
              <w:rPr>
                <w:szCs w:val="22"/>
              </w:rPr>
            </w:pPr>
            <w:r w:rsidRPr="005D2C32">
              <w:rPr>
                <w:szCs w:val="22"/>
              </w:rPr>
              <w:t xml:space="preserve">Approving responsible member </w:t>
            </w:r>
            <w:r w:rsidR="00F25D41">
              <w:rPr>
                <w:szCs w:val="22"/>
              </w:rPr>
              <w:t>given name</w:t>
            </w:r>
          </w:p>
        </w:tc>
        <w:tc>
          <w:tcPr>
            <w:tcW w:w="1630" w:type="dxa"/>
            <w:tcBorders>
              <w:top w:val="nil"/>
              <w:left w:val="nil"/>
              <w:bottom w:val="single" w:sz="4" w:space="0" w:color="auto"/>
              <w:right w:val="single" w:sz="4" w:space="0" w:color="auto"/>
            </w:tcBorders>
            <w:shd w:val="clear" w:color="auto" w:fill="auto"/>
            <w:vAlign w:val="center"/>
            <w:hideMark/>
          </w:tcPr>
          <w:p w14:paraId="1DF53358" w14:textId="77777777" w:rsidR="00BB7DE8" w:rsidRPr="005D2C32" w:rsidRDefault="00BB7DE8" w:rsidP="007A5728">
            <w:pPr>
              <w:jc w:val="center"/>
              <w:rPr>
                <w:color w:val="000000"/>
                <w:szCs w:val="22"/>
              </w:rPr>
            </w:pPr>
            <w:r w:rsidRPr="005D2C32">
              <w:rPr>
                <w:color w:val="000000"/>
                <w:szCs w:val="22"/>
              </w:rPr>
              <w:t>Recommended</w:t>
            </w:r>
          </w:p>
        </w:tc>
        <w:tc>
          <w:tcPr>
            <w:tcW w:w="1631" w:type="dxa"/>
            <w:gridSpan w:val="2"/>
            <w:tcBorders>
              <w:top w:val="nil"/>
              <w:left w:val="nil"/>
              <w:bottom w:val="single" w:sz="4" w:space="0" w:color="auto"/>
              <w:right w:val="single" w:sz="4" w:space="0" w:color="auto"/>
            </w:tcBorders>
            <w:shd w:val="clear" w:color="auto" w:fill="auto"/>
            <w:vAlign w:val="center"/>
            <w:hideMark/>
          </w:tcPr>
          <w:p w14:paraId="62BF7229" w14:textId="06FE5A82" w:rsidR="00BB7DE8" w:rsidRPr="005D2C32" w:rsidRDefault="00BB7DE8" w:rsidP="007A5728">
            <w:pPr>
              <w:jc w:val="center"/>
              <w:rPr>
                <w:color w:val="000000"/>
                <w:szCs w:val="22"/>
              </w:rPr>
            </w:pPr>
            <w:r w:rsidRPr="005D2C32">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658B7BC3" w14:textId="0C002241" w:rsidR="00BB7DE8" w:rsidRPr="005D2C32" w:rsidRDefault="00F25D41" w:rsidP="005C0ABE">
            <w:pPr>
              <w:rPr>
                <w:color w:val="000000"/>
                <w:szCs w:val="22"/>
              </w:rPr>
            </w:pPr>
            <w:r>
              <w:rPr>
                <w:color w:val="000000"/>
                <w:szCs w:val="22"/>
              </w:rPr>
              <w:t>Given name</w:t>
            </w:r>
            <w:r w:rsidR="00BB7DE8" w:rsidRPr="005D2C32">
              <w:rPr>
                <w:color w:val="000000"/>
                <w:szCs w:val="22"/>
              </w:rPr>
              <w:t xml:space="preserve"> of the responsible member who approved the report. </w:t>
            </w:r>
          </w:p>
        </w:tc>
      </w:tr>
      <w:tr w:rsidR="00BB7DE8" w:rsidRPr="00257764" w14:paraId="33CBA9D7"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6BDA4B6" w14:textId="71674F92" w:rsidR="00BB7DE8" w:rsidRPr="005D2C32" w:rsidRDefault="00BB7DE8" w:rsidP="003D08F8">
            <w:pPr>
              <w:rPr>
                <w:szCs w:val="22"/>
              </w:rPr>
            </w:pPr>
            <w:r w:rsidRPr="005D2C32">
              <w:rPr>
                <w:szCs w:val="22"/>
              </w:rPr>
              <w:t xml:space="preserve">Approving responsible member </w:t>
            </w:r>
            <w:r w:rsidR="00F25D41">
              <w:rPr>
                <w:szCs w:val="22"/>
              </w:rPr>
              <w:t>family name</w:t>
            </w:r>
          </w:p>
        </w:tc>
        <w:tc>
          <w:tcPr>
            <w:tcW w:w="1630" w:type="dxa"/>
            <w:tcBorders>
              <w:top w:val="nil"/>
              <w:left w:val="nil"/>
              <w:bottom w:val="single" w:sz="4" w:space="0" w:color="auto"/>
              <w:right w:val="single" w:sz="4" w:space="0" w:color="auto"/>
            </w:tcBorders>
            <w:shd w:val="clear" w:color="auto" w:fill="auto"/>
            <w:vAlign w:val="center"/>
            <w:hideMark/>
          </w:tcPr>
          <w:p w14:paraId="2464BAC7" w14:textId="77777777" w:rsidR="00BB7DE8" w:rsidRPr="005D2C32" w:rsidRDefault="00BB7DE8" w:rsidP="007A5728">
            <w:pPr>
              <w:jc w:val="cente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475E23E8" w14:textId="66E2DFBA" w:rsidR="00BB7DE8" w:rsidRPr="005D2C32" w:rsidRDefault="00BB7DE8" w:rsidP="007A5728">
            <w:pPr>
              <w:jc w:val="center"/>
              <w:rPr>
                <w:color w:val="000000"/>
                <w:szCs w:val="22"/>
              </w:rPr>
            </w:pPr>
            <w:r w:rsidRPr="005D2C32">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01945D4B" w14:textId="62D494A6" w:rsidR="00BB7DE8" w:rsidRPr="005D2C32" w:rsidRDefault="00F25D41" w:rsidP="005C0ABE">
            <w:pPr>
              <w:rPr>
                <w:color w:val="000000"/>
                <w:szCs w:val="22"/>
              </w:rPr>
            </w:pPr>
            <w:r>
              <w:rPr>
                <w:color w:val="000000"/>
                <w:szCs w:val="22"/>
              </w:rPr>
              <w:t>Family name</w:t>
            </w:r>
            <w:r w:rsidR="00BB7DE8" w:rsidRPr="005D2C32">
              <w:rPr>
                <w:color w:val="000000"/>
                <w:szCs w:val="22"/>
              </w:rPr>
              <w:t xml:space="preserve"> of the responsible member who approved the report. </w:t>
            </w:r>
          </w:p>
        </w:tc>
      </w:tr>
      <w:tr w:rsidR="00BB7DE8" w:rsidRPr="00257764" w14:paraId="67AA004C"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3F5B4D" w14:textId="77777777" w:rsidR="00BB7DE8" w:rsidRPr="005D2C32" w:rsidRDefault="00BB7DE8" w:rsidP="003D08F8">
            <w:pPr>
              <w:rPr>
                <w:szCs w:val="22"/>
              </w:rPr>
            </w:pPr>
            <w:r w:rsidRPr="005D2C32">
              <w:rPr>
                <w:szCs w:val="22"/>
              </w:rPr>
              <w:t>Responsible member approval date</w:t>
            </w:r>
          </w:p>
        </w:tc>
        <w:tc>
          <w:tcPr>
            <w:tcW w:w="1630" w:type="dxa"/>
            <w:tcBorders>
              <w:top w:val="nil"/>
              <w:left w:val="nil"/>
              <w:bottom w:val="single" w:sz="4" w:space="0" w:color="auto"/>
              <w:right w:val="single" w:sz="4" w:space="0" w:color="auto"/>
            </w:tcBorders>
            <w:shd w:val="clear" w:color="auto" w:fill="auto"/>
            <w:vAlign w:val="center"/>
            <w:hideMark/>
          </w:tcPr>
          <w:p w14:paraId="449E4ECF" w14:textId="77777777" w:rsidR="00BB7DE8" w:rsidRPr="005D2C32" w:rsidRDefault="00BB7DE8" w:rsidP="005C0ABE">
            <w:pPr>
              <w:jc w:val="cente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08423561" w14:textId="77777777" w:rsidR="00BB7DE8" w:rsidRPr="005D2C32" w:rsidRDefault="00BB7DE8" w:rsidP="005C0ABE">
            <w:pPr>
              <w:jc w:val="center"/>
              <w:rPr>
                <w:color w:val="000000"/>
                <w:szCs w:val="22"/>
              </w:rPr>
            </w:pPr>
            <w:r w:rsidRPr="005D2C32">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6F0681AF" w14:textId="77777777" w:rsidR="00BB7DE8" w:rsidRPr="005D2C32" w:rsidRDefault="00BB7DE8" w:rsidP="005C0ABE">
            <w:pPr>
              <w:rPr>
                <w:color w:val="000000"/>
                <w:szCs w:val="22"/>
              </w:rPr>
            </w:pPr>
            <w:r w:rsidRPr="005D2C32">
              <w:rPr>
                <w:color w:val="000000"/>
                <w:szCs w:val="22"/>
              </w:rPr>
              <w:t xml:space="preserve">The date that the responsible member who approved the report. </w:t>
            </w:r>
          </w:p>
        </w:tc>
      </w:tr>
      <w:tr w:rsidR="00BB7DE8" w:rsidRPr="00257764" w14:paraId="4C295253"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5490A57B" w14:textId="00C10851" w:rsidR="00BB7DE8" w:rsidRPr="00257764" w:rsidRDefault="00BB7DE8" w:rsidP="003D08F8">
            <w:pPr>
              <w:keepNext/>
              <w:spacing w:before="80" w:after="80"/>
              <w:rPr>
                <w:sz w:val="20"/>
              </w:rPr>
            </w:pPr>
            <w:r w:rsidRPr="007A5728">
              <w:rPr>
                <w:b/>
                <w:bCs/>
                <w:color w:val="FFFFFF" w:themeColor="background1"/>
                <w:sz w:val="24"/>
                <w:szCs w:val="24"/>
              </w:rPr>
              <w:lastRenderedPageBreak/>
              <w:t>External Administrator</w:t>
            </w:r>
          </w:p>
        </w:tc>
      </w:tr>
      <w:tr w:rsidR="00BB7DE8" w:rsidRPr="00257764" w14:paraId="6111203D"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48108B" w14:textId="77777777" w:rsidR="00BB7DE8" w:rsidRPr="005D2C32" w:rsidRDefault="00BB7DE8" w:rsidP="003D08F8">
            <w:pPr>
              <w:rPr>
                <w:szCs w:val="22"/>
              </w:rPr>
            </w:pPr>
            <w:r w:rsidRPr="005D2C32">
              <w:rPr>
                <w:szCs w:val="22"/>
              </w:rPr>
              <w:t>External administrator appointment type</w:t>
            </w:r>
          </w:p>
        </w:tc>
        <w:tc>
          <w:tcPr>
            <w:tcW w:w="1630" w:type="dxa"/>
            <w:tcBorders>
              <w:top w:val="nil"/>
              <w:left w:val="nil"/>
              <w:bottom w:val="single" w:sz="4" w:space="0" w:color="auto"/>
              <w:right w:val="single" w:sz="4" w:space="0" w:color="auto"/>
            </w:tcBorders>
            <w:shd w:val="clear" w:color="auto" w:fill="auto"/>
            <w:vAlign w:val="center"/>
            <w:hideMark/>
          </w:tcPr>
          <w:p w14:paraId="2FAF8EE5" w14:textId="77777777" w:rsidR="00BB7DE8" w:rsidRPr="005D2C32" w:rsidRDefault="00BB7DE8" w:rsidP="005C0ABE">
            <w:pPr>
              <w:jc w:val="cente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7D09BE54" w14:textId="08745AC7" w:rsidR="00BB7DE8" w:rsidRPr="005D2C32" w:rsidRDefault="00BB7DE8" w:rsidP="005C0ABE">
            <w:pPr>
              <w:jc w:val="center"/>
              <w:rPr>
                <w:color w:val="000000"/>
                <w:szCs w:val="22"/>
              </w:rPr>
            </w:pPr>
            <w:r w:rsidRPr="005D2C32">
              <w:rPr>
                <w:color w:val="000000"/>
                <w:szCs w:val="22"/>
              </w:rPr>
              <w:t>Single selection from list/</w:t>
            </w:r>
            <w:r w:rsidR="003D08F8">
              <w:rPr>
                <w:color w:val="000000"/>
                <w:szCs w:val="22"/>
              </w:rPr>
              <w:t xml:space="preserve"> </w:t>
            </w:r>
            <w:r w:rsidRPr="005D2C32">
              <w:rPr>
                <w:color w:val="000000"/>
                <w:szCs w:val="22"/>
              </w:rPr>
              <w:t>dropdown</w:t>
            </w:r>
          </w:p>
        </w:tc>
        <w:tc>
          <w:tcPr>
            <w:tcW w:w="8474" w:type="dxa"/>
            <w:tcBorders>
              <w:top w:val="nil"/>
              <w:left w:val="nil"/>
              <w:bottom w:val="single" w:sz="4" w:space="0" w:color="auto"/>
              <w:right w:val="single" w:sz="4" w:space="0" w:color="auto"/>
            </w:tcBorders>
            <w:shd w:val="clear" w:color="auto" w:fill="auto"/>
            <w:vAlign w:val="center"/>
            <w:hideMark/>
          </w:tcPr>
          <w:p w14:paraId="36CAD662" w14:textId="3E90AE68" w:rsidR="00BB7DE8" w:rsidRPr="005D2C32" w:rsidRDefault="00BB7DE8" w:rsidP="005C0ABE">
            <w:pPr>
              <w:rPr>
                <w:color w:val="000000"/>
                <w:szCs w:val="22"/>
              </w:rPr>
            </w:pPr>
            <w:r w:rsidRPr="005D2C32">
              <w:rPr>
                <w:color w:val="000000"/>
                <w:szCs w:val="22"/>
              </w:rPr>
              <w:t xml:space="preserve">Select one of the following: </w:t>
            </w:r>
          </w:p>
          <w:p w14:paraId="79B48BB8" w14:textId="63D870F1" w:rsidR="00BB7DE8" w:rsidRPr="005D2C32" w:rsidRDefault="00BB7DE8" w:rsidP="005C0ABE">
            <w:pPr>
              <w:pStyle w:val="Bullet"/>
            </w:pPr>
            <w:r w:rsidRPr="005D2C32">
              <w:t>Liquidator in a members’ voluntary winding up</w:t>
            </w:r>
          </w:p>
          <w:p w14:paraId="0CECE8E3" w14:textId="0171C5D1" w:rsidR="00BB7DE8" w:rsidRPr="005D2C32" w:rsidRDefault="00BB7DE8" w:rsidP="005C0ABE">
            <w:pPr>
              <w:pStyle w:val="Bullet"/>
            </w:pPr>
            <w:r w:rsidRPr="005D2C32">
              <w:t>Liquidator in a creditors’ voluntary winding up</w:t>
            </w:r>
          </w:p>
          <w:p w14:paraId="0E8C7E83" w14:textId="04BE847F" w:rsidR="00BB7DE8" w:rsidRPr="005D2C32" w:rsidRDefault="00BB7DE8" w:rsidP="005C0ABE">
            <w:pPr>
              <w:pStyle w:val="Bullet"/>
            </w:pPr>
            <w:r w:rsidRPr="005D2C32">
              <w:t>Liquidator in a creditors’ voluntary winding up (simplified liquidation process)</w:t>
            </w:r>
          </w:p>
          <w:p w14:paraId="6AE09FEA" w14:textId="1BEDBE01" w:rsidR="00BB7DE8" w:rsidRPr="005D2C32" w:rsidRDefault="00BB7DE8" w:rsidP="005C0ABE">
            <w:pPr>
              <w:pStyle w:val="Bullet"/>
            </w:pPr>
            <w:r w:rsidRPr="005D2C32">
              <w:t>Liquidator in a court-ordered winding up</w:t>
            </w:r>
          </w:p>
          <w:p w14:paraId="7A7B5F48" w14:textId="0A9EDE60" w:rsidR="00BB7DE8" w:rsidRPr="005D2C32" w:rsidRDefault="00BB7DE8" w:rsidP="005C0ABE">
            <w:pPr>
              <w:pStyle w:val="Bullet"/>
            </w:pPr>
            <w:r w:rsidRPr="005D2C32">
              <w:t>Liquidator in a provisional liquidation</w:t>
            </w:r>
          </w:p>
          <w:p w14:paraId="19A20C48" w14:textId="0BC5D14C" w:rsidR="00BB7DE8" w:rsidRPr="005D2C32" w:rsidRDefault="00BB7DE8" w:rsidP="005C0ABE">
            <w:pPr>
              <w:pStyle w:val="Bullet"/>
            </w:pPr>
            <w:r w:rsidRPr="005D2C32">
              <w:t>Administrator in a voluntary administration</w:t>
            </w:r>
          </w:p>
          <w:p w14:paraId="26C3087B" w14:textId="3EFB0639" w:rsidR="00BB7DE8" w:rsidRPr="005D2C32" w:rsidRDefault="00BB7DE8" w:rsidP="005C0ABE">
            <w:pPr>
              <w:pStyle w:val="Bullet"/>
            </w:pPr>
            <w:r w:rsidRPr="005D2C32">
              <w:t>Administrator in a deed of company arrangement (DOCA)</w:t>
            </w:r>
          </w:p>
          <w:p w14:paraId="7D12238A" w14:textId="3F2A7DFB" w:rsidR="00BB7DE8" w:rsidRPr="005D2C32" w:rsidRDefault="00BB7DE8" w:rsidP="005C0ABE">
            <w:pPr>
              <w:pStyle w:val="Bullet"/>
            </w:pPr>
            <w:r w:rsidRPr="005D2C32">
              <w:t>Voluntary administration or DOCA to a creditors’ voluntary winding up</w:t>
            </w:r>
          </w:p>
          <w:p w14:paraId="29EDE99D" w14:textId="5C2FCA11" w:rsidR="00BB7DE8" w:rsidRPr="005D2C32" w:rsidRDefault="00BB7DE8" w:rsidP="005C0ABE">
            <w:pPr>
              <w:pStyle w:val="Bullet"/>
            </w:pPr>
            <w:r w:rsidRPr="005D2C32">
              <w:t>Receiver</w:t>
            </w:r>
          </w:p>
          <w:p w14:paraId="40BC0A7E" w14:textId="3067DDBF" w:rsidR="00BB7DE8" w:rsidRPr="005D2C32" w:rsidRDefault="00BB7DE8" w:rsidP="005C0ABE">
            <w:pPr>
              <w:pStyle w:val="Bullet"/>
            </w:pPr>
            <w:r w:rsidRPr="005D2C32">
              <w:t>Receiver and manager</w:t>
            </w:r>
          </w:p>
          <w:p w14:paraId="49AC739C" w14:textId="1BB2AD9F" w:rsidR="00BB7DE8" w:rsidRPr="005D2C32" w:rsidRDefault="00BB7DE8" w:rsidP="005C0ABE">
            <w:pPr>
              <w:pStyle w:val="Bullet"/>
            </w:pPr>
            <w:r w:rsidRPr="005D2C32">
              <w:t>Controller (other than a receiver, receiver and manager, or managing controller)</w:t>
            </w:r>
          </w:p>
          <w:p w14:paraId="4FCDDDC4" w14:textId="30BB804F" w:rsidR="00BB7DE8" w:rsidRPr="005D2C32" w:rsidRDefault="00BB7DE8" w:rsidP="005C0ABE">
            <w:pPr>
              <w:pStyle w:val="Bullet"/>
            </w:pPr>
            <w:r w:rsidRPr="005D2C32">
              <w:t>Managing controller (other than a receiver and manager)</w:t>
            </w:r>
          </w:p>
          <w:p w14:paraId="49444806" w14:textId="24361E7C" w:rsidR="00BB7DE8" w:rsidRPr="005D2C32" w:rsidRDefault="00BB7DE8" w:rsidP="005C0ABE">
            <w:pPr>
              <w:pStyle w:val="Bullet"/>
            </w:pPr>
            <w:r w:rsidRPr="005D2C32">
              <w:t>Pooling</w:t>
            </w:r>
          </w:p>
          <w:p w14:paraId="239B3F1C" w14:textId="4B3C2EF9" w:rsidR="00BB7DE8" w:rsidRPr="005D2C32" w:rsidRDefault="00BB7DE8" w:rsidP="005C0ABE">
            <w:pPr>
              <w:pStyle w:val="Bullet"/>
            </w:pPr>
            <w:r w:rsidRPr="005D2C32">
              <w:t>Scheme of arrangement or reconstruction</w:t>
            </w:r>
          </w:p>
          <w:p w14:paraId="061B9511" w14:textId="5EE2DB93" w:rsidR="00BB7DE8" w:rsidRPr="005D2C32" w:rsidRDefault="00BB7DE8" w:rsidP="005C0ABE">
            <w:pPr>
              <w:pStyle w:val="Bullet"/>
            </w:pPr>
            <w:r w:rsidRPr="005D2C32">
              <w:t>Restructuring practitioner of a company</w:t>
            </w:r>
          </w:p>
          <w:p w14:paraId="0628BE8D" w14:textId="400E7D6E" w:rsidR="00BB7DE8" w:rsidRPr="005D2C32" w:rsidRDefault="00BB7DE8" w:rsidP="005C0ABE">
            <w:pPr>
              <w:pStyle w:val="Bullet"/>
            </w:pPr>
            <w:r w:rsidRPr="005D2C32">
              <w:t>Restructuring practitioner of a restructuring plan for a company</w:t>
            </w:r>
          </w:p>
          <w:p w14:paraId="79D7A63B" w14:textId="691E2DBC" w:rsidR="00BB7DE8" w:rsidRPr="005D2C32" w:rsidRDefault="005C0ABE" w:rsidP="005C0ABE">
            <w:pPr>
              <w:pStyle w:val="Bullet"/>
            </w:pPr>
            <w:r>
              <w:t>(</w:t>
            </w:r>
            <w:r w:rsidR="00BB7DE8" w:rsidRPr="005D2C32">
              <w:t>Other)</w:t>
            </w:r>
          </w:p>
        </w:tc>
      </w:tr>
      <w:tr w:rsidR="00BB7DE8" w:rsidRPr="00257764" w14:paraId="738A66E1"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0EB945" w14:textId="77777777" w:rsidR="00BB7DE8" w:rsidRPr="005D2C32" w:rsidRDefault="00BB7DE8" w:rsidP="003D08F8">
            <w:pPr>
              <w:rPr>
                <w:szCs w:val="22"/>
              </w:rPr>
            </w:pPr>
            <w:r w:rsidRPr="005D2C32">
              <w:rPr>
                <w:szCs w:val="22"/>
              </w:rPr>
              <w:t>Firm name of external administrator</w:t>
            </w:r>
          </w:p>
        </w:tc>
        <w:tc>
          <w:tcPr>
            <w:tcW w:w="1630" w:type="dxa"/>
            <w:tcBorders>
              <w:top w:val="nil"/>
              <w:left w:val="nil"/>
              <w:bottom w:val="single" w:sz="4" w:space="0" w:color="auto"/>
              <w:right w:val="single" w:sz="4" w:space="0" w:color="auto"/>
            </w:tcBorders>
            <w:shd w:val="clear" w:color="auto" w:fill="auto"/>
            <w:vAlign w:val="center"/>
            <w:hideMark/>
          </w:tcPr>
          <w:p w14:paraId="3A7A7E43" w14:textId="77777777" w:rsidR="00A91608" w:rsidRDefault="00A91608" w:rsidP="005C0ABE">
            <w:pPr>
              <w:jc w:val="center"/>
              <w:rPr>
                <w:color w:val="000000"/>
                <w:szCs w:val="22"/>
              </w:rPr>
            </w:pPr>
            <w:r>
              <w:rPr>
                <w:color w:val="000000"/>
                <w:szCs w:val="22"/>
              </w:rPr>
              <w:t xml:space="preserve">Optional </w:t>
            </w:r>
          </w:p>
          <w:p w14:paraId="74E68898" w14:textId="54F1C96D" w:rsidR="00BB7DE8" w:rsidRPr="00164DBB" w:rsidRDefault="00A91608" w:rsidP="005C0ABE">
            <w:pPr>
              <w:jc w:val="center"/>
              <w:rPr>
                <w:i/>
                <w:iCs/>
                <w:color w:val="000000"/>
                <w:sz w:val="18"/>
                <w:szCs w:val="18"/>
              </w:rPr>
            </w:pPr>
            <w:r w:rsidRPr="00164DBB">
              <w:rPr>
                <w:i/>
                <w:iCs/>
                <w:color w:val="000000"/>
                <w:sz w:val="18"/>
                <w:szCs w:val="18"/>
              </w:rPr>
              <w:t>(</w:t>
            </w:r>
            <w:r w:rsidR="00164DBB">
              <w:rPr>
                <w:i/>
                <w:iCs/>
                <w:color w:val="000000"/>
                <w:sz w:val="18"/>
                <w:szCs w:val="18"/>
              </w:rPr>
              <w:t xml:space="preserve">Note: </w:t>
            </w:r>
            <w:r w:rsidR="00B564E9">
              <w:rPr>
                <w:i/>
                <w:iCs/>
                <w:color w:val="000000"/>
                <w:sz w:val="18"/>
                <w:szCs w:val="18"/>
              </w:rPr>
              <w:t>mandatory</w:t>
            </w:r>
            <w:r w:rsidRPr="00164DBB">
              <w:rPr>
                <w:i/>
                <w:iCs/>
                <w:color w:val="000000"/>
                <w:sz w:val="18"/>
                <w:szCs w:val="18"/>
              </w:rPr>
              <w:t xml:space="preserve"> if there is a firm)</w:t>
            </w:r>
          </w:p>
        </w:tc>
        <w:tc>
          <w:tcPr>
            <w:tcW w:w="1631" w:type="dxa"/>
            <w:gridSpan w:val="2"/>
            <w:tcBorders>
              <w:top w:val="nil"/>
              <w:left w:val="nil"/>
              <w:bottom w:val="single" w:sz="4" w:space="0" w:color="auto"/>
              <w:right w:val="single" w:sz="4" w:space="0" w:color="auto"/>
            </w:tcBorders>
            <w:shd w:val="clear" w:color="auto" w:fill="auto"/>
            <w:vAlign w:val="center"/>
            <w:hideMark/>
          </w:tcPr>
          <w:p w14:paraId="4B132B13" w14:textId="77777777" w:rsidR="00BB7DE8" w:rsidRPr="005D2C32" w:rsidRDefault="00BB7DE8" w:rsidP="005C0ABE">
            <w:pPr>
              <w:jc w:val="center"/>
              <w:rPr>
                <w:color w:val="000000"/>
                <w:szCs w:val="22"/>
              </w:rPr>
            </w:pPr>
            <w:r w:rsidRPr="005D2C32">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39685B7C" w14:textId="77777777" w:rsidR="00BB7DE8" w:rsidRPr="005D2C32" w:rsidRDefault="00BB7DE8" w:rsidP="005C0ABE">
            <w:pPr>
              <w:rPr>
                <w:color w:val="000000"/>
                <w:szCs w:val="22"/>
              </w:rPr>
            </w:pPr>
            <w:r w:rsidRPr="005D2C32">
              <w:rPr>
                <w:color w:val="000000"/>
                <w:szCs w:val="22"/>
              </w:rPr>
              <w:t>The name of the firm from which the external administrator has been appointed.</w:t>
            </w:r>
          </w:p>
        </w:tc>
      </w:tr>
      <w:tr w:rsidR="00BB7DE8" w:rsidRPr="00257764" w14:paraId="6CF94814"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99C6D8" w14:textId="2B20984B" w:rsidR="00BB7DE8" w:rsidRPr="005D2C32" w:rsidRDefault="00F25D41" w:rsidP="003D08F8">
            <w:pPr>
              <w:rPr>
                <w:szCs w:val="22"/>
              </w:rPr>
            </w:pPr>
            <w:r>
              <w:rPr>
                <w:szCs w:val="22"/>
              </w:rPr>
              <w:lastRenderedPageBreak/>
              <w:t>Given name</w:t>
            </w:r>
            <w:r w:rsidR="00BB7DE8" w:rsidRPr="005D2C32">
              <w:rPr>
                <w:szCs w:val="22"/>
              </w:rPr>
              <w:t xml:space="preserve"> of external administrator</w:t>
            </w:r>
          </w:p>
        </w:tc>
        <w:tc>
          <w:tcPr>
            <w:tcW w:w="1630" w:type="dxa"/>
            <w:tcBorders>
              <w:top w:val="nil"/>
              <w:left w:val="nil"/>
              <w:bottom w:val="single" w:sz="4" w:space="0" w:color="auto"/>
              <w:right w:val="single" w:sz="4" w:space="0" w:color="auto"/>
            </w:tcBorders>
            <w:shd w:val="clear" w:color="auto" w:fill="auto"/>
            <w:vAlign w:val="center"/>
            <w:hideMark/>
          </w:tcPr>
          <w:p w14:paraId="696DFEBE" w14:textId="77777777" w:rsidR="00BB7DE8" w:rsidRPr="005D2C32" w:rsidRDefault="00BB7DE8" w:rsidP="003D08F8">
            <w:pP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3BD2BAA8" w14:textId="77777777" w:rsidR="00BB7DE8" w:rsidRPr="005D2C32" w:rsidRDefault="00BB7DE8" w:rsidP="003D08F8">
            <w:pPr>
              <w:rPr>
                <w:color w:val="000000"/>
                <w:szCs w:val="22"/>
              </w:rPr>
            </w:pPr>
            <w:r w:rsidRPr="005D2C32">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1E4F8DA2" w14:textId="5B770BC0" w:rsidR="00BB7DE8" w:rsidRPr="005D2C32" w:rsidRDefault="00F25D41" w:rsidP="005C0ABE">
            <w:pPr>
              <w:rPr>
                <w:color w:val="000000"/>
                <w:szCs w:val="22"/>
              </w:rPr>
            </w:pPr>
            <w:r>
              <w:rPr>
                <w:color w:val="000000"/>
                <w:szCs w:val="22"/>
              </w:rPr>
              <w:t>Given name</w:t>
            </w:r>
            <w:r w:rsidR="00BB7DE8" w:rsidRPr="005D2C32">
              <w:rPr>
                <w:color w:val="000000"/>
                <w:szCs w:val="22"/>
              </w:rPr>
              <w:t xml:space="preserve"> of the appointed external administrator.</w:t>
            </w:r>
          </w:p>
        </w:tc>
      </w:tr>
      <w:tr w:rsidR="00BB7DE8" w:rsidRPr="00257764" w14:paraId="52CCDF22"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4F2B5E" w14:textId="08CE34C3" w:rsidR="00BB7DE8" w:rsidRPr="005D2C32" w:rsidRDefault="00F25D41" w:rsidP="003D08F8">
            <w:pPr>
              <w:rPr>
                <w:szCs w:val="22"/>
              </w:rPr>
            </w:pPr>
            <w:r>
              <w:rPr>
                <w:szCs w:val="22"/>
              </w:rPr>
              <w:t>Family name</w:t>
            </w:r>
            <w:r w:rsidR="00BB7DE8" w:rsidRPr="005D2C32">
              <w:rPr>
                <w:szCs w:val="22"/>
              </w:rPr>
              <w:t xml:space="preserve"> of external administrator</w:t>
            </w:r>
          </w:p>
        </w:tc>
        <w:tc>
          <w:tcPr>
            <w:tcW w:w="1630" w:type="dxa"/>
            <w:tcBorders>
              <w:top w:val="nil"/>
              <w:left w:val="nil"/>
              <w:bottom w:val="single" w:sz="4" w:space="0" w:color="auto"/>
              <w:right w:val="single" w:sz="4" w:space="0" w:color="auto"/>
            </w:tcBorders>
            <w:shd w:val="clear" w:color="auto" w:fill="auto"/>
            <w:vAlign w:val="center"/>
            <w:hideMark/>
          </w:tcPr>
          <w:p w14:paraId="223F719E" w14:textId="77777777" w:rsidR="00BB7DE8" w:rsidRPr="005D2C32" w:rsidRDefault="00BB7DE8" w:rsidP="003D08F8">
            <w:pP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76F68446" w14:textId="77777777" w:rsidR="00BB7DE8" w:rsidRPr="005D2C32" w:rsidRDefault="00BB7DE8" w:rsidP="003D08F8">
            <w:pPr>
              <w:rPr>
                <w:color w:val="000000"/>
                <w:szCs w:val="22"/>
              </w:rPr>
            </w:pPr>
            <w:r w:rsidRPr="005D2C32">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6A3D7560" w14:textId="250560D5" w:rsidR="00BB7DE8" w:rsidRPr="005D2C32" w:rsidRDefault="00F25D41" w:rsidP="005C0ABE">
            <w:pPr>
              <w:rPr>
                <w:color w:val="000000"/>
                <w:szCs w:val="22"/>
              </w:rPr>
            </w:pPr>
            <w:r>
              <w:rPr>
                <w:color w:val="000000"/>
                <w:szCs w:val="22"/>
              </w:rPr>
              <w:t>Family name</w:t>
            </w:r>
            <w:r w:rsidR="00BB7DE8" w:rsidRPr="005D2C32">
              <w:rPr>
                <w:color w:val="000000"/>
                <w:szCs w:val="22"/>
              </w:rPr>
              <w:t xml:space="preserve"> of the appointed external administrator.</w:t>
            </w:r>
          </w:p>
        </w:tc>
      </w:tr>
      <w:tr w:rsidR="00BB7DE8" w:rsidRPr="00257764" w14:paraId="6BC48BB1"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898ED7A" w14:textId="77777777" w:rsidR="00BB7DE8" w:rsidRPr="005D2C32" w:rsidRDefault="00BB7DE8" w:rsidP="003D08F8">
            <w:pPr>
              <w:rPr>
                <w:szCs w:val="22"/>
              </w:rPr>
            </w:pPr>
            <w:r w:rsidRPr="005D2C32">
              <w:rPr>
                <w:szCs w:val="22"/>
              </w:rPr>
              <w:t>External administrator appointment date</w:t>
            </w:r>
          </w:p>
        </w:tc>
        <w:tc>
          <w:tcPr>
            <w:tcW w:w="1630" w:type="dxa"/>
            <w:tcBorders>
              <w:top w:val="nil"/>
              <w:left w:val="nil"/>
              <w:bottom w:val="single" w:sz="4" w:space="0" w:color="auto"/>
              <w:right w:val="single" w:sz="4" w:space="0" w:color="auto"/>
            </w:tcBorders>
            <w:shd w:val="clear" w:color="auto" w:fill="auto"/>
            <w:vAlign w:val="center"/>
            <w:hideMark/>
          </w:tcPr>
          <w:p w14:paraId="3DDB17CB" w14:textId="77777777" w:rsidR="00BB7DE8" w:rsidRPr="005D2C32" w:rsidRDefault="00BB7DE8" w:rsidP="003D08F8">
            <w:pPr>
              <w:rPr>
                <w:color w:val="000000"/>
                <w:szCs w:val="22"/>
              </w:rPr>
            </w:pPr>
            <w:r w:rsidRPr="005D2C32">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192CA29C" w14:textId="77777777" w:rsidR="00BB7DE8" w:rsidRPr="005D2C32" w:rsidRDefault="00BB7DE8" w:rsidP="003D08F8">
            <w:pPr>
              <w:rPr>
                <w:color w:val="000000"/>
                <w:szCs w:val="22"/>
              </w:rPr>
            </w:pPr>
            <w:r w:rsidRPr="005D2C32">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606708AC" w14:textId="77777777" w:rsidR="00BB7DE8" w:rsidRPr="005D2C32" w:rsidRDefault="00BB7DE8" w:rsidP="005C0ABE">
            <w:pPr>
              <w:rPr>
                <w:color w:val="000000"/>
                <w:szCs w:val="22"/>
              </w:rPr>
            </w:pPr>
            <w:r w:rsidRPr="005D2C32">
              <w:rPr>
                <w:color w:val="000000"/>
                <w:szCs w:val="22"/>
              </w:rPr>
              <w:t>The date of the external administrator's appointment.</w:t>
            </w:r>
          </w:p>
        </w:tc>
      </w:tr>
      <w:tr w:rsidR="00BB7DE8" w:rsidRPr="00257764" w14:paraId="5D619ABA"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431024D3" w14:textId="116AE780" w:rsidR="00BB7DE8" w:rsidRPr="00257764" w:rsidRDefault="00BB7DE8" w:rsidP="003D08F8">
            <w:pPr>
              <w:spacing w:before="80" w:after="80"/>
              <w:rPr>
                <w:sz w:val="20"/>
              </w:rPr>
            </w:pPr>
            <w:r w:rsidRPr="007A5728">
              <w:rPr>
                <w:b/>
                <w:bCs/>
                <w:color w:val="FFFFFF" w:themeColor="background1"/>
                <w:sz w:val="24"/>
                <w:szCs w:val="24"/>
              </w:rPr>
              <w:t>Miscellaneous</w:t>
            </w:r>
          </w:p>
        </w:tc>
      </w:tr>
      <w:tr w:rsidR="00BB7DE8" w:rsidRPr="00257764" w14:paraId="2B6135E1"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79B6E1" w14:textId="77777777" w:rsidR="00BB7DE8" w:rsidRPr="005D2C32" w:rsidRDefault="00BB7DE8" w:rsidP="003D08F8">
            <w:pPr>
              <w:rPr>
                <w:szCs w:val="22"/>
              </w:rPr>
            </w:pPr>
            <w:r w:rsidRPr="005D2C32">
              <w:rPr>
                <w:szCs w:val="22"/>
              </w:rPr>
              <w:t>Modified report information</w:t>
            </w:r>
          </w:p>
        </w:tc>
        <w:tc>
          <w:tcPr>
            <w:tcW w:w="1701" w:type="dxa"/>
            <w:gridSpan w:val="2"/>
            <w:tcBorders>
              <w:top w:val="nil"/>
              <w:left w:val="nil"/>
              <w:bottom w:val="single" w:sz="4" w:space="0" w:color="auto"/>
              <w:right w:val="single" w:sz="4" w:space="0" w:color="auto"/>
            </w:tcBorders>
            <w:shd w:val="clear" w:color="auto" w:fill="auto"/>
            <w:vAlign w:val="center"/>
            <w:hideMark/>
          </w:tcPr>
          <w:p w14:paraId="4C697907" w14:textId="77777777" w:rsidR="00BB7DE8" w:rsidRPr="005D2C32" w:rsidRDefault="00BB7DE8" w:rsidP="003D08F8">
            <w:pPr>
              <w:rPr>
                <w:color w:val="000000"/>
                <w:szCs w:val="22"/>
              </w:rPr>
            </w:pPr>
            <w:r w:rsidRPr="005D2C32">
              <w:rPr>
                <w:color w:val="000000"/>
                <w:szCs w:val="22"/>
              </w:rPr>
              <w:t>Optional</w:t>
            </w:r>
          </w:p>
        </w:tc>
        <w:tc>
          <w:tcPr>
            <w:tcW w:w="1560" w:type="dxa"/>
            <w:tcBorders>
              <w:top w:val="nil"/>
              <w:left w:val="nil"/>
              <w:bottom w:val="single" w:sz="4" w:space="0" w:color="auto"/>
              <w:right w:val="single" w:sz="4" w:space="0" w:color="auto"/>
            </w:tcBorders>
            <w:shd w:val="clear" w:color="auto" w:fill="auto"/>
            <w:vAlign w:val="center"/>
            <w:hideMark/>
          </w:tcPr>
          <w:p w14:paraId="0554F097" w14:textId="77777777" w:rsidR="00BB7DE8" w:rsidRPr="005D2C32" w:rsidRDefault="00BB7DE8" w:rsidP="003D08F8">
            <w:pPr>
              <w:rPr>
                <w:color w:val="000000"/>
                <w:szCs w:val="22"/>
              </w:rPr>
            </w:pPr>
            <w:r w:rsidRPr="005D2C32">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269E8BAD" w14:textId="77777777" w:rsidR="00BB7DE8" w:rsidRPr="005D2C32" w:rsidRDefault="00BB7DE8" w:rsidP="005C0ABE">
            <w:pPr>
              <w:rPr>
                <w:color w:val="000000"/>
                <w:szCs w:val="22"/>
              </w:rPr>
            </w:pPr>
            <w:r w:rsidRPr="005D2C32">
              <w:rPr>
                <w:color w:val="000000"/>
                <w:szCs w:val="22"/>
              </w:rPr>
              <w:t>Explain and provide context for the reporting entity’s modified report.</w:t>
            </w:r>
          </w:p>
        </w:tc>
      </w:tr>
      <w:tr w:rsidR="00BB7DE8" w:rsidRPr="00257764" w14:paraId="56ED93AF" w14:textId="77777777" w:rsidTr="003D08F8">
        <w:trPr>
          <w:cantSplit/>
          <w:trHeight w:val="283"/>
        </w:trPr>
        <w:tc>
          <w:tcPr>
            <w:tcW w:w="14565" w:type="dxa"/>
            <w:gridSpan w:val="5"/>
            <w:tcBorders>
              <w:top w:val="nil"/>
              <w:left w:val="single" w:sz="4" w:space="0" w:color="auto"/>
              <w:bottom w:val="single" w:sz="4" w:space="0" w:color="auto"/>
              <w:right w:val="single" w:sz="4" w:space="0" w:color="auto"/>
            </w:tcBorders>
            <w:shd w:val="clear" w:color="000000" w:fill="00827F"/>
            <w:noWrap/>
            <w:vAlign w:val="center"/>
            <w:hideMark/>
          </w:tcPr>
          <w:p w14:paraId="45368087" w14:textId="411878E9" w:rsidR="00BB7DE8" w:rsidRPr="00257764" w:rsidRDefault="00BB7DE8" w:rsidP="003D08F8">
            <w:pPr>
              <w:spacing w:before="80" w:after="80"/>
              <w:rPr>
                <w:sz w:val="20"/>
              </w:rPr>
            </w:pPr>
            <w:r w:rsidRPr="007A5728">
              <w:rPr>
                <w:b/>
                <w:bCs/>
                <w:color w:val="FFFFFF" w:themeColor="background1"/>
                <w:sz w:val="24"/>
                <w:szCs w:val="24"/>
              </w:rPr>
              <w:t>Declaration</w:t>
            </w:r>
          </w:p>
        </w:tc>
      </w:tr>
      <w:tr w:rsidR="00BB7DE8" w:rsidRPr="00257764" w14:paraId="4C22FD9E" w14:textId="77777777" w:rsidTr="003D08F8">
        <w:trPr>
          <w:cantSplit/>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4775D7" w14:textId="1FDE07FC" w:rsidR="00BB7DE8" w:rsidRPr="00592EBA" w:rsidRDefault="00BB7DE8" w:rsidP="003D08F8">
            <w:pPr>
              <w:rPr>
                <w:szCs w:val="22"/>
              </w:rPr>
            </w:pPr>
            <w:r w:rsidRPr="00592EBA">
              <w:rPr>
                <w:szCs w:val="22"/>
              </w:rPr>
              <w:t>Declaration</w:t>
            </w:r>
          </w:p>
        </w:tc>
        <w:tc>
          <w:tcPr>
            <w:tcW w:w="1630" w:type="dxa"/>
            <w:tcBorders>
              <w:top w:val="nil"/>
              <w:left w:val="nil"/>
              <w:bottom w:val="single" w:sz="4" w:space="0" w:color="auto"/>
              <w:right w:val="single" w:sz="4" w:space="0" w:color="auto"/>
            </w:tcBorders>
            <w:shd w:val="clear" w:color="auto" w:fill="auto"/>
            <w:vAlign w:val="center"/>
            <w:hideMark/>
          </w:tcPr>
          <w:p w14:paraId="1780AE12" w14:textId="77777777" w:rsidR="00BB7DE8" w:rsidRPr="00592EBA" w:rsidRDefault="00BB7DE8" w:rsidP="005C0ABE">
            <w:pPr>
              <w:jc w:val="center"/>
              <w:rPr>
                <w:color w:val="000000"/>
                <w:szCs w:val="22"/>
              </w:rPr>
            </w:pPr>
            <w:r w:rsidRPr="00592EBA">
              <w:rPr>
                <w:color w:val="000000"/>
                <w:szCs w:val="22"/>
              </w:rPr>
              <w:t>Mandatory</w:t>
            </w:r>
          </w:p>
        </w:tc>
        <w:tc>
          <w:tcPr>
            <w:tcW w:w="1631" w:type="dxa"/>
            <w:gridSpan w:val="2"/>
            <w:tcBorders>
              <w:top w:val="nil"/>
              <w:left w:val="nil"/>
              <w:bottom w:val="single" w:sz="4" w:space="0" w:color="auto"/>
              <w:right w:val="single" w:sz="4" w:space="0" w:color="auto"/>
            </w:tcBorders>
            <w:shd w:val="clear" w:color="auto" w:fill="auto"/>
            <w:vAlign w:val="center"/>
            <w:hideMark/>
          </w:tcPr>
          <w:p w14:paraId="3EA2B0D8" w14:textId="77777777" w:rsidR="00BB7DE8" w:rsidRPr="00257764" w:rsidRDefault="00BB7DE8" w:rsidP="005C0ABE">
            <w:pPr>
              <w:jc w:val="center"/>
            </w:pPr>
            <w:r w:rsidRPr="00257764">
              <w:t>Checkbox</w:t>
            </w:r>
          </w:p>
        </w:tc>
        <w:tc>
          <w:tcPr>
            <w:tcW w:w="8474" w:type="dxa"/>
            <w:tcBorders>
              <w:top w:val="nil"/>
              <w:left w:val="nil"/>
              <w:bottom w:val="single" w:sz="4" w:space="0" w:color="auto"/>
              <w:right w:val="single" w:sz="4" w:space="0" w:color="auto"/>
            </w:tcBorders>
            <w:shd w:val="clear" w:color="auto" w:fill="auto"/>
            <w:vAlign w:val="center"/>
            <w:hideMark/>
          </w:tcPr>
          <w:p w14:paraId="0267332D" w14:textId="78D619D7" w:rsidR="00BB7DE8" w:rsidRPr="00257764" w:rsidRDefault="00BB7DE8" w:rsidP="005C0ABE">
            <w:pPr>
              <w:rPr>
                <w:color w:val="000000"/>
                <w:sz w:val="20"/>
              </w:rPr>
            </w:pPr>
          </w:p>
        </w:tc>
      </w:tr>
    </w:tbl>
    <w:p w14:paraId="6D07543B" w14:textId="4D6C976E" w:rsidR="005A1DF4" w:rsidRDefault="005A1DF4" w:rsidP="0041008C">
      <w:pPr>
        <w:pStyle w:val="Heading3"/>
      </w:pPr>
      <w:r>
        <w:br w:type="page"/>
      </w:r>
    </w:p>
    <w:p w14:paraId="75F62283" w14:textId="678F15C5" w:rsidR="0059626B" w:rsidRDefault="006F22B0" w:rsidP="0041008C">
      <w:pPr>
        <w:pStyle w:val="Heading3"/>
      </w:pPr>
      <w:bookmarkStart w:id="12" w:name="_Toc184842618"/>
      <w:r>
        <w:lastRenderedPageBreak/>
        <w:t xml:space="preserve">Modified Report </w:t>
      </w:r>
      <w:r w:rsidR="00A1780F">
        <w:t>–</w:t>
      </w:r>
      <w:r>
        <w:t xml:space="preserve"> </w:t>
      </w:r>
      <w:r w:rsidR="00A1780F">
        <w:t>Nominated entity</w:t>
      </w:r>
      <w:bookmarkEnd w:id="12"/>
    </w:p>
    <w:tbl>
      <w:tblPr>
        <w:tblW w:w="14565" w:type="dxa"/>
        <w:tblCellMar>
          <w:top w:w="28" w:type="dxa"/>
          <w:left w:w="85" w:type="dxa"/>
          <w:bottom w:w="28" w:type="dxa"/>
          <w:right w:w="85" w:type="dxa"/>
        </w:tblCellMar>
        <w:tblLook w:val="04A0" w:firstRow="1" w:lastRow="0" w:firstColumn="1" w:lastColumn="0" w:noHBand="0" w:noVBand="1"/>
      </w:tblPr>
      <w:tblGrid>
        <w:gridCol w:w="2830"/>
        <w:gridCol w:w="1630"/>
        <w:gridCol w:w="1631"/>
        <w:gridCol w:w="8474"/>
      </w:tblGrid>
      <w:tr w:rsidR="009259D9" w:rsidRPr="009259D9" w14:paraId="476837D7" w14:textId="77777777" w:rsidTr="00370E0A">
        <w:trPr>
          <w:trHeight w:val="680"/>
          <w:tblHeader/>
        </w:trPr>
        <w:tc>
          <w:tcPr>
            <w:tcW w:w="14565" w:type="dxa"/>
            <w:gridSpan w:val="4"/>
            <w:tcBorders>
              <w:top w:val="single" w:sz="4" w:space="0" w:color="auto"/>
              <w:left w:val="single" w:sz="4" w:space="0" w:color="auto"/>
              <w:bottom w:val="single" w:sz="4" w:space="0" w:color="auto"/>
              <w:right w:val="nil"/>
            </w:tcBorders>
            <w:shd w:val="clear" w:color="auto" w:fill="1D3757" w:themeFill="accent3" w:themeFillShade="80"/>
            <w:vAlign w:val="center"/>
            <w:hideMark/>
          </w:tcPr>
          <w:p w14:paraId="312F1A36" w14:textId="0169B73F" w:rsidR="009279AF" w:rsidRDefault="009259D9" w:rsidP="009259D9">
            <w:pPr>
              <w:spacing w:before="0" w:after="0"/>
              <w:jc w:val="center"/>
              <w:rPr>
                <w:rFonts w:cs="Calibri"/>
                <w:b/>
                <w:bCs/>
                <w:color w:val="FFFFFF"/>
                <w:sz w:val="28"/>
                <w:szCs w:val="28"/>
              </w:rPr>
            </w:pPr>
            <w:r w:rsidRPr="009259D9">
              <w:rPr>
                <w:rFonts w:cs="Calibri"/>
                <w:b/>
                <w:bCs/>
                <w:color w:val="FFFFFF"/>
                <w:sz w:val="28"/>
                <w:szCs w:val="28"/>
              </w:rPr>
              <w:t>MODIFIED PAYMENT TIMES REPORT</w:t>
            </w:r>
            <w:r w:rsidR="00E27AB2">
              <w:rPr>
                <w:rFonts w:cs="Calibri"/>
                <w:b/>
                <w:bCs/>
                <w:color w:val="FFFFFF"/>
                <w:sz w:val="28"/>
                <w:szCs w:val="28"/>
              </w:rPr>
              <w:t xml:space="preserve"> – NOMINATED ENTITY</w:t>
            </w:r>
          </w:p>
          <w:p w14:paraId="6BCD8B5C" w14:textId="6A354001" w:rsidR="009259D9" w:rsidRPr="00DF4DD1" w:rsidRDefault="009259D9" w:rsidP="009259D9">
            <w:pPr>
              <w:spacing w:before="0" w:after="0"/>
              <w:jc w:val="center"/>
              <w:rPr>
                <w:rFonts w:cs="Calibri"/>
                <w:b/>
                <w:bCs/>
                <w:color w:val="FFFFFF"/>
                <w:sz w:val="26"/>
                <w:szCs w:val="26"/>
              </w:rPr>
            </w:pPr>
            <w:r w:rsidRPr="00DF4DD1">
              <w:rPr>
                <w:rFonts w:cs="Calibri"/>
                <w:b/>
                <w:bCs/>
                <w:color w:val="FFFFFF"/>
                <w:sz w:val="26"/>
                <w:szCs w:val="26"/>
              </w:rPr>
              <w:t xml:space="preserve">Entity for which another entity is </w:t>
            </w:r>
            <w:r w:rsidR="00E27AB2" w:rsidRPr="00DF4DD1">
              <w:rPr>
                <w:rFonts w:cs="Calibri"/>
                <w:b/>
                <w:bCs/>
                <w:color w:val="FFFFFF"/>
                <w:sz w:val="26"/>
                <w:szCs w:val="26"/>
              </w:rPr>
              <w:t>a</w:t>
            </w:r>
            <w:r w:rsidRPr="00DF4DD1">
              <w:rPr>
                <w:rFonts w:cs="Calibri"/>
                <w:b/>
                <w:bCs/>
                <w:color w:val="FFFFFF"/>
                <w:sz w:val="26"/>
                <w:szCs w:val="26"/>
              </w:rPr>
              <w:t xml:space="preserve"> reporting nominee</w:t>
            </w:r>
          </w:p>
        </w:tc>
      </w:tr>
      <w:tr w:rsidR="009259D9" w:rsidRPr="009259D9" w14:paraId="3822FD75" w14:textId="77777777" w:rsidTr="00370E0A">
        <w:trPr>
          <w:trHeight w:val="510"/>
          <w:tblHeader/>
        </w:trPr>
        <w:tc>
          <w:tcPr>
            <w:tcW w:w="2830" w:type="dxa"/>
            <w:tcBorders>
              <w:top w:val="nil"/>
              <w:left w:val="single" w:sz="4" w:space="0" w:color="auto"/>
              <w:bottom w:val="single" w:sz="4" w:space="0" w:color="auto"/>
              <w:right w:val="single" w:sz="4" w:space="0" w:color="auto"/>
            </w:tcBorders>
            <w:shd w:val="clear" w:color="000000" w:fill="ACC5E3"/>
            <w:vAlign w:val="center"/>
            <w:hideMark/>
          </w:tcPr>
          <w:p w14:paraId="043310D8" w14:textId="77777777" w:rsidR="009259D9" w:rsidRPr="009259D9" w:rsidRDefault="009259D9" w:rsidP="00370E0A">
            <w:pPr>
              <w:spacing w:before="0" w:after="0"/>
              <w:rPr>
                <w:rFonts w:cs="Calibri"/>
                <w:b/>
                <w:bCs/>
                <w:color w:val="000000"/>
                <w:sz w:val="24"/>
                <w:szCs w:val="24"/>
              </w:rPr>
            </w:pPr>
            <w:r w:rsidRPr="009259D9">
              <w:rPr>
                <w:rFonts w:cs="Calibri"/>
                <w:b/>
                <w:bCs/>
                <w:color w:val="000000"/>
                <w:sz w:val="24"/>
                <w:szCs w:val="24"/>
              </w:rPr>
              <w:t>Field Name</w:t>
            </w:r>
          </w:p>
        </w:tc>
        <w:tc>
          <w:tcPr>
            <w:tcW w:w="1630" w:type="dxa"/>
            <w:tcBorders>
              <w:top w:val="nil"/>
              <w:left w:val="nil"/>
              <w:bottom w:val="single" w:sz="4" w:space="0" w:color="auto"/>
              <w:right w:val="single" w:sz="4" w:space="0" w:color="auto"/>
            </w:tcBorders>
            <w:shd w:val="clear" w:color="000000" w:fill="ACC5E3"/>
            <w:vAlign w:val="center"/>
            <w:hideMark/>
          </w:tcPr>
          <w:p w14:paraId="3619EADD" w14:textId="77777777" w:rsidR="009259D9" w:rsidRPr="009259D9" w:rsidRDefault="009259D9" w:rsidP="009259D9">
            <w:pPr>
              <w:spacing w:before="0" w:after="0"/>
              <w:jc w:val="center"/>
              <w:rPr>
                <w:rFonts w:cs="Calibri"/>
                <w:b/>
                <w:bCs/>
                <w:color w:val="000000"/>
                <w:sz w:val="24"/>
                <w:szCs w:val="24"/>
              </w:rPr>
            </w:pPr>
            <w:r w:rsidRPr="009259D9">
              <w:rPr>
                <w:rFonts w:cs="Calibri"/>
                <w:b/>
                <w:bCs/>
                <w:color w:val="000000"/>
                <w:sz w:val="24"/>
                <w:szCs w:val="24"/>
              </w:rPr>
              <w:t>Field Type</w:t>
            </w:r>
          </w:p>
        </w:tc>
        <w:tc>
          <w:tcPr>
            <w:tcW w:w="1631" w:type="dxa"/>
            <w:tcBorders>
              <w:top w:val="nil"/>
              <w:left w:val="nil"/>
              <w:bottom w:val="single" w:sz="4" w:space="0" w:color="auto"/>
              <w:right w:val="single" w:sz="4" w:space="0" w:color="auto"/>
            </w:tcBorders>
            <w:shd w:val="clear" w:color="000000" w:fill="ACC5E3"/>
            <w:vAlign w:val="center"/>
            <w:hideMark/>
          </w:tcPr>
          <w:p w14:paraId="1B53E333" w14:textId="77777777" w:rsidR="009259D9" w:rsidRPr="009259D9" w:rsidRDefault="009259D9" w:rsidP="009259D9">
            <w:pPr>
              <w:spacing w:before="0" w:after="0"/>
              <w:jc w:val="center"/>
              <w:rPr>
                <w:rFonts w:cs="Calibri"/>
                <w:b/>
                <w:bCs/>
                <w:color w:val="000000"/>
                <w:sz w:val="24"/>
                <w:szCs w:val="24"/>
              </w:rPr>
            </w:pPr>
            <w:r w:rsidRPr="009259D9">
              <w:rPr>
                <w:rFonts w:cs="Calibri"/>
                <w:b/>
                <w:bCs/>
                <w:color w:val="000000"/>
                <w:sz w:val="24"/>
                <w:szCs w:val="24"/>
              </w:rPr>
              <w:t>Field Format</w:t>
            </w:r>
          </w:p>
        </w:tc>
        <w:tc>
          <w:tcPr>
            <w:tcW w:w="8474" w:type="dxa"/>
            <w:tcBorders>
              <w:top w:val="nil"/>
              <w:left w:val="nil"/>
              <w:bottom w:val="single" w:sz="4" w:space="0" w:color="auto"/>
              <w:right w:val="single" w:sz="4" w:space="0" w:color="auto"/>
            </w:tcBorders>
            <w:shd w:val="clear" w:color="000000" w:fill="ACC5E3"/>
            <w:vAlign w:val="center"/>
            <w:hideMark/>
          </w:tcPr>
          <w:p w14:paraId="7C3FD6DE" w14:textId="77777777" w:rsidR="009259D9" w:rsidRPr="009259D9" w:rsidRDefault="009259D9" w:rsidP="00370E0A">
            <w:pPr>
              <w:spacing w:before="0" w:after="0"/>
              <w:rPr>
                <w:rFonts w:cs="Calibri"/>
                <w:b/>
                <w:bCs/>
                <w:color w:val="000000"/>
                <w:sz w:val="24"/>
                <w:szCs w:val="24"/>
              </w:rPr>
            </w:pPr>
            <w:r w:rsidRPr="009259D9">
              <w:rPr>
                <w:rFonts w:cs="Calibri"/>
                <w:b/>
                <w:bCs/>
                <w:color w:val="000000"/>
                <w:sz w:val="24"/>
                <w:szCs w:val="24"/>
              </w:rPr>
              <w:t>Description</w:t>
            </w:r>
          </w:p>
        </w:tc>
      </w:tr>
      <w:tr w:rsidR="00BB7DE8" w:rsidRPr="0090626B" w14:paraId="7FE7B6ED" w14:textId="77777777" w:rsidTr="00BB1B71">
        <w:trPr>
          <w:trHeight w:val="283"/>
        </w:trPr>
        <w:tc>
          <w:tcPr>
            <w:tcW w:w="14565" w:type="dxa"/>
            <w:gridSpan w:val="4"/>
            <w:tcBorders>
              <w:top w:val="nil"/>
              <w:left w:val="single" w:sz="4" w:space="0" w:color="auto"/>
              <w:bottom w:val="single" w:sz="4" w:space="0" w:color="auto"/>
              <w:right w:val="single" w:sz="4" w:space="0" w:color="auto"/>
            </w:tcBorders>
            <w:shd w:val="clear" w:color="000000" w:fill="00827F"/>
            <w:noWrap/>
            <w:vAlign w:val="center"/>
            <w:hideMark/>
          </w:tcPr>
          <w:p w14:paraId="695F164F" w14:textId="1358EA7F" w:rsidR="00BB7DE8" w:rsidRPr="0090626B" w:rsidRDefault="00BB7DE8" w:rsidP="00BB1B71">
            <w:pPr>
              <w:spacing w:before="80" w:after="80"/>
              <w:rPr>
                <w:szCs w:val="22"/>
              </w:rPr>
            </w:pPr>
            <w:r w:rsidRPr="0090626B">
              <w:rPr>
                <w:b/>
                <w:bCs/>
                <w:color w:val="FFFFFF" w:themeColor="background1"/>
                <w:sz w:val="24"/>
                <w:szCs w:val="24"/>
              </w:rPr>
              <w:t>Entity Details</w:t>
            </w:r>
          </w:p>
        </w:tc>
      </w:tr>
      <w:tr w:rsidR="00DE5C4C" w:rsidRPr="009259D9" w14:paraId="38711274"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61A751" w14:textId="77777777" w:rsidR="00DE5C4C" w:rsidRPr="0090626B" w:rsidRDefault="00DE5C4C" w:rsidP="00BB1B71">
            <w:pPr>
              <w:rPr>
                <w:szCs w:val="22"/>
              </w:rPr>
            </w:pPr>
            <w:r w:rsidRPr="0090626B">
              <w:rPr>
                <w:szCs w:val="22"/>
              </w:rPr>
              <w:t>Entity Name</w:t>
            </w:r>
          </w:p>
        </w:tc>
        <w:tc>
          <w:tcPr>
            <w:tcW w:w="3261" w:type="dxa"/>
            <w:gridSpan w:val="2"/>
            <w:tcBorders>
              <w:top w:val="nil"/>
              <w:left w:val="nil"/>
              <w:bottom w:val="single" w:sz="4" w:space="0" w:color="auto"/>
              <w:right w:val="single" w:sz="4" w:space="0" w:color="auto"/>
            </w:tcBorders>
            <w:shd w:val="clear" w:color="auto" w:fill="auto"/>
            <w:vAlign w:val="center"/>
            <w:hideMark/>
          </w:tcPr>
          <w:p w14:paraId="1B364AD3"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0CE1406B" w14:textId="7EBCC7B4" w:rsidR="00DE5C4C" w:rsidRPr="0090626B" w:rsidRDefault="00DE5C4C" w:rsidP="0090626B">
            <w:pPr>
              <w:rPr>
                <w:color w:val="000000"/>
                <w:szCs w:val="22"/>
              </w:rPr>
            </w:pPr>
            <w:r w:rsidRPr="0090626B">
              <w:rPr>
                <w:color w:val="000000"/>
                <w:szCs w:val="22"/>
              </w:rPr>
              <w:t>Reporting entity's name as registered on the Australian Business Register</w:t>
            </w:r>
            <w:r>
              <w:rPr>
                <w:color w:val="000000"/>
                <w:szCs w:val="22"/>
              </w:rPr>
              <w:t>.</w:t>
            </w:r>
          </w:p>
        </w:tc>
      </w:tr>
      <w:tr w:rsidR="00DE5C4C" w:rsidRPr="009259D9" w14:paraId="229C08CD"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DDADDA" w14:textId="77777777" w:rsidR="00DE5C4C" w:rsidRPr="0090626B" w:rsidRDefault="00DE5C4C" w:rsidP="00BB1B71">
            <w:pPr>
              <w:rPr>
                <w:szCs w:val="22"/>
              </w:rPr>
            </w:pPr>
            <w:r w:rsidRPr="0090626B">
              <w:rPr>
                <w:szCs w:val="22"/>
              </w:rPr>
              <w:t>Entity ABN</w:t>
            </w:r>
          </w:p>
        </w:tc>
        <w:tc>
          <w:tcPr>
            <w:tcW w:w="3261" w:type="dxa"/>
            <w:gridSpan w:val="2"/>
            <w:tcBorders>
              <w:top w:val="nil"/>
              <w:left w:val="nil"/>
              <w:bottom w:val="single" w:sz="4" w:space="0" w:color="auto"/>
              <w:right w:val="single" w:sz="4" w:space="0" w:color="auto"/>
            </w:tcBorders>
            <w:shd w:val="clear" w:color="auto" w:fill="auto"/>
            <w:vAlign w:val="center"/>
            <w:hideMark/>
          </w:tcPr>
          <w:p w14:paraId="2BD31D28"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5D125036" w14:textId="5776D1B3" w:rsidR="00DE5C4C" w:rsidRPr="0090626B" w:rsidRDefault="00DE5C4C" w:rsidP="0090626B">
            <w:pPr>
              <w:rPr>
                <w:color w:val="000000"/>
                <w:szCs w:val="22"/>
              </w:rPr>
            </w:pPr>
            <w:r w:rsidRPr="0090626B">
              <w:rPr>
                <w:color w:val="000000"/>
                <w:szCs w:val="22"/>
              </w:rPr>
              <w:t>Reporting entity's Australian Business Number, if applicable</w:t>
            </w:r>
            <w:r>
              <w:rPr>
                <w:color w:val="000000"/>
                <w:szCs w:val="22"/>
              </w:rPr>
              <w:t>.</w:t>
            </w:r>
          </w:p>
        </w:tc>
      </w:tr>
      <w:tr w:rsidR="00DE5C4C" w:rsidRPr="009259D9" w14:paraId="6286D727"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0A6A80" w14:textId="77777777" w:rsidR="00DE5C4C" w:rsidRPr="0090626B" w:rsidRDefault="00DE5C4C" w:rsidP="00BB1B71">
            <w:pPr>
              <w:rPr>
                <w:szCs w:val="22"/>
              </w:rPr>
            </w:pPr>
            <w:r w:rsidRPr="0090626B">
              <w:rPr>
                <w:szCs w:val="22"/>
              </w:rPr>
              <w:t>Entity ACN</w:t>
            </w:r>
          </w:p>
        </w:tc>
        <w:tc>
          <w:tcPr>
            <w:tcW w:w="3261" w:type="dxa"/>
            <w:gridSpan w:val="2"/>
            <w:tcBorders>
              <w:top w:val="nil"/>
              <w:left w:val="nil"/>
              <w:bottom w:val="single" w:sz="4" w:space="0" w:color="auto"/>
              <w:right w:val="single" w:sz="4" w:space="0" w:color="auto"/>
            </w:tcBorders>
            <w:shd w:val="clear" w:color="auto" w:fill="auto"/>
            <w:vAlign w:val="center"/>
            <w:hideMark/>
          </w:tcPr>
          <w:p w14:paraId="57025EC1"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10FA0462" w14:textId="73766325" w:rsidR="00DE5C4C" w:rsidRPr="0090626B" w:rsidRDefault="00DE5C4C" w:rsidP="0090626B">
            <w:pPr>
              <w:rPr>
                <w:color w:val="000000"/>
                <w:szCs w:val="22"/>
              </w:rPr>
            </w:pPr>
            <w:r w:rsidRPr="0090626B">
              <w:rPr>
                <w:color w:val="000000"/>
                <w:szCs w:val="22"/>
              </w:rPr>
              <w:t>Reporting entity's Australian Company Number, if applicable</w:t>
            </w:r>
            <w:r>
              <w:rPr>
                <w:color w:val="000000"/>
                <w:szCs w:val="22"/>
              </w:rPr>
              <w:t>.</w:t>
            </w:r>
          </w:p>
        </w:tc>
      </w:tr>
      <w:tr w:rsidR="00DE5C4C" w:rsidRPr="009259D9" w14:paraId="2622056E"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F8CBCE" w14:textId="77777777" w:rsidR="00DE5C4C" w:rsidRPr="0090626B" w:rsidRDefault="00DE5C4C" w:rsidP="00BB1B71">
            <w:pPr>
              <w:rPr>
                <w:szCs w:val="22"/>
              </w:rPr>
            </w:pPr>
            <w:r w:rsidRPr="0090626B">
              <w:rPr>
                <w:szCs w:val="22"/>
              </w:rPr>
              <w:t>Entity ARBN</w:t>
            </w:r>
          </w:p>
        </w:tc>
        <w:tc>
          <w:tcPr>
            <w:tcW w:w="3261" w:type="dxa"/>
            <w:gridSpan w:val="2"/>
            <w:tcBorders>
              <w:top w:val="nil"/>
              <w:left w:val="nil"/>
              <w:bottom w:val="single" w:sz="4" w:space="0" w:color="auto"/>
              <w:right w:val="single" w:sz="4" w:space="0" w:color="auto"/>
            </w:tcBorders>
            <w:shd w:val="clear" w:color="auto" w:fill="auto"/>
            <w:vAlign w:val="center"/>
            <w:hideMark/>
          </w:tcPr>
          <w:p w14:paraId="539F5F31"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2413C966" w14:textId="2D15F335" w:rsidR="00DE5C4C" w:rsidRPr="0090626B" w:rsidRDefault="00DE5C4C" w:rsidP="0090626B">
            <w:pPr>
              <w:rPr>
                <w:color w:val="000000"/>
                <w:szCs w:val="22"/>
              </w:rPr>
            </w:pPr>
            <w:r w:rsidRPr="0090626B">
              <w:rPr>
                <w:color w:val="000000"/>
                <w:szCs w:val="22"/>
              </w:rPr>
              <w:t>Reporting entity's Australian Registered Body Number, if applicable</w:t>
            </w:r>
            <w:r>
              <w:rPr>
                <w:color w:val="000000"/>
                <w:szCs w:val="22"/>
              </w:rPr>
              <w:t>.</w:t>
            </w:r>
          </w:p>
        </w:tc>
      </w:tr>
      <w:tr w:rsidR="00BB7DE8" w:rsidRPr="0090626B" w14:paraId="6E9F4F7D" w14:textId="77777777" w:rsidTr="00BB1B71">
        <w:trPr>
          <w:trHeight w:val="283"/>
        </w:trPr>
        <w:tc>
          <w:tcPr>
            <w:tcW w:w="14565" w:type="dxa"/>
            <w:gridSpan w:val="4"/>
            <w:tcBorders>
              <w:top w:val="nil"/>
              <w:left w:val="single" w:sz="4" w:space="0" w:color="auto"/>
              <w:bottom w:val="single" w:sz="4" w:space="0" w:color="auto"/>
              <w:right w:val="single" w:sz="4" w:space="0" w:color="auto"/>
            </w:tcBorders>
            <w:shd w:val="clear" w:color="000000" w:fill="C5E2E2"/>
            <w:noWrap/>
            <w:vAlign w:val="center"/>
            <w:hideMark/>
          </w:tcPr>
          <w:p w14:paraId="7E611CEB" w14:textId="58FA359A" w:rsidR="00BB7DE8" w:rsidRPr="0090626B" w:rsidRDefault="00BB7DE8" w:rsidP="00BB1B71">
            <w:pPr>
              <w:spacing w:before="40" w:after="40"/>
              <w:rPr>
                <w:color w:val="000000"/>
                <w:szCs w:val="22"/>
              </w:rPr>
            </w:pPr>
            <w:r w:rsidRPr="0090626B">
              <w:rPr>
                <w:rFonts w:cs="Calibri"/>
                <w:i/>
                <w:color w:val="000000"/>
                <w:szCs w:val="22"/>
              </w:rPr>
              <w:t>Reporting Nominee Details</w:t>
            </w:r>
          </w:p>
        </w:tc>
      </w:tr>
      <w:tr w:rsidR="00DE5C4C" w:rsidRPr="009259D9" w14:paraId="021A9EC9"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B972CE" w14:textId="77777777" w:rsidR="00DE5C4C" w:rsidRPr="0090626B" w:rsidRDefault="00DE5C4C" w:rsidP="00BB1B71">
            <w:pPr>
              <w:rPr>
                <w:szCs w:val="22"/>
              </w:rPr>
            </w:pPr>
            <w:r w:rsidRPr="0090626B">
              <w:rPr>
                <w:szCs w:val="22"/>
              </w:rPr>
              <w:t>Details of reporting nominee name</w:t>
            </w:r>
          </w:p>
        </w:tc>
        <w:tc>
          <w:tcPr>
            <w:tcW w:w="3261" w:type="dxa"/>
            <w:gridSpan w:val="2"/>
            <w:tcBorders>
              <w:top w:val="nil"/>
              <w:left w:val="nil"/>
              <w:bottom w:val="single" w:sz="4" w:space="0" w:color="auto"/>
              <w:right w:val="single" w:sz="4" w:space="0" w:color="auto"/>
            </w:tcBorders>
            <w:shd w:val="clear" w:color="auto" w:fill="auto"/>
            <w:vAlign w:val="center"/>
            <w:hideMark/>
          </w:tcPr>
          <w:p w14:paraId="75A358F7"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1698E1C9" w14:textId="5303A60E" w:rsidR="00DE5C4C" w:rsidRPr="0090626B" w:rsidRDefault="00DE5C4C" w:rsidP="0090626B">
            <w:pPr>
              <w:rPr>
                <w:color w:val="000000"/>
                <w:szCs w:val="22"/>
              </w:rPr>
            </w:pPr>
            <w:r w:rsidRPr="0090626B">
              <w:rPr>
                <w:color w:val="000000"/>
                <w:szCs w:val="22"/>
              </w:rPr>
              <w:t>Reporting nominee's name as registered on the Australian Business Register</w:t>
            </w:r>
            <w:r>
              <w:rPr>
                <w:color w:val="000000"/>
                <w:szCs w:val="22"/>
              </w:rPr>
              <w:t>.</w:t>
            </w:r>
          </w:p>
        </w:tc>
      </w:tr>
      <w:tr w:rsidR="00DE5C4C" w:rsidRPr="009259D9" w14:paraId="08945F14"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24A326D" w14:textId="77777777" w:rsidR="00DE5C4C" w:rsidRPr="0090626B" w:rsidRDefault="00DE5C4C" w:rsidP="00BB1B71">
            <w:pPr>
              <w:rPr>
                <w:szCs w:val="22"/>
              </w:rPr>
            </w:pPr>
            <w:r w:rsidRPr="0090626B">
              <w:rPr>
                <w:szCs w:val="22"/>
              </w:rPr>
              <w:t>Details of reporting nominee ABN</w:t>
            </w:r>
          </w:p>
        </w:tc>
        <w:tc>
          <w:tcPr>
            <w:tcW w:w="3261" w:type="dxa"/>
            <w:gridSpan w:val="2"/>
            <w:tcBorders>
              <w:top w:val="nil"/>
              <w:left w:val="nil"/>
              <w:bottom w:val="single" w:sz="4" w:space="0" w:color="auto"/>
              <w:right w:val="single" w:sz="4" w:space="0" w:color="auto"/>
            </w:tcBorders>
            <w:shd w:val="clear" w:color="auto" w:fill="auto"/>
            <w:vAlign w:val="center"/>
            <w:hideMark/>
          </w:tcPr>
          <w:p w14:paraId="7B4A4172"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6ABDA5F4" w14:textId="1AEB61FF" w:rsidR="00DE5C4C" w:rsidRPr="0090626B" w:rsidRDefault="00DE5C4C" w:rsidP="0090626B">
            <w:pPr>
              <w:rPr>
                <w:color w:val="000000"/>
                <w:szCs w:val="22"/>
              </w:rPr>
            </w:pPr>
            <w:r w:rsidRPr="0090626B">
              <w:rPr>
                <w:color w:val="000000"/>
                <w:szCs w:val="22"/>
              </w:rPr>
              <w:t>Reporting nominee's Australian Business Number, if applicable</w:t>
            </w:r>
            <w:r>
              <w:rPr>
                <w:color w:val="000000"/>
                <w:szCs w:val="22"/>
              </w:rPr>
              <w:t>.</w:t>
            </w:r>
          </w:p>
        </w:tc>
      </w:tr>
      <w:tr w:rsidR="00DE5C4C" w:rsidRPr="009259D9" w14:paraId="3DA98563"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F104926" w14:textId="77777777" w:rsidR="00DE5C4C" w:rsidRPr="0090626B" w:rsidRDefault="00DE5C4C" w:rsidP="00BB1B71">
            <w:pPr>
              <w:rPr>
                <w:szCs w:val="22"/>
              </w:rPr>
            </w:pPr>
            <w:r w:rsidRPr="0090626B">
              <w:rPr>
                <w:szCs w:val="22"/>
              </w:rPr>
              <w:t>Details of reporting nominee ACN/ARBN</w:t>
            </w:r>
          </w:p>
        </w:tc>
        <w:tc>
          <w:tcPr>
            <w:tcW w:w="3261" w:type="dxa"/>
            <w:gridSpan w:val="2"/>
            <w:tcBorders>
              <w:top w:val="nil"/>
              <w:left w:val="nil"/>
              <w:bottom w:val="single" w:sz="4" w:space="0" w:color="auto"/>
              <w:right w:val="single" w:sz="4" w:space="0" w:color="auto"/>
            </w:tcBorders>
            <w:shd w:val="clear" w:color="auto" w:fill="auto"/>
            <w:vAlign w:val="center"/>
            <w:hideMark/>
          </w:tcPr>
          <w:p w14:paraId="313B26BD" w14:textId="77777777" w:rsidR="00DE5C4C" w:rsidRPr="0090626B" w:rsidRDefault="00DE5C4C" w:rsidP="00DE5C4C">
            <w:pPr>
              <w:jc w:val="center"/>
              <w:rPr>
                <w:color w:val="000000"/>
                <w:szCs w:val="22"/>
              </w:rPr>
            </w:pPr>
            <w:r w:rsidRPr="0090626B">
              <w:rPr>
                <w:color w:val="000000"/>
                <w:szCs w:val="22"/>
              </w:rPr>
              <w:t>Pre-populated</w:t>
            </w:r>
          </w:p>
        </w:tc>
        <w:tc>
          <w:tcPr>
            <w:tcW w:w="8474" w:type="dxa"/>
            <w:tcBorders>
              <w:top w:val="nil"/>
              <w:left w:val="nil"/>
              <w:bottom w:val="single" w:sz="4" w:space="0" w:color="auto"/>
              <w:right w:val="single" w:sz="4" w:space="0" w:color="auto"/>
            </w:tcBorders>
            <w:shd w:val="clear" w:color="auto" w:fill="auto"/>
            <w:vAlign w:val="center"/>
            <w:hideMark/>
          </w:tcPr>
          <w:p w14:paraId="4549DCD4" w14:textId="124A95F6" w:rsidR="00DE5C4C" w:rsidRPr="0090626B" w:rsidRDefault="00DE5C4C" w:rsidP="0090626B">
            <w:pPr>
              <w:rPr>
                <w:color w:val="000000"/>
                <w:szCs w:val="22"/>
              </w:rPr>
            </w:pPr>
            <w:r w:rsidRPr="0090626B">
              <w:rPr>
                <w:color w:val="000000"/>
                <w:szCs w:val="22"/>
              </w:rPr>
              <w:t>Reporting nominee's Australian Company Number or Australian Registered Body Number, if applicable</w:t>
            </w:r>
            <w:r>
              <w:rPr>
                <w:color w:val="000000"/>
                <w:szCs w:val="22"/>
              </w:rPr>
              <w:t>.</w:t>
            </w:r>
          </w:p>
        </w:tc>
      </w:tr>
      <w:tr w:rsidR="00BB7DE8" w:rsidRPr="0090626B" w14:paraId="4BFB4195" w14:textId="77777777" w:rsidTr="00BB1B71">
        <w:trPr>
          <w:trHeight w:val="283"/>
        </w:trPr>
        <w:tc>
          <w:tcPr>
            <w:tcW w:w="14565" w:type="dxa"/>
            <w:gridSpan w:val="4"/>
            <w:tcBorders>
              <w:top w:val="nil"/>
              <w:left w:val="single" w:sz="4" w:space="0" w:color="auto"/>
              <w:bottom w:val="single" w:sz="4" w:space="0" w:color="auto"/>
              <w:right w:val="single" w:sz="4" w:space="0" w:color="auto"/>
            </w:tcBorders>
            <w:shd w:val="clear" w:color="000000" w:fill="00827F"/>
            <w:noWrap/>
            <w:vAlign w:val="center"/>
            <w:hideMark/>
          </w:tcPr>
          <w:p w14:paraId="1B9F5E8F" w14:textId="6080F725" w:rsidR="00BB7DE8" w:rsidRPr="0090626B" w:rsidRDefault="00BB7DE8" w:rsidP="00BB1B71">
            <w:pPr>
              <w:spacing w:before="80" w:after="80"/>
              <w:rPr>
                <w:szCs w:val="22"/>
              </w:rPr>
            </w:pPr>
            <w:r w:rsidRPr="0090626B">
              <w:rPr>
                <w:b/>
                <w:bCs/>
                <w:color w:val="FFFFFF" w:themeColor="background1"/>
                <w:sz w:val="24"/>
                <w:szCs w:val="24"/>
              </w:rPr>
              <w:t>Report Details</w:t>
            </w:r>
          </w:p>
        </w:tc>
      </w:tr>
      <w:tr w:rsidR="00BB7DE8" w:rsidRPr="0090626B" w14:paraId="69168A6C" w14:textId="77777777" w:rsidTr="00BB1B71">
        <w:trPr>
          <w:trHeight w:val="283"/>
        </w:trPr>
        <w:tc>
          <w:tcPr>
            <w:tcW w:w="14565" w:type="dxa"/>
            <w:gridSpan w:val="4"/>
            <w:tcBorders>
              <w:top w:val="nil"/>
              <w:left w:val="single" w:sz="4" w:space="0" w:color="auto"/>
              <w:bottom w:val="single" w:sz="4" w:space="0" w:color="auto"/>
              <w:right w:val="single" w:sz="4" w:space="0" w:color="auto"/>
            </w:tcBorders>
            <w:shd w:val="clear" w:color="000000" w:fill="C5E2E2"/>
            <w:noWrap/>
            <w:vAlign w:val="center"/>
            <w:hideMark/>
          </w:tcPr>
          <w:p w14:paraId="1954E65F" w14:textId="1C351C01" w:rsidR="00BB7DE8" w:rsidRPr="0090626B" w:rsidRDefault="00BB7DE8" w:rsidP="00BB1B71">
            <w:pPr>
              <w:spacing w:before="40" w:after="40"/>
              <w:rPr>
                <w:color w:val="000000"/>
                <w:szCs w:val="22"/>
              </w:rPr>
            </w:pPr>
            <w:r w:rsidRPr="0090626B">
              <w:rPr>
                <w:rFonts w:cs="Calibri"/>
                <w:i/>
                <w:color w:val="000000"/>
                <w:szCs w:val="22"/>
              </w:rPr>
              <w:t>Reporting Period</w:t>
            </w:r>
          </w:p>
        </w:tc>
      </w:tr>
      <w:tr w:rsidR="009259D9" w:rsidRPr="0090626B" w14:paraId="7CF9C6B1"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0C94F1E" w14:textId="77777777" w:rsidR="009259D9" w:rsidRPr="0090626B" w:rsidRDefault="009259D9" w:rsidP="00BB1B71">
            <w:pPr>
              <w:rPr>
                <w:szCs w:val="22"/>
              </w:rPr>
            </w:pPr>
            <w:r w:rsidRPr="0090626B">
              <w:rPr>
                <w:szCs w:val="22"/>
              </w:rPr>
              <w:t xml:space="preserve">Reporting </w:t>
            </w:r>
            <w:proofErr w:type="gramStart"/>
            <w:r w:rsidRPr="0090626B">
              <w:rPr>
                <w:szCs w:val="22"/>
              </w:rPr>
              <w:t>period</w:t>
            </w:r>
            <w:proofErr w:type="gramEnd"/>
            <w:r w:rsidRPr="0090626B">
              <w:rPr>
                <w:szCs w:val="22"/>
              </w:rPr>
              <w:t xml:space="preserve"> start date</w:t>
            </w:r>
          </w:p>
        </w:tc>
        <w:tc>
          <w:tcPr>
            <w:tcW w:w="1630" w:type="dxa"/>
            <w:tcBorders>
              <w:top w:val="nil"/>
              <w:left w:val="nil"/>
              <w:bottom w:val="single" w:sz="4" w:space="0" w:color="auto"/>
              <w:right w:val="single" w:sz="4" w:space="0" w:color="auto"/>
            </w:tcBorders>
            <w:shd w:val="clear" w:color="auto" w:fill="auto"/>
            <w:vAlign w:val="center"/>
            <w:hideMark/>
          </w:tcPr>
          <w:p w14:paraId="65ECEB5E" w14:textId="77777777" w:rsidR="009259D9" w:rsidRPr="0090626B" w:rsidRDefault="009259D9" w:rsidP="00DE5C4C">
            <w:pPr>
              <w:jc w:val="center"/>
              <w:rPr>
                <w:color w:val="000000"/>
                <w:szCs w:val="22"/>
              </w:rPr>
            </w:pPr>
            <w:r w:rsidRPr="0090626B">
              <w:rPr>
                <w:color w:val="000000"/>
                <w:szCs w:val="22"/>
              </w:rPr>
              <w:t>Mandatory</w:t>
            </w:r>
          </w:p>
        </w:tc>
        <w:tc>
          <w:tcPr>
            <w:tcW w:w="1631" w:type="dxa"/>
            <w:tcBorders>
              <w:top w:val="nil"/>
              <w:left w:val="nil"/>
              <w:bottom w:val="single" w:sz="4" w:space="0" w:color="auto"/>
              <w:right w:val="single" w:sz="4" w:space="0" w:color="auto"/>
            </w:tcBorders>
            <w:shd w:val="clear" w:color="auto" w:fill="auto"/>
            <w:vAlign w:val="center"/>
            <w:hideMark/>
          </w:tcPr>
          <w:p w14:paraId="4D0E5B33" w14:textId="77777777" w:rsidR="009259D9" w:rsidRPr="0090626B" w:rsidRDefault="009259D9" w:rsidP="00DE5C4C">
            <w:pPr>
              <w:jc w:val="center"/>
              <w:rPr>
                <w:color w:val="000000"/>
                <w:szCs w:val="22"/>
              </w:rPr>
            </w:pPr>
            <w:r w:rsidRPr="0090626B">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3ACD9C81" w14:textId="59449A79" w:rsidR="009259D9" w:rsidRPr="0090626B" w:rsidRDefault="009259D9" w:rsidP="0090626B">
            <w:pPr>
              <w:rPr>
                <w:color w:val="000000"/>
                <w:szCs w:val="22"/>
              </w:rPr>
            </w:pPr>
            <w:r w:rsidRPr="0090626B">
              <w:rPr>
                <w:color w:val="000000"/>
                <w:szCs w:val="22"/>
              </w:rPr>
              <w:t>The starting date of the reporting period covered in the report</w:t>
            </w:r>
            <w:r w:rsidR="0090626B">
              <w:rPr>
                <w:color w:val="000000"/>
                <w:szCs w:val="22"/>
              </w:rPr>
              <w:t>.</w:t>
            </w:r>
          </w:p>
        </w:tc>
      </w:tr>
      <w:tr w:rsidR="009259D9" w:rsidRPr="0090626B" w14:paraId="684425D4"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487F98" w14:textId="77777777" w:rsidR="009259D9" w:rsidRPr="0090626B" w:rsidRDefault="009259D9" w:rsidP="00BB1B71">
            <w:pPr>
              <w:rPr>
                <w:szCs w:val="22"/>
              </w:rPr>
            </w:pPr>
            <w:r w:rsidRPr="0090626B">
              <w:rPr>
                <w:szCs w:val="22"/>
              </w:rPr>
              <w:t>Reporting period end date</w:t>
            </w:r>
          </w:p>
        </w:tc>
        <w:tc>
          <w:tcPr>
            <w:tcW w:w="1630" w:type="dxa"/>
            <w:tcBorders>
              <w:top w:val="nil"/>
              <w:left w:val="nil"/>
              <w:bottom w:val="single" w:sz="4" w:space="0" w:color="auto"/>
              <w:right w:val="single" w:sz="4" w:space="0" w:color="auto"/>
            </w:tcBorders>
            <w:shd w:val="clear" w:color="auto" w:fill="auto"/>
            <w:vAlign w:val="center"/>
            <w:hideMark/>
          </w:tcPr>
          <w:p w14:paraId="1953B779" w14:textId="77777777" w:rsidR="009259D9" w:rsidRPr="0090626B" w:rsidRDefault="009259D9" w:rsidP="00DE5C4C">
            <w:pPr>
              <w:jc w:val="center"/>
              <w:rPr>
                <w:color w:val="000000"/>
                <w:szCs w:val="22"/>
              </w:rPr>
            </w:pPr>
            <w:r w:rsidRPr="0090626B">
              <w:rPr>
                <w:color w:val="000000"/>
                <w:szCs w:val="22"/>
              </w:rPr>
              <w:t>Mandatory</w:t>
            </w:r>
          </w:p>
        </w:tc>
        <w:tc>
          <w:tcPr>
            <w:tcW w:w="1631" w:type="dxa"/>
            <w:tcBorders>
              <w:top w:val="nil"/>
              <w:left w:val="nil"/>
              <w:bottom w:val="single" w:sz="4" w:space="0" w:color="auto"/>
              <w:right w:val="single" w:sz="4" w:space="0" w:color="auto"/>
            </w:tcBorders>
            <w:shd w:val="clear" w:color="auto" w:fill="auto"/>
            <w:vAlign w:val="center"/>
            <w:hideMark/>
          </w:tcPr>
          <w:p w14:paraId="3BB25AD9" w14:textId="77777777" w:rsidR="009259D9" w:rsidRPr="0090626B" w:rsidRDefault="009259D9" w:rsidP="00DE5C4C">
            <w:pPr>
              <w:jc w:val="center"/>
              <w:rPr>
                <w:color w:val="000000"/>
                <w:szCs w:val="22"/>
              </w:rPr>
            </w:pPr>
            <w:r w:rsidRPr="0090626B">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44541205" w14:textId="30E73B52" w:rsidR="009259D9" w:rsidRPr="0090626B" w:rsidRDefault="009259D9" w:rsidP="0090626B">
            <w:pPr>
              <w:rPr>
                <w:color w:val="000000"/>
                <w:szCs w:val="22"/>
              </w:rPr>
            </w:pPr>
            <w:r w:rsidRPr="0090626B">
              <w:rPr>
                <w:color w:val="000000"/>
                <w:szCs w:val="22"/>
              </w:rPr>
              <w:t>The end date of the reporting period covered in the report</w:t>
            </w:r>
            <w:r w:rsidR="0090626B">
              <w:rPr>
                <w:color w:val="000000"/>
                <w:szCs w:val="22"/>
              </w:rPr>
              <w:t>.</w:t>
            </w:r>
          </w:p>
        </w:tc>
      </w:tr>
      <w:tr w:rsidR="00BB7DE8" w:rsidRPr="0090626B" w14:paraId="0665EBD4" w14:textId="77777777" w:rsidTr="00BB1B71">
        <w:trPr>
          <w:trHeight w:val="283"/>
        </w:trPr>
        <w:tc>
          <w:tcPr>
            <w:tcW w:w="14565" w:type="dxa"/>
            <w:gridSpan w:val="4"/>
            <w:tcBorders>
              <w:top w:val="nil"/>
              <w:left w:val="single" w:sz="4" w:space="0" w:color="auto"/>
              <w:bottom w:val="single" w:sz="4" w:space="0" w:color="auto"/>
              <w:right w:val="single" w:sz="4" w:space="0" w:color="auto"/>
            </w:tcBorders>
            <w:shd w:val="clear" w:color="000000" w:fill="C5E2E2"/>
            <w:noWrap/>
            <w:vAlign w:val="center"/>
            <w:hideMark/>
          </w:tcPr>
          <w:p w14:paraId="7386688D" w14:textId="3DB60D2E" w:rsidR="00BB7DE8" w:rsidRPr="0090626B" w:rsidRDefault="00BB7DE8" w:rsidP="00BB1B71">
            <w:pPr>
              <w:keepNext/>
              <w:spacing w:before="40" w:after="40"/>
              <w:rPr>
                <w:color w:val="000000"/>
                <w:szCs w:val="22"/>
              </w:rPr>
            </w:pPr>
            <w:r w:rsidRPr="0090626B">
              <w:rPr>
                <w:rFonts w:cs="Calibri"/>
                <w:i/>
                <w:color w:val="000000"/>
                <w:szCs w:val="22"/>
              </w:rPr>
              <w:lastRenderedPageBreak/>
              <w:t>Approver</w:t>
            </w:r>
          </w:p>
        </w:tc>
      </w:tr>
      <w:tr w:rsidR="009259D9" w:rsidRPr="0090626B" w14:paraId="09A04F4B"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14C836" w14:textId="0EE8DEBD" w:rsidR="009259D9" w:rsidRPr="0090626B" w:rsidRDefault="009259D9" w:rsidP="00BB1B71">
            <w:pPr>
              <w:rPr>
                <w:szCs w:val="22"/>
              </w:rPr>
            </w:pPr>
            <w:r w:rsidRPr="0090626B">
              <w:rPr>
                <w:szCs w:val="22"/>
              </w:rPr>
              <w:t xml:space="preserve">Approving responsible member </w:t>
            </w:r>
            <w:r w:rsidR="00F25D41">
              <w:rPr>
                <w:szCs w:val="22"/>
              </w:rPr>
              <w:t>given name</w:t>
            </w:r>
          </w:p>
        </w:tc>
        <w:tc>
          <w:tcPr>
            <w:tcW w:w="1630" w:type="dxa"/>
            <w:tcBorders>
              <w:top w:val="nil"/>
              <w:left w:val="nil"/>
              <w:bottom w:val="single" w:sz="4" w:space="0" w:color="auto"/>
              <w:right w:val="single" w:sz="4" w:space="0" w:color="auto"/>
            </w:tcBorders>
            <w:shd w:val="clear" w:color="auto" w:fill="auto"/>
            <w:vAlign w:val="center"/>
            <w:hideMark/>
          </w:tcPr>
          <w:p w14:paraId="2B5168D4" w14:textId="77777777" w:rsidR="009259D9" w:rsidRPr="0090626B" w:rsidRDefault="009259D9" w:rsidP="00DE5C4C">
            <w:pPr>
              <w:jc w:val="center"/>
              <w:rPr>
                <w:color w:val="000000"/>
                <w:szCs w:val="22"/>
              </w:rPr>
            </w:pPr>
            <w:r w:rsidRPr="0090626B">
              <w:rPr>
                <w:color w:val="000000"/>
                <w:szCs w:val="22"/>
              </w:rPr>
              <w:t>Recommended</w:t>
            </w:r>
          </w:p>
        </w:tc>
        <w:tc>
          <w:tcPr>
            <w:tcW w:w="1631" w:type="dxa"/>
            <w:tcBorders>
              <w:top w:val="nil"/>
              <w:left w:val="nil"/>
              <w:bottom w:val="single" w:sz="4" w:space="0" w:color="auto"/>
              <w:right w:val="single" w:sz="4" w:space="0" w:color="auto"/>
            </w:tcBorders>
            <w:shd w:val="clear" w:color="auto" w:fill="auto"/>
            <w:vAlign w:val="center"/>
            <w:hideMark/>
          </w:tcPr>
          <w:p w14:paraId="6D2F631B" w14:textId="053C448D" w:rsidR="009259D9" w:rsidRPr="0090626B" w:rsidRDefault="009259D9" w:rsidP="00DE5C4C">
            <w:pPr>
              <w:jc w:val="center"/>
              <w:rPr>
                <w:color w:val="000000"/>
                <w:szCs w:val="22"/>
              </w:rPr>
            </w:pPr>
            <w:r w:rsidRPr="0090626B">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4DF9F7B2" w14:textId="536E4E51" w:rsidR="009259D9" w:rsidRPr="0090626B" w:rsidRDefault="00F25D41" w:rsidP="0090626B">
            <w:pPr>
              <w:rPr>
                <w:color w:val="000000"/>
                <w:szCs w:val="22"/>
              </w:rPr>
            </w:pPr>
            <w:r>
              <w:rPr>
                <w:color w:val="000000"/>
                <w:szCs w:val="22"/>
              </w:rPr>
              <w:t>Given name</w:t>
            </w:r>
            <w:r w:rsidR="009259D9" w:rsidRPr="0090626B">
              <w:rPr>
                <w:color w:val="000000"/>
                <w:szCs w:val="22"/>
              </w:rPr>
              <w:t xml:space="preserve"> of the responsible member who approved the report. </w:t>
            </w:r>
          </w:p>
        </w:tc>
      </w:tr>
      <w:tr w:rsidR="009259D9" w:rsidRPr="0090626B" w14:paraId="47016C37"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60EABBD" w14:textId="457BEBE0" w:rsidR="009259D9" w:rsidRPr="0090626B" w:rsidRDefault="009259D9" w:rsidP="00BB1B71">
            <w:pPr>
              <w:rPr>
                <w:szCs w:val="22"/>
              </w:rPr>
            </w:pPr>
            <w:r w:rsidRPr="0090626B">
              <w:rPr>
                <w:szCs w:val="22"/>
              </w:rPr>
              <w:t xml:space="preserve">Approving responsible member </w:t>
            </w:r>
            <w:r w:rsidR="00F25D41">
              <w:rPr>
                <w:szCs w:val="22"/>
              </w:rPr>
              <w:t>family name</w:t>
            </w:r>
          </w:p>
        </w:tc>
        <w:tc>
          <w:tcPr>
            <w:tcW w:w="1630" w:type="dxa"/>
            <w:tcBorders>
              <w:top w:val="nil"/>
              <w:left w:val="nil"/>
              <w:bottom w:val="single" w:sz="4" w:space="0" w:color="auto"/>
              <w:right w:val="single" w:sz="4" w:space="0" w:color="auto"/>
            </w:tcBorders>
            <w:shd w:val="clear" w:color="auto" w:fill="auto"/>
            <w:vAlign w:val="center"/>
            <w:hideMark/>
          </w:tcPr>
          <w:p w14:paraId="5BDF540A" w14:textId="77777777" w:rsidR="009259D9" w:rsidRPr="0090626B" w:rsidRDefault="009259D9" w:rsidP="00DE5C4C">
            <w:pPr>
              <w:jc w:val="center"/>
              <w:rPr>
                <w:color w:val="000000"/>
                <w:szCs w:val="22"/>
              </w:rPr>
            </w:pPr>
            <w:r w:rsidRPr="0090626B">
              <w:rPr>
                <w:color w:val="000000"/>
                <w:szCs w:val="22"/>
              </w:rPr>
              <w:t>Mandatory</w:t>
            </w:r>
          </w:p>
        </w:tc>
        <w:tc>
          <w:tcPr>
            <w:tcW w:w="1631" w:type="dxa"/>
            <w:tcBorders>
              <w:top w:val="nil"/>
              <w:left w:val="nil"/>
              <w:bottom w:val="single" w:sz="4" w:space="0" w:color="auto"/>
              <w:right w:val="single" w:sz="4" w:space="0" w:color="auto"/>
            </w:tcBorders>
            <w:shd w:val="clear" w:color="auto" w:fill="auto"/>
            <w:vAlign w:val="center"/>
            <w:hideMark/>
          </w:tcPr>
          <w:p w14:paraId="21A7F06E" w14:textId="741E8998" w:rsidR="009259D9" w:rsidRPr="0090626B" w:rsidRDefault="009259D9" w:rsidP="00DE5C4C">
            <w:pPr>
              <w:jc w:val="center"/>
              <w:rPr>
                <w:color w:val="000000"/>
                <w:szCs w:val="22"/>
              </w:rPr>
            </w:pPr>
            <w:r w:rsidRPr="0090626B">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42BF7BE9" w14:textId="3C56EBE8" w:rsidR="009259D9" w:rsidRPr="0090626B" w:rsidRDefault="00F25D41" w:rsidP="0090626B">
            <w:pPr>
              <w:rPr>
                <w:color w:val="000000"/>
                <w:szCs w:val="22"/>
              </w:rPr>
            </w:pPr>
            <w:r>
              <w:rPr>
                <w:color w:val="000000"/>
                <w:szCs w:val="22"/>
              </w:rPr>
              <w:t>Family name</w:t>
            </w:r>
            <w:r w:rsidR="009259D9" w:rsidRPr="0090626B">
              <w:rPr>
                <w:color w:val="000000"/>
                <w:szCs w:val="22"/>
              </w:rPr>
              <w:t xml:space="preserve"> of the responsible member who approved the report. </w:t>
            </w:r>
          </w:p>
        </w:tc>
      </w:tr>
      <w:tr w:rsidR="009259D9" w:rsidRPr="0090626B" w14:paraId="360E74C0"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A15A44" w14:textId="77777777" w:rsidR="009259D9" w:rsidRPr="0090626B" w:rsidRDefault="009259D9" w:rsidP="00BB1B71">
            <w:pPr>
              <w:rPr>
                <w:szCs w:val="22"/>
              </w:rPr>
            </w:pPr>
            <w:r w:rsidRPr="0090626B">
              <w:rPr>
                <w:szCs w:val="22"/>
              </w:rPr>
              <w:t>Responsible member approval date</w:t>
            </w:r>
          </w:p>
        </w:tc>
        <w:tc>
          <w:tcPr>
            <w:tcW w:w="1630" w:type="dxa"/>
            <w:tcBorders>
              <w:top w:val="nil"/>
              <w:left w:val="nil"/>
              <w:bottom w:val="single" w:sz="4" w:space="0" w:color="auto"/>
              <w:right w:val="single" w:sz="4" w:space="0" w:color="auto"/>
            </w:tcBorders>
            <w:shd w:val="clear" w:color="auto" w:fill="auto"/>
            <w:vAlign w:val="center"/>
            <w:hideMark/>
          </w:tcPr>
          <w:p w14:paraId="7510A5D6" w14:textId="77777777" w:rsidR="009259D9" w:rsidRPr="0090626B" w:rsidRDefault="009259D9" w:rsidP="00DE5C4C">
            <w:pPr>
              <w:jc w:val="center"/>
              <w:rPr>
                <w:color w:val="000000"/>
                <w:szCs w:val="22"/>
              </w:rPr>
            </w:pPr>
            <w:r w:rsidRPr="0090626B">
              <w:rPr>
                <w:color w:val="000000"/>
                <w:szCs w:val="22"/>
              </w:rPr>
              <w:t>Mandatory</w:t>
            </w:r>
          </w:p>
        </w:tc>
        <w:tc>
          <w:tcPr>
            <w:tcW w:w="1631" w:type="dxa"/>
            <w:tcBorders>
              <w:top w:val="nil"/>
              <w:left w:val="nil"/>
              <w:bottom w:val="single" w:sz="4" w:space="0" w:color="auto"/>
              <w:right w:val="single" w:sz="4" w:space="0" w:color="auto"/>
            </w:tcBorders>
            <w:shd w:val="clear" w:color="auto" w:fill="auto"/>
            <w:vAlign w:val="center"/>
            <w:hideMark/>
          </w:tcPr>
          <w:p w14:paraId="1AB6F95B" w14:textId="77777777" w:rsidR="009259D9" w:rsidRPr="0090626B" w:rsidRDefault="009259D9" w:rsidP="00DE5C4C">
            <w:pPr>
              <w:jc w:val="center"/>
              <w:rPr>
                <w:color w:val="000000"/>
                <w:szCs w:val="22"/>
              </w:rPr>
            </w:pPr>
            <w:r w:rsidRPr="0090626B">
              <w:rPr>
                <w:color w:val="000000"/>
                <w:szCs w:val="22"/>
              </w:rPr>
              <w:t>DD/MM/YYYY</w:t>
            </w:r>
          </w:p>
        </w:tc>
        <w:tc>
          <w:tcPr>
            <w:tcW w:w="8474" w:type="dxa"/>
            <w:tcBorders>
              <w:top w:val="nil"/>
              <w:left w:val="nil"/>
              <w:bottom w:val="single" w:sz="4" w:space="0" w:color="auto"/>
              <w:right w:val="single" w:sz="4" w:space="0" w:color="auto"/>
            </w:tcBorders>
            <w:shd w:val="clear" w:color="auto" w:fill="auto"/>
            <w:vAlign w:val="center"/>
            <w:hideMark/>
          </w:tcPr>
          <w:p w14:paraId="7888E036" w14:textId="77777777" w:rsidR="009259D9" w:rsidRPr="0090626B" w:rsidRDefault="009259D9" w:rsidP="0090626B">
            <w:pPr>
              <w:rPr>
                <w:color w:val="000000"/>
                <w:szCs w:val="22"/>
              </w:rPr>
            </w:pPr>
            <w:r w:rsidRPr="0090626B">
              <w:rPr>
                <w:color w:val="000000"/>
                <w:szCs w:val="22"/>
              </w:rPr>
              <w:t xml:space="preserve">The date that the responsible member who approved the report. </w:t>
            </w:r>
          </w:p>
        </w:tc>
      </w:tr>
      <w:tr w:rsidR="00BB7DE8" w:rsidRPr="0090626B" w14:paraId="405C11FE" w14:textId="77777777" w:rsidTr="00BB1B71">
        <w:trPr>
          <w:trHeight w:val="454"/>
        </w:trPr>
        <w:tc>
          <w:tcPr>
            <w:tcW w:w="14565" w:type="dxa"/>
            <w:gridSpan w:val="4"/>
            <w:tcBorders>
              <w:top w:val="nil"/>
              <w:left w:val="single" w:sz="4" w:space="0" w:color="auto"/>
              <w:bottom w:val="single" w:sz="4" w:space="0" w:color="auto"/>
              <w:right w:val="single" w:sz="4" w:space="0" w:color="auto"/>
            </w:tcBorders>
            <w:shd w:val="clear" w:color="000000" w:fill="00827F"/>
            <w:noWrap/>
            <w:vAlign w:val="center"/>
            <w:hideMark/>
          </w:tcPr>
          <w:p w14:paraId="1E6FC16C" w14:textId="343E23C6" w:rsidR="00BB7DE8" w:rsidRPr="0090626B" w:rsidRDefault="00BB7DE8" w:rsidP="00BB1B71">
            <w:pPr>
              <w:spacing w:before="80" w:after="80"/>
              <w:rPr>
                <w:szCs w:val="22"/>
              </w:rPr>
            </w:pPr>
            <w:r w:rsidRPr="0090626B">
              <w:rPr>
                <w:b/>
                <w:bCs/>
                <w:color w:val="FFFFFF" w:themeColor="background1"/>
                <w:sz w:val="24"/>
                <w:szCs w:val="24"/>
              </w:rPr>
              <w:t>Miscellaneous</w:t>
            </w:r>
          </w:p>
        </w:tc>
      </w:tr>
      <w:tr w:rsidR="009259D9" w:rsidRPr="0090626B" w14:paraId="077D1DAC"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2B1B3C" w14:textId="77777777" w:rsidR="009259D9" w:rsidRPr="0090626B" w:rsidRDefault="009259D9" w:rsidP="00BB1B71">
            <w:pPr>
              <w:rPr>
                <w:szCs w:val="22"/>
              </w:rPr>
            </w:pPr>
            <w:r w:rsidRPr="0090626B">
              <w:rPr>
                <w:szCs w:val="22"/>
              </w:rPr>
              <w:t>Modified report information</w:t>
            </w:r>
          </w:p>
        </w:tc>
        <w:tc>
          <w:tcPr>
            <w:tcW w:w="1630" w:type="dxa"/>
            <w:tcBorders>
              <w:top w:val="nil"/>
              <w:left w:val="nil"/>
              <w:bottom w:val="single" w:sz="4" w:space="0" w:color="auto"/>
              <w:right w:val="single" w:sz="4" w:space="0" w:color="auto"/>
            </w:tcBorders>
            <w:shd w:val="clear" w:color="auto" w:fill="auto"/>
            <w:vAlign w:val="center"/>
            <w:hideMark/>
          </w:tcPr>
          <w:p w14:paraId="3BC09E18" w14:textId="77777777" w:rsidR="009259D9" w:rsidRPr="0090626B" w:rsidRDefault="009259D9" w:rsidP="00DE5C4C">
            <w:pPr>
              <w:jc w:val="center"/>
              <w:rPr>
                <w:color w:val="000000"/>
                <w:szCs w:val="22"/>
              </w:rPr>
            </w:pPr>
            <w:r w:rsidRPr="0090626B">
              <w:rPr>
                <w:color w:val="000000"/>
                <w:szCs w:val="22"/>
              </w:rPr>
              <w:t>Optional</w:t>
            </w:r>
          </w:p>
        </w:tc>
        <w:tc>
          <w:tcPr>
            <w:tcW w:w="1631" w:type="dxa"/>
            <w:tcBorders>
              <w:top w:val="nil"/>
              <w:left w:val="nil"/>
              <w:bottom w:val="single" w:sz="4" w:space="0" w:color="auto"/>
              <w:right w:val="single" w:sz="4" w:space="0" w:color="auto"/>
            </w:tcBorders>
            <w:shd w:val="clear" w:color="auto" w:fill="auto"/>
            <w:vAlign w:val="center"/>
            <w:hideMark/>
          </w:tcPr>
          <w:p w14:paraId="677DDBA1" w14:textId="77777777" w:rsidR="009259D9" w:rsidRPr="0090626B" w:rsidRDefault="009259D9" w:rsidP="00DE5C4C">
            <w:pPr>
              <w:jc w:val="center"/>
              <w:rPr>
                <w:color w:val="000000"/>
                <w:szCs w:val="22"/>
              </w:rPr>
            </w:pPr>
            <w:r w:rsidRPr="0090626B">
              <w:rPr>
                <w:color w:val="000000"/>
                <w:szCs w:val="22"/>
              </w:rPr>
              <w:t>Text</w:t>
            </w:r>
          </w:p>
        </w:tc>
        <w:tc>
          <w:tcPr>
            <w:tcW w:w="8474" w:type="dxa"/>
            <w:tcBorders>
              <w:top w:val="nil"/>
              <w:left w:val="nil"/>
              <w:bottom w:val="single" w:sz="4" w:space="0" w:color="auto"/>
              <w:right w:val="single" w:sz="4" w:space="0" w:color="auto"/>
            </w:tcBorders>
            <w:shd w:val="clear" w:color="auto" w:fill="auto"/>
            <w:vAlign w:val="center"/>
            <w:hideMark/>
          </w:tcPr>
          <w:p w14:paraId="625F9251" w14:textId="77777777" w:rsidR="009259D9" w:rsidRPr="0090626B" w:rsidRDefault="009259D9" w:rsidP="0090626B">
            <w:pPr>
              <w:rPr>
                <w:color w:val="000000"/>
                <w:szCs w:val="22"/>
              </w:rPr>
            </w:pPr>
            <w:r w:rsidRPr="0090626B">
              <w:rPr>
                <w:color w:val="000000"/>
                <w:szCs w:val="22"/>
              </w:rPr>
              <w:t>Explain and provide context for the reporting entity’s modified report.</w:t>
            </w:r>
          </w:p>
        </w:tc>
      </w:tr>
      <w:tr w:rsidR="00BB7DE8" w:rsidRPr="0090626B" w14:paraId="6119C3FB" w14:textId="77777777" w:rsidTr="00BB1B71">
        <w:trPr>
          <w:trHeight w:val="283"/>
        </w:trPr>
        <w:tc>
          <w:tcPr>
            <w:tcW w:w="14565" w:type="dxa"/>
            <w:gridSpan w:val="4"/>
            <w:tcBorders>
              <w:top w:val="nil"/>
              <w:left w:val="single" w:sz="4" w:space="0" w:color="auto"/>
              <w:bottom w:val="single" w:sz="4" w:space="0" w:color="auto"/>
              <w:right w:val="single" w:sz="4" w:space="0" w:color="auto"/>
            </w:tcBorders>
            <w:shd w:val="clear" w:color="000000" w:fill="00827F"/>
            <w:noWrap/>
            <w:vAlign w:val="center"/>
            <w:hideMark/>
          </w:tcPr>
          <w:p w14:paraId="33AF248B" w14:textId="52918B25" w:rsidR="00BB7DE8" w:rsidRPr="0090626B" w:rsidRDefault="00BB7DE8" w:rsidP="00BB1B71">
            <w:pPr>
              <w:spacing w:before="80" w:after="80"/>
              <w:rPr>
                <w:szCs w:val="22"/>
              </w:rPr>
            </w:pPr>
            <w:r w:rsidRPr="0090626B">
              <w:rPr>
                <w:b/>
                <w:bCs/>
                <w:color w:val="FFFFFF" w:themeColor="background1"/>
                <w:sz w:val="24"/>
                <w:szCs w:val="24"/>
              </w:rPr>
              <w:t>Declaration</w:t>
            </w:r>
          </w:p>
        </w:tc>
      </w:tr>
      <w:tr w:rsidR="009259D9" w:rsidRPr="0090626B" w14:paraId="5229C690" w14:textId="77777777" w:rsidTr="00BB1B71">
        <w:trPr>
          <w:trHeight w:val="28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4806C12" w14:textId="3493FF41" w:rsidR="009259D9" w:rsidRPr="0090626B" w:rsidRDefault="009259D9" w:rsidP="00BB1B71">
            <w:pPr>
              <w:rPr>
                <w:szCs w:val="22"/>
              </w:rPr>
            </w:pPr>
            <w:r w:rsidRPr="0090626B">
              <w:rPr>
                <w:szCs w:val="22"/>
              </w:rPr>
              <w:t>Declaration</w:t>
            </w:r>
          </w:p>
        </w:tc>
        <w:tc>
          <w:tcPr>
            <w:tcW w:w="1630" w:type="dxa"/>
            <w:tcBorders>
              <w:top w:val="nil"/>
              <w:left w:val="nil"/>
              <w:bottom w:val="single" w:sz="4" w:space="0" w:color="auto"/>
              <w:right w:val="single" w:sz="4" w:space="0" w:color="auto"/>
            </w:tcBorders>
            <w:shd w:val="clear" w:color="auto" w:fill="auto"/>
            <w:vAlign w:val="center"/>
            <w:hideMark/>
          </w:tcPr>
          <w:p w14:paraId="3DBEB9FE" w14:textId="77777777" w:rsidR="009259D9" w:rsidRPr="0090626B" w:rsidRDefault="009259D9" w:rsidP="00DE5C4C">
            <w:pPr>
              <w:jc w:val="center"/>
              <w:rPr>
                <w:color w:val="000000"/>
                <w:szCs w:val="22"/>
              </w:rPr>
            </w:pPr>
            <w:r w:rsidRPr="0090626B">
              <w:rPr>
                <w:color w:val="000000"/>
                <w:szCs w:val="22"/>
              </w:rPr>
              <w:t>Mandatory</w:t>
            </w:r>
          </w:p>
        </w:tc>
        <w:tc>
          <w:tcPr>
            <w:tcW w:w="1631" w:type="dxa"/>
            <w:tcBorders>
              <w:top w:val="nil"/>
              <w:left w:val="nil"/>
              <w:bottom w:val="single" w:sz="4" w:space="0" w:color="auto"/>
              <w:right w:val="single" w:sz="4" w:space="0" w:color="auto"/>
            </w:tcBorders>
            <w:shd w:val="clear" w:color="auto" w:fill="auto"/>
            <w:vAlign w:val="center"/>
            <w:hideMark/>
          </w:tcPr>
          <w:p w14:paraId="58F21BBD" w14:textId="77777777" w:rsidR="009259D9" w:rsidRPr="0090626B" w:rsidRDefault="009259D9" w:rsidP="00DE5C4C">
            <w:pPr>
              <w:jc w:val="center"/>
              <w:rPr>
                <w:color w:val="000000"/>
                <w:szCs w:val="22"/>
              </w:rPr>
            </w:pPr>
            <w:r w:rsidRPr="0090626B">
              <w:rPr>
                <w:color w:val="000000"/>
                <w:szCs w:val="22"/>
              </w:rPr>
              <w:t>Checkbox</w:t>
            </w:r>
          </w:p>
        </w:tc>
        <w:tc>
          <w:tcPr>
            <w:tcW w:w="8474" w:type="dxa"/>
            <w:tcBorders>
              <w:top w:val="nil"/>
              <w:left w:val="nil"/>
              <w:bottom w:val="single" w:sz="4" w:space="0" w:color="auto"/>
              <w:right w:val="single" w:sz="4" w:space="0" w:color="auto"/>
            </w:tcBorders>
            <w:shd w:val="clear" w:color="auto" w:fill="auto"/>
            <w:vAlign w:val="center"/>
            <w:hideMark/>
          </w:tcPr>
          <w:p w14:paraId="5B1F1306" w14:textId="523D21CA" w:rsidR="009259D9" w:rsidRPr="0090626B" w:rsidRDefault="009259D9" w:rsidP="0090626B">
            <w:pPr>
              <w:rPr>
                <w:color w:val="000000"/>
                <w:szCs w:val="22"/>
              </w:rPr>
            </w:pPr>
          </w:p>
        </w:tc>
      </w:tr>
    </w:tbl>
    <w:p w14:paraId="20FAC6DE" w14:textId="65B899EE" w:rsidR="005A1DF4" w:rsidRPr="003213CB" w:rsidRDefault="005A1DF4" w:rsidP="00231424"/>
    <w:sectPr w:rsidR="005A1DF4" w:rsidRPr="003213CB" w:rsidSect="00763E2B">
      <w:footerReference w:type="default" r:id="rId18"/>
      <w:pgSz w:w="16838" w:h="11906" w:orient="landscape" w:code="9"/>
      <w:pgMar w:top="1361" w:right="1134" w:bottom="851"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D78D" w14:textId="77777777" w:rsidR="004D552F" w:rsidRDefault="004D552F">
      <w:pPr>
        <w:spacing w:before="0" w:after="0"/>
      </w:pPr>
      <w:r>
        <w:separator/>
      </w:r>
    </w:p>
  </w:endnote>
  <w:endnote w:type="continuationSeparator" w:id="0">
    <w:p w14:paraId="0EED5698" w14:textId="77777777" w:rsidR="004D552F" w:rsidRDefault="004D552F">
      <w:pPr>
        <w:spacing w:before="0" w:after="0"/>
      </w:pPr>
      <w:r>
        <w:continuationSeparator/>
      </w:r>
    </w:p>
  </w:endnote>
  <w:endnote w:type="continuationNotice" w:id="1">
    <w:p w14:paraId="58CBF601" w14:textId="77777777" w:rsidR="004D552F" w:rsidRDefault="004D55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CF1E" w14:textId="02C52912" w:rsidR="009267A9" w:rsidRPr="009267A9" w:rsidRDefault="00E3367B" w:rsidP="00E3367B">
    <w:pPr>
      <w:pStyle w:val="FooterOdd"/>
      <w:tabs>
        <w:tab w:val="right" w:pos="9072"/>
      </w:tabs>
    </w:pPr>
    <w:r w:rsidRPr="00103F3C">
      <w:rPr>
        <w:noProof/>
        <w:position w:val="-8"/>
      </w:rPr>
      <w:drawing>
        <wp:inline distT="0" distB="0" distL="0" distR="0" wp14:anchorId="13D944FC" wp14:editId="11383990">
          <wp:extent cx="1821600" cy="205200"/>
          <wp:effectExtent l="0" t="0" r="7620" b="4445"/>
          <wp:docPr id="180057323" name="Picture 180057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E42639">
      <w:fldChar w:fldCharType="begin"/>
    </w:r>
    <w:r w:rsidR="00E42639">
      <w:instrText xml:space="preserve"> STYLEREF  "Heading 1"  \* MERGEFORMAT </w:instrText>
    </w:r>
    <w:r w:rsidR="00E42639">
      <w:fldChar w:fldCharType="separate"/>
    </w:r>
    <w:r w:rsidR="00E42639">
      <w:rPr>
        <w:noProof/>
      </w:rPr>
      <w:t>Datasets</w:t>
    </w:r>
    <w:r w:rsidR="00E42639">
      <w:rPr>
        <w:noProof/>
      </w:rPr>
      <w:fldChar w:fldCharType="end"/>
    </w:r>
    <w:r>
      <w:t xml:space="preserve"> | </w:t>
    </w:r>
    <w:r>
      <w:fldChar w:fldCharType="begin"/>
    </w:r>
    <w:r>
      <w:instrText xml:space="preserve"> PAGE   \* MERGEFORMAT </w:instrText>
    </w:r>
    <w:r>
      <w:fldChar w:fldCharType="separate"/>
    </w:r>
    <w:r>
      <w:t>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60B5" w14:textId="528BBFF5" w:rsidR="00EF145E" w:rsidRPr="00334F97" w:rsidRDefault="00334F97" w:rsidP="00334F97">
    <w:pPr>
      <w:pStyle w:val="FooterOdd"/>
      <w:tabs>
        <w:tab w:val="right" w:pos="9072"/>
      </w:tabs>
    </w:pPr>
    <w:r w:rsidRPr="00103F3C">
      <w:rPr>
        <w:noProof/>
        <w:position w:val="-8"/>
      </w:rPr>
      <w:drawing>
        <wp:inline distT="0" distB="0" distL="0" distR="0" wp14:anchorId="255097F1" wp14:editId="1FE1B120">
          <wp:extent cx="1821600" cy="205200"/>
          <wp:effectExtent l="0" t="0" r="7620" b="4445"/>
          <wp:docPr id="1079454380" name="Picture 1079454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3674" name="Picture 9122136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E42639">
      <w:fldChar w:fldCharType="begin"/>
    </w:r>
    <w:r w:rsidR="00E42639">
      <w:instrText xml:space="preserve"> STYLEREF  "Heading 1"  \* MERGEFORMAT </w:instrText>
    </w:r>
    <w:r w:rsidR="00E42639">
      <w:fldChar w:fldCharType="separate"/>
    </w:r>
    <w:r w:rsidR="00770B33">
      <w:rPr>
        <w:noProof/>
      </w:rPr>
      <w:t>Contents</w:t>
    </w:r>
    <w:r w:rsidR="00E42639">
      <w:rPr>
        <w:noProof/>
      </w:rPr>
      <w:fldChar w:fldCharType="end"/>
    </w:r>
    <w:r>
      <w:t xml:space="preserve"> | </w:t>
    </w: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A3CB" w14:textId="77777777" w:rsidR="00EF145E" w:rsidRDefault="00EF1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95B4" w14:textId="7F27A907" w:rsidR="00E3367B" w:rsidRPr="009267A9" w:rsidRDefault="00E3367B" w:rsidP="00392C60">
    <w:pPr>
      <w:pStyle w:val="FooterOdd"/>
      <w:tabs>
        <w:tab w:val="right" w:pos="9072"/>
      </w:tabs>
      <w:jc w:val="center"/>
    </w:pPr>
    <w:r w:rsidRPr="00103F3C">
      <w:rPr>
        <w:noProof/>
        <w:position w:val="-8"/>
      </w:rPr>
      <w:drawing>
        <wp:inline distT="0" distB="0" distL="0" distR="0" wp14:anchorId="0C5B0C23" wp14:editId="1BED4401">
          <wp:extent cx="1821600" cy="205200"/>
          <wp:effectExtent l="0" t="0" r="7620" b="4445"/>
          <wp:docPr id="286525846" name="Picture 286525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rsidR="00392C60">
      <w:tab/>
    </w:r>
    <w:r w:rsidR="00392C60">
      <w:tab/>
    </w:r>
    <w:r w:rsidR="00392C60">
      <w:tab/>
    </w:r>
    <w:r w:rsidR="00392C60">
      <w:tab/>
    </w:r>
    <w:r w:rsidR="00392C60">
      <w:tab/>
    </w:r>
    <w:r w:rsidR="00E42639">
      <w:fldChar w:fldCharType="begin"/>
    </w:r>
    <w:r w:rsidR="00E42639">
      <w:instrText xml:space="preserve"> STYLEREF  "Heading 1"  \* MERGEFORMAT </w:instrText>
    </w:r>
    <w:r w:rsidR="00E42639">
      <w:fldChar w:fldCharType="separate"/>
    </w:r>
    <w:r w:rsidR="00E42639">
      <w:rPr>
        <w:noProof/>
      </w:rPr>
      <w:t>Types of payment times reports</w:t>
    </w:r>
    <w:r w:rsidR="00E42639">
      <w:rPr>
        <w:noProof/>
      </w:rPr>
      <w:fldChar w:fldCharType="end"/>
    </w:r>
    <w:r>
      <w:t xml:space="preserve"> | </w:t>
    </w:r>
    <w:r>
      <w:fldChar w:fldCharType="begin"/>
    </w:r>
    <w:r>
      <w:instrText xml:space="preserve"> PAGE   \* MERGEFORMAT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A24E" w14:textId="77777777" w:rsidR="004D552F" w:rsidRDefault="004D552F">
      <w:pPr>
        <w:spacing w:before="0" w:after="0"/>
      </w:pPr>
      <w:r>
        <w:separator/>
      </w:r>
    </w:p>
  </w:footnote>
  <w:footnote w:type="continuationSeparator" w:id="0">
    <w:p w14:paraId="28FC32A7" w14:textId="77777777" w:rsidR="004D552F" w:rsidRDefault="004D552F">
      <w:pPr>
        <w:spacing w:before="0" w:after="0"/>
      </w:pPr>
      <w:r>
        <w:continuationSeparator/>
      </w:r>
    </w:p>
  </w:footnote>
  <w:footnote w:type="continuationNotice" w:id="1">
    <w:p w14:paraId="400ADD33" w14:textId="77777777" w:rsidR="004D552F" w:rsidRDefault="004D55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06D4" w14:textId="0986E8E8" w:rsidR="00EF145E" w:rsidRPr="001F3912" w:rsidRDefault="00E42639" w:rsidP="00A12F62">
    <w:pPr>
      <w:pStyle w:val="HeaderEven"/>
    </w:pPr>
    <w:r>
      <w:fldChar w:fldCharType="begin"/>
    </w:r>
    <w:r>
      <w:instrText xml:space="preserve"> STYLEREF  "Title"  \* MERGEFORMAT </w:instrText>
    </w:r>
    <w:r>
      <w:fldChar w:fldCharType="separate"/>
    </w:r>
    <w:r w:rsidR="00770B33">
      <w:rPr>
        <w:noProof/>
      </w:rPr>
      <w:t>Payment times reporting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08B0" w14:textId="77777777" w:rsidR="00EF145E" w:rsidRPr="00F836F9" w:rsidRDefault="00EF145E"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FCE4" w14:textId="77777777" w:rsidR="00EF145E" w:rsidRDefault="00EF1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5573" w14:textId="02297E09" w:rsidR="00770B33" w:rsidRPr="001F3912" w:rsidRDefault="00770B33" w:rsidP="00A12F62">
    <w:pPr>
      <w:pStyle w:val="HeaderEven"/>
    </w:pPr>
    <w:r>
      <w:rPr>
        <w:noProof/>
      </w:rPr>
      <w:drawing>
        <wp:anchor distT="0" distB="0" distL="114300" distR="114300" simplePos="0" relativeHeight="251658240" behindDoc="0" locked="0" layoutInCell="1" allowOverlap="0" wp14:anchorId="2B9D9C40" wp14:editId="587FFF1E">
          <wp:simplePos x="0" y="0"/>
          <wp:positionH relativeFrom="page">
            <wp:align>center</wp:align>
          </wp:positionH>
          <wp:positionV relativeFrom="page">
            <wp:align>top</wp:align>
          </wp:positionV>
          <wp:extent cx="7560000" cy="816968"/>
          <wp:effectExtent l="0" t="0" r="0" b="0"/>
          <wp:wrapNone/>
          <wp:docPr id="7838556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590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16968"/>
                  </a:xfrm>
                  <a:prstGeom prst="rect">
                    <a:avLst/>
                  </a:prstGeom>
                </pic:spPr>
              </pic:pic>
            </a:graphicData>
          </a:graphic>
          <wp14:sizeRelH relativeFrom="margin">
            <wp14:pctWidth>0</wp14:pctWidth>
          </wp14:sizeRelH>
          <wp14:sizeRelV relativeFrom="margin">
            <wp14:pctHeight>0</wp14:pctHeight>
          </wp14:sizeRelV>
        </wp:anchor>
      </w:drawing>
    </w:r>
    <w:r w:rsidR="00E42639">
      <w:fldChar w:fldCharType="begin"/>
    </w:r>
    <w:r w:rsidR="00E42639">
      <w:instrText xml:space="preserve"> STYLEREF  Title  \* MERGEFORMAT </w:instrText>
    </w:r>
    <w:r w:rsidR="00E42639">
      <w:fldChar w:fldCharType="separate"/>
    </w:r>
    <w:r w:rsidR="004B5245">
      <w:rPr>
        <w:noProof/>
      </w:rPr>
      <w:t>Payment times reporting</w:t>
    </w:r>
    <w:r w:rsidR="00E4263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D986" w14:textId="77777777" w:rsidR="00770B33" w:rsidRPr="001F3912" w:rsidRDefault="00770B33">
    <w:pPr>
      <w:pStyle w:val="Header"/>
    </w:pPr>
    <w:r>
      <w:rPr>
        <w:noProof/>
      </w:rPr>
      <w:drawing>
        <wp:anchor distT="0" distB="0" distL="114300" distR="114300" simplePos="0" relativeHeight="251658241" behindDoc="0" locked="0" layoutInCell="1" allowOverlap="0" wp14:anchorId="1A519FB5" wp14:editId="6670AAE1">
          <wp:simplePos x="0" y="0"/>
          <wp:positionH relativeFrom="page">
            <wp:align>center</wp:align>
          </wp:positionH>
          <wp:positionV relativeFrom="page">
            <wp:align>top</wp:align>
          </wp:positionV>
          <wp:extent cx="10836000" cy="817200"/>
          <wp:effectExtent l="0" t="0" r="0" b="0"/>
          <wp:wrapNone/>
          <wp:docPr id="15381146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7882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8360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E14743"/>
    <w:multiLevelType w:val="hybridMultilevel"/>
    <w:tmpl w:val="1B70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97DC52FC"/>
    <w:styleLink w:val="BulletedList"/>
    <w:lvl w:ilvl="0">
      <w:start w:val="1"/>
      <w:numFmt w:val="bullet"/>
      <w:lvlRestart w:val="0"/>
      <w:pStyle w:val="Bullet"/>
      <w:lvlText w:val="•"/>
      <w:lvlJc w:val="left"/>
      <w:pPr>
        <w:tabs>
          <w:tab w:val="num" w:pos="1020"/>
        </w:tabs>
        <w:ind w:left="1020" w:hanging="283"/>
      </w:pPr>
      <w:rPr>
        <w:rFonts w:ascii="Times New Roman" w:hAnsi="Times New Roman" w:cs="Times New Roman" w:hint="default"/>
        <w:b w:val="0"/>
        <w:i w:val="0"/>
      </w:rPr>
    </w:lvl>
    <w:lvl w:ilvl="1">
      <w:start w:val="1"/>
      <w:numFmt w:val="bullet"/>
      <w:pStyle w:val="Dash"/>
      <w:lvlText w:val="–"/>
      <w:lvlJc w:val="left"/>
      <w:pPr>
        <w:tabs>
          <w:tab w:val="num" w:pos="1304"/>
        </w:tabs>
        <w:ind w:left="1304" w:hanging="284"/>
      </w:pPr>
      <w:rPr>
        <w:rFonts w:ascii="Times New Roman" w:hAnsi="Times New Roman" w:cs="Times New Roman" w:hint="default"/>
        <w:b w:val="0"/>
        <w:i w:val="0"/>
      </w:rPr>
    </w:lvl>
    <w:lvl w:ilvl="2">
      <w:start w:val="1"/>
      <w:numFmt w:val="bullet"/>
      <w:pStyle w:val="DoubleDot"/>
      <w:lvlText w:val=":"/>
      <w:lvlJc w:val="left"/>
      <w:pPr>
        <w:tabs>
          <w:tab w:val="num" w:pos="1587"/>
        </w:tabs>
        <w:ind w:left="1587" w:hanging="283"/>
      </w:pPr>
      <w:rPr>
        <w:rFonts w:ascii="Times New Roman" w:hAnsi="Times New Roman" w:cs="Times New Roman" w:hint="default"/>
        <w:b w:val="0"/>
        <w:i w:val="0"/>
      </w:rPr>
    </w:lvl>
    <w:lvl w:ilvl="3">
      <w:start w:val="1"/>
      <w:numFmt w:val="decimal"/>
      <w:lvlText w:val="(%4)"/>
      <w:lvlJc w:val="left"/>
      <w:pPr>
        <w:tabs>
          <w:tab w:val="num" w:pos="2177"/>
        </w:tabs>
        <w:ind w:left="2177" w:hanging="360"/>
      </w:pPr>
      <w:rPr>
        <w:rFonts w:hint="default"/>
        <w:b w:val="0"/>
        <w:i w:val="0"/>
      </w:rPr>
    </w:lvl>
    <w:lvl w:ilvl="4">
      <w:start w:val="1"/>
      <w:numFmt w:val="lowerLetter"/>
      <w:lvlText w:val="(%5)"/>
      <w:lvlJc w:val="left"/>
      <w:pPr>
        <w:tabs>
          <w:tab w:val="num" w:pos="2537"/>
        </w:tabs>
        <w:ind w:left="2537" w:hanging="360"/>
      </w:pPr>
      <w:rPr>
        <w:rFonts w:hint="default"/>
        <w:b w:val="0"/>
        <w:i w:val="0"/>
      </w:rPr>
    </w:lvl>
    <w:lvl w:ilvl="5">
      <w:start w:val="1"/>
      <w:numFmt w:val="lowerRoman"/>
      <w:lvlText w:val="(%6)"/>
      <w:lvlJc w:val="left"/>
      <w:pPr>
        <w:tabs>
          <w:tab w:val="num" w:pos="2897"/>
        </w:tabs>
        <w:ind w:left="2897" w:hanging="360"/>
      </w:pPr>
      <w:rPr>
        <w:rFonts w:hint="default"/>
        <w:b w:val="0"/>
        <w:i w:val="0"/>
      </w:rPr>
    </w:lvl>
    <w:lvl w:ilvl="6">
      <w:start w:val="1"/>
      <w:numFmt w:val="decimal"/>
      <w:lvlText w:val="%7."/>
      <w:lvlJc w:val="left"/>
      <w:pPr>
        <w:tabs>
          <w:tab w:val="num" w:pos="3257"/>
        </w:tabs>
        <w:ind w:left="3257" w:hanging="360"/>
      </w:pPr>
      <w:rPr>
        <w:rFonts w:hint="default"/>
        <w:b w:val="0"/>
        <w:i w:val="0"/>
      </w:rPr>
    </w:lvl>
    <w:lvl w:ilvl="7">
      <w:start w:val="1"/>
      <w:numFmt w:val="lowerLetter"/>
      <w:lvlText w:val="%8."/>
      <w:lvlJc w:val="left"/>
      <w:pPr>
        <w:tabs>
          <w:tab w:val="num" w:pos="3617"/>
        </w:tabs>
        <w:ind w:left="3617" w:hanging="360"/>
      </w:pPr>
      <w:rPr>
        <w:rFonts w:hint="default"/>
        <w:b w:val="0"/>
        <w:i w:val="0"/>
      </w:rPr>
    </w:lvl>
    <w:lvl w:ilvl="8">
      <w:start w:val="1"/>
      <w:numFmt w:val="lowerRoman"/>
      <w:lvlText w:val="%9."/>
      <w:lvlJc w:val="left"/>
      <w:pPr>
        <w:tabs>
          <w:tab w:val="num" w:pos="3977"/>
        </w:tabs>
        <w:ind w:left="3977" w:hanging="360"/>
      </w:pPr>
      <w:rPr>
        <w:rFonts w:hint="default"/>
        <w:b w:val="0"/>
        <w:i w:val="0"/>
      </w:rPr>
    </w:lvl>
  </w:abstractNum>
  <w:abstractNum w:abstractNumId="9"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F45A1F"/>
    <w:multiLevelType w:val="multilevel"/>
    <w:tmpl w:val="3A764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A166B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4E735DA7"/>
    <w:multiLevelType w:val="hybridMultilevel"/>
    <w:tmpl w:val="BB122BF0"/>
    <w:lvl w:ilvl="0" w:tplc="054EDF7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7" w15:restartNumberingAfterBreak="0">
    <w:nsid w:val="510D2021"/>
    <w:multiLevelType w:val="multilevel"/>
    <w:tmpl w:val="72F8140E"/>
    <w:numStyleLink w:val="OutlineList"/>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AC4034"/>
    <w:multiLevelType w:val="multilevel"/>
    <w:tmpl w:val="36F4B566"/>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743E47B4"/>
    <w:multiLevelType w:val="multilevel"/>
    <w:tmpl w:val="A81CB998"/>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380284742">
    <w:abstractNumId w:val="8"/>
  </w:num>
  <w:num w:numId="2" w16cid:durableId="863714490">
    <w:abstractNumId w:val="0"/>
  </w:num>
  <w:num w:numId="3" w16cid:durableId="881357727">
    <w:abstractNumId w:val="11"/>
  </w:num>
  <w:num w:numId="4" w16cid:durableId="1808820169">
    <w:abstractNumId w:val="2"/>
  </w:num>
  <w:num w:numId="5" w16cid:durableId="913198201">
    <w:abstractNumId w:val="4"/>
  </w:num>
  <w:num w:numId="6" w16cid:durableId="1070807618">
    <w:abstractNumId w:val="17"/>
  </w:num>
  <w:num w:numId="7" w16cid:durableId="1711345892">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5"/>
  </w:num>
  <w:num w:numId="9" w16cid:durableId="1891191367">
    <w:abstractNumId w:val="1"/>
  </w:num>
  <w:num w:numId="10" w16cid:durableId="1757553467">
    <w:abstractNumId w:val="7"/>
  </w:num>
  <w:num w:numId="11" w16cid:durableId="1843157924">
    <w:abstractNumId w:val="22"/>
  </w:num>
  <w:num w:numId="12" w16cid:durableId="125466350">
    <w:abstractNumId w:val="17"/>
  </w:num>
  <w:num w:numId="13" w16cid:durableId="877358860">
    <w:abstractNumId w:val="23"/>
  </w:num>
  <w:num w:numId="14" w16cid:durableId="395056194">
    <w:abstractNumId w:val="14"/>
  </w:num>
  <w:num w:numId="15" w16cid:durableId="720783455">
    <w:abstractNumId w:val="6"/>
  </w:num>
  <w:num w:numId="16" w16cid:durableId="1440561816">
    <w:abstractNumId w:val="18"/>
  </w:num>
  <w:num w:numId="17" w16cid:durableId="1944991471">
    <w:abstractNumId w:val="10"/>
  </w:num>
  <w:num w:numId="18" w16cid:durableId="1783451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13911">
    <w:abstractNumId w:val="16"/>
  </w:num>
  <w:num w:numId="20" w16cid:durableId="546528509">
    <w:abstractNumId w:val="9"/>
  </w:num>
  <w:num w:numId="21" w16cid:durableId="1442724347">
    <w:abstractNumId w:val="3"/>
  </w:num>
  <w:num w:numId="22" w16cid:durableId="1298753416">
    <w:abstractNumId w:val="19"/>
  </w:num>
  <w:num w:numId="23" w16cid:durableId="144010375">
    <w:abstractNumId w:val="20"/>
  </w:num>
  <w:num w:numId="24" w16cid:durableId="163320649">
    <w:abstractNumId w:val="15"/>
  </w:num>
  <w:num w:numId="25" w16cid:durableId="1069767193">
    <w:abstractNumId w:val="13"/>
  </w:num>
  <w:num w:numId="26" w16cid:durableId="1044449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E9"/>
    <w:rsid w:val="00000813"/>
    <w:rsid w:val="00001B63"/>
    <w:rsid w:val="00002233"/>
    <w:rsid w:val="00006A7C"/>
    <w:rsid w:val="000076F2"/>
    <w:rsid w:val="0001081B"/>
    <w:rsid w:val="00011725"/>
    <w:rsid w:val="000129A3"/>
    <w:rsid w:val="00012C62"/>
    <w:rsid w:val="00012E21"/>
    <w:rsid w:val="0001396A"/>
    <w:rsid w:val="0001442D"/>
    <w:rsid w:val="00014651"/>
    <w:rsid w:val="000151AF"/>
    <w:rsid w:val="000155D1"/>
    <w:rsid w:val="00016278"/>
    <w:rsid w:val="00016586"/>
    <w:rsid w:val="000168FB"/>
    <w:rsid w:val="000171C4"/>
    <w:rsid w:val="00017284"/>
    <w:rsid w:val="00017827"/>
    <w:rsid w:val="00017892"/>
    <w:rsid w:val="00020891"/>
    <w:rsid w:val="000215B7"/>
    <w:rsid w:val="00021737"/>
    <w:rsid w:val="00022C29"/>
    <w:rsid w:val="00023953"/>
    <w:rsid w:val="00024FE4"/>
    <w:rsid w:val="0002544D"/>
    <w:rsid w:val="00025495"/>
    <w:rsid w:val="000264AF"/>
    <w:rsid w:val="00032FFF"/>
    <w:rsid w:val="0003451C"/>
    <w:rsid w:val="0003646B"/>
    <w:rsid w:val="0004119E"/>
    <w:rsid w:val="0004274D"/>
    <w:rsid w:val="00043049"/>
    <w:rsid w:val="00043348"/>
    <w:rsid w:val="0004483F"/>
    <w:rsid w:val="00045477"/>
    <w:rsid w:val="0005138B"/>
    <w:rsid w:val="000522B7"/>
    <w:rsid w:val="0005393B"/>
    <w:rsid w:val="00053DC5"/>
    <w:rsid w:val="00056880"/>
    <w:rsid w:val="00057035"/>
    <w:rsid w:val="00063550"/>
    <w:rsid w:val="00063C97"/>
    <w:rsid w:val="0006528D"/>
    <w:rsid w:val="00066980"/>
    <w:rsid w:val="00066BC8"/>
    <w:rsid w:val="000675D1"/>
    <w:rsid w:val="00067E5B"/>
    <w:rsid w:val="00070B60"/>
    <w:rsid w:val="00073521"/>
    <w:rsid w:val="00076654"/>
    <w:rsid w:val="00077094"/>
    <w:rsid w:val="000775DE"/>
    <w:rsid w:val="0008169A"/>
    <w:rsid w:val="00081879"/>
    <w:rsid w:val="000819D1"/>
    <w:rsid w:val="000840A8"/>
    <w:rsid w:val="00084582"/>
    <w:rsid w:val="00085D54"/>
    <w:rsid w:val="0008633C"/>
    <w:rsid w:val="00087A1D"/>
    <w:rsid w:val="00087FAF"/>
    <w:rsid w:val="000905B8"/>
    <w:rsid w:val="00092627"/>
    <w:rsid w:val="00092B08"/>
    <w:rsid w:val="00093D7C"/>
    <w:rsid w:val="00093ECA"/>
    <w:rsid w:val="000952A6"/>
    <w:rsid w:val="00097C0B"/>
    <w:rsid w:val="000A02A2"/>
    <w:rsid w:val="000A0396"/>
    <w:rsid w:val="000A2674"/>
    <w:rsid w:val="000A511A"/>
    <w:rsid w:val="000A51B2"/>
    <w:rsid w:val="000A7EB5"/>
    <w:rsid w:val="000B0B4D"/>
    <w:rsid w:val="000B1C8C"/>
    <w:rsid w:val="000B57D7"/>
    <w:rsid w:val="000B5FDB"/>
    <w:rsid w:val="000B68C7"/>
    <w:rsid w:val="000B6B86"/>
    <w:rsid w:val="000C112A"/>
    <w:rsid w:val="000C16DB"/>
    <w:rsid w:val="000C1BB6"/>
    <w:rsid w:val="000C1E3C"/>
    <w:rsid w:val="000C2C78"/>
    <w:rsid w:val="000C427D"/>
    <w:rsid w:val="000C571D"/>
    <w:rsid w:val="000C5C5C"/>
    <w:rsid w:val="000C5F40"/>
    <w:rsid w:val="000C6C95"/>
    <w:rsid w:val="000D01A4"/>
    <w:rsid w:val="000D024F"/>
    <w:rsid w:val="000D06F9"/>
    <w:rsid w:val="000D1151"/>
    <w:rsid w:val="000D2F3D"/>
    <w:rsid w:val="000D3946"/>
    <w:rsid w:val="000D46A7"/>
    <w:rsid w:val="000D4EBC"/>
    <w:rsid w:val="000D5DD0"/>
    <w:rsid w:val="000D737F"/>
    <w:rsid w:val="000D75D6"/>
    <w:rsid w:val="000E0B74"/>
    <w:rsid w:val="000E0CE4"/>
    <w:rsid w:val="000E2BC6"/>
    <w:rsid w:val="000E50B8"/>
    <w:rsid w:val="000E75D6"/>
    <w:rsid w:val="000E7901"/>
    <w:rsid w:val="000F0CB0"/>
    <w:rsid w:val="000F0CF1"/>
    <w:rsid w:val="000F2C98"/>
    <w:rsid w:val="000F391C"/>
    <w:rsid w:val="000F4D5E"/>
    <w:rsid w:val="000F744C"/>
    <w:rsid w:val="00102611"/>
    <w:rsid w:val="00104379"/>
    <w:rsid w:val="00104A8C"/>
    <w:rsid w:val="00104B77"/>
    <w:rsid w:val="0010660B"/>
    <w:rsid w:val="00106AE0"/>
    <w:rsid w:val="0011020F"/>
    <w:rsid w:val="00111C3C"/>
    <w:rsid w:val="00112CEF"/>
    <w:rsid w:val="0011417F"/>
    <w:rsid w:val="001169D8"/>
    <w:rsid w:val="00116EE4"/>
    <w:rsid w:val="00117696"/>
    <w:rsid w:val="001207B9"/>
    <w:rsid w:val="001210E8"/>
    <w:rsid w:val="001224D8"/>
    <w:rsid w:val="00122C68"/>
    <w:rsid w:val="00123DB1"/>
    <w:rsid w:val="0012619D"/>
    <w:rsid w:val="001266A7"/>
    <w:rsid w:val="00126EDE"/>
    <w:rsid w:val="00127028"/>
    <w:rsid w:val="0012760A"/>
    <w:rsid w:val="00131DBD"/>
    <w:rsid w:val="00131DC3"/>
    <w:rsid w:val="001326AC"/>
    <w:rsid w:val="00135E4C"/>
    <w:rsid w:val="001373F5"/>
    <w:rsid w:val="00140F45"/>
    <w:rsid w:val="001421CE"/>
    <w:rsid w:val="001422C1"/>
    <w:rsid w:val="00143952"/>
    <w:rsid w:val="00146FA2"/>
    <w:rsid w:val="00147433"/>
    <w:rsid w:val="00147934"/>
    <w:rsid w:val="001521C6"/>
    <w:rsid w:val="00152D3E"/>
    <w:rsid w:val="00154AF9"/>
    <w:rsid w:val="00154E2A"/>
    <w:rsid w:val="00154E2D"/>
    <w:rsid w:val="00156288"/>
    <w:rsid w:val="001566F9"/>
    <w:rsid w:val="00157192"/>
    <w:rsid w:val="001574C0"/>
    <w:rsid w:val="001606CF"/>
    <w:rsid w:val="0016128D"/>
    <w:rsid w:val="0016209D"/>
    <w:rsid w:val="0016299A"/>
    <w:rsid w:val="00162FF7"/>
    <w:rsid w:val="00164682"/>
    <w:rsid w:val="00164994"/>
    <w:rsid w:val="00164DBB"/>
    <w:rsid w:val="00170479"/>
    <w:rsid w:val="0017089D"/>
    <w:rsid w:val="00170A89"/>
    <w:rsid w:val="00171CDB"/>
    <w:rsid w:val="001727D8"/>
    <w:rsid w:val="00175D04"/>
    <w:rsid w:val="00176E4D"/>
    <w:rsid w:val="00181127"/>
    <w:rsid w:val="001814B4"/>
    <w:rsid w:val="001830D0"/>
    <w:rsid w:val="001848C8"/>
    <w:rsid w:val="00184DDA"/>
    <w:rsid w:val="0018582E"/>
    <w:rsid w:val="00186159"/>
    <w:rsid w:val="0018740B"/>
    <w:rsid w:val="001876C8"/>
    <w:rsid w:val="00187958"/>
    <w:rsid w:val="0019101A"/>
    <w:rsid w:val="001922BD"/>
    <w:rsid w:val="00192885"/>
    <w:rsid w:val="00195911"/>
    <w:rsid w:val="001972D2"/>
    <w:rsid w:val="001A143A"/>
    <w:rsid w:val="001A365E"/>
    <w:rsid w:val="001A40B5"/>
    <w:rsid w:val="001A460B"/>
    <w:rsid w:val="001A495E"/>
    <w:rsid w:val="001A4B2A"/>
    <w:rsid w:val="001A60B4"/>
    <w:rsid w:val="001A6BF7"/>
    <w:rsid w:val="001A7C58"/>
    <w:rsid w:val="001B2F33"/>
    <w:rsid w:val="001B3A4A"/>
    <w:rsid w:val="001B468A"/>
    <w:rsid w:val="001B4D7D"/>
    <w:rsid w:val="001C1899"/>
    <w:rsid w:val="001C30E7"/>
    <w:rsid w:val="001C358D"/>
    <w:rsid w:val="001C3FAB"/>
    <w:rsid w:val="001C49F1"/>
    <w:rsid w:val="001C7A18"/>
    <w:rsid w:val="001C7CA9"/>
    <w:rsid w:val="001D1919"/>
    <w:rsid w:val="001D1AFD"/>
    <w:rsid w:val="001D2514"/>
    <w:rsid w:val="001D26AD"/>
    <w:rsid w:val="001D3F37"/>
    <w:rsid w:val="001D5D6D"/>
    <w:rsid w:val="001D657F"/>
    <w:rsid w:val="001D6A4B"/>
    <w:rsid w:val="001D6B5B"/>
    <w:rsid w:val="001E049E"/>
    <w:rsid w:val="001E0B6F"/>
    <w:rsid w:val="001E1832"/>
    <w:rsid w:val="001E1C25"/>
    <w:rsid w:val="001E4347"/>
    <w:rsid w:val="001E6F82"/>
    <w:rsid w:val="001F05AF"/>
    <w:rsid w:val="001F09C1"/>
    <w:rsid w:val="001F1137"/>
    <w:rsid w:val="001F1B27"/>
    <w:rsid w:val="001F314C"/>
    <w:rsid w:val="001F4367"/>
    <w:rsid w:val="001F4F95"/>
    <w:rsid w:val="001F526B"/>
    <w:rsid w:val="001F5FF9"/>
    <w:rsid w:val="001F6CB8"/>
    <w:rsid w:val="001F75AD"/>
    <w:rsid w:val="00200FE0"/>
    <w:rsid w:val="00202EF2"/>
    <w:rsid w:val="00204801"/>
    <w:rsid w:val="00204E2F"/>
    <w:rsid w:val="0020728C"/>
    <w:rsid w:val="0020797F"/>
    <w:rsid w:val="002112EC"/>
    <w:rsid w:val="00215BBA"/>
    <w:rsid w:val="00215D13"/>
    <w:rsid w:val="002179AA"/>
    <w:rsid w:val="00221EC0"/>
    <w:rsid w:val="00224BE0"/>
    <w:rsid w:val="002259DD"/>
    <w:rsid w:val="00227110"/>
    <w:rsid w:val="0022755C"/>
    <w:rsid w:val="00227797"/>
    <w:rsid w:val="00227811"/>
    <w:rsid w:val="00231049"/>
    <w:rsid w:val="00231391"/>
    <w:rsid w:val="00231424"/>
    <w:rsid w:val="002314D2"/>
    <w:rsid w:val="00231760"/>
    <w:rsid w:val="00232B41"/>
    <w:rsid w:val="00232B6A"/>
    <w:rsid w:val="00232FD1"/>
    <w:rsid w:val="0023305C"/>
    <w:rsid w:val="00233D68"/>
    <w:rsid w:val="00235F1D"/>
    <w:rsid w:val="00236DB9"/>
    <w:rsid w:val="002375DC"/>
    <w:rsid w:val="002400B8"/>
    <w:rsid w:val="00241881"/>
    <w:rsid w:val="00242304"/>
    <w:rsid w:val="002423B9"/>
    <w:rsid w:val="0024294C"/>
    <w:rsid w:val="0024299A"/>
    <w:rsid w:val="00243993"/>
    <w:rsid w:val="00247BAC"/>
    <w:rsid w:val="00250B43"/>
    <w:rsid w:val="00251383"/>
    <w:rsid w:val="0025147C"/>
    <w:rsid w:val="00251D42"/>
    <w:rsid w:val="002536F9"/>
    <w:rsid w:val="00254949"/>
    <w:rsid w:val="0025652F"/>
    <w:rsid w:val="002565A7"/>
    <w:rsid w:val="00257764"/>
    <w:rsid w:val="00257938"/>
    <w:rsid w:val="00263114"/>
    <w:rsid w:val="00263B6C"/>
    <w:rsid w:val="002660A2"/>
    <w:rsid w:val="0026681B"/>
    <w:rsid w:val="002668EA"/>
    <w:rsid w:val="00266EE2"/>
    <w:rsid w:val="0026791C"/>
    <w:rsid w:val="00272939"/>
    <w:rsid w:val="00272AFD"/>
    <w:rsid w:val="0027575B"/>
    <w:rsid w:val="0027590B"/>
    <w:rsid w:val="00275FFE"/>
    <w:rsid w:val="00277B56"/>
    <w:rsid w:val="00281A9D"/>
    <w:rsid w:val="0028395E"/>
    <w:rsid w:val="00283E32"/>
    <w:rsid w:val="00284BFB"/>
    <w:rsid w:val="00285969"/>
    <w:rsid w:val="00286FBA"/>
    <w:rsid w:val="002909A8"/>
    <w:rsid w:val="00291CA1"/>
    <w:rsid w:val="00292069"/>
    <w:rsid w:val="00295229"/>
    <w:rsid w:val="00295B73"/>
    <w:rsid w:val="00296F7F"/>
    <w:rsid w:val="00297C25"/>
    <w:rsid w:val="002A0C6B"/>
    <w:rsid w:val="002A2804"/>
    <w:rsid w:val="002A30E2"/>
    <w:rsid w:val="002A42F0"/>
    <w:rsid w:val="002A59C2"/>
    <w:rsid w:val="002A5F6D"/>
    <w:rsid w:val="002A6195"/>
    <w:rsid w:val="002A72B4"/>
    <w:rsid w:val="002A74EF"/>
    <w:rsid w:val="002A7618"/>
    <w:rsid w:val="002A7690"/>
    <w:rsid w:val="002B10A3"/>
    <w:rsid w:val="002B2AF1"/>
    <w:rsid w:val="002B3829"/>
    <w:rsid w:val="002B3B82"/>
    <w:rsid w:val="002B42E8"/>
    <w:rsid w:val="002B5EC8"/>
    <w:rsid w:val="002B62D1"/>
    <w:rsid w:val="002B69A3"/>
    <w:rsid w:val="002B6C65"/>
    <w:rsid w:val="002C0D0F"/>
    <w:rsid w:val="002C2123"/>
    <w:rsid w:val="002C21A0"/>
    <w:rsid w:val="002C22EF"/>
    <w:rsid w:val="002C384E"/>
    <w:rsid w:val="002C41FB"/>
    <w:rsid w:val="002C43E6"/>
    <w:rsid w:val="002C5264"/>
    <w:rsid w:val="002C67AE"/>
    <w:rsid w:val="002C77FC"/>
    <w:rsid w:val="002C7EAE"/>
    <w:rsid w:val="002D138C"/>
    <w:rsid w:val="002D2288"/>
    <w:rsid w:val="002D2AA3"/>
    <w:rsid w:val="002D2DAB"/>
    <w:rsid w:val="002D2DD6"/>
    <w:rsid w:val="002E2041"/>
    <w:rsid w:val="002E454C"/>
    <w:rsid w:val="002F163E"/>
    <w:rsid w:val="002F2C64"/>
    <w:rsid w:val="002F5B1C"/>
    <w:rsid w:val="002F617F"/>
    <w:rsid w:val="002F6F5A"/>
    <w:rsid w:val="002F7D90"/>
    <w:rsid w:val="00300109"/>
    <w:rsid w:val="00300307"/>
    <w:rsid w:val="00301197"/>
    <w:rsid w:val="00301755"/>
    <w:rsid w:val="00304126"/>
    <w:rsid w:val="003045DF"/>
    <w:rsid w:val="0030569C"/>
    <w:rsid w:val="0030665E"/>
    <w:rsid w:val="00306894"/>
    <w:rsid w:val="003068A1"/>
    <w:rsid w:val="003075BB"/>
    <w:rsid w:val="0031202B"/>
    <w:rsid w:val="00312117"/>
    <w:rsid w:val="003122F4"/>
    <w:rsid w:val="00312664"/>
    <w:rsid w:val="0031369F"/>
    <w:rsid w:val="003136E2"/>
    <w:rsid w:val="00314F8D"/>
    <w:rsid w:val="00317181"/>
    <w:rsid w:val="003205D4"/>
    <w:rsid w:val="003213CB"/>
    <w:rsid w:val="00323F9B"/>
    <w:rsid w:val="00324BBE"/>
    <w:rsid w:val="00325D77"/>
    <w:rsid w:val="003261F5"/>
    <w:rsid w:val="003268D5"/>
    <w:rsid w:val="003304EB"/>
    <w:rsid w:val="003310D7"/>
    <w:rsid w:val="00332460"/>
    <w:rsid w:val="00332A11"/>
    <w:rsid w:val="00332D15"/>
    <w:rsid w:val="00334B90"/>
    <w:rsid w:val="00334F97"/>
    <w:rsid w:val="003352E1"/>
    <w:rsid w:val="003362C3"/>
    <w:rsid w:val="003365AE"/>
    <w:rsid w:val="00337E9E"/>
    <w:rsid w:val="003423D6"/>
    <w:rsid w:val="00342DA7"/>
    <w:rsid w:val="00342E03"/>
    <w:rsid w:val="00343B31"/>
    <w:rsid w:val="00343E10"/>
    <w:rsid w:val="00344167"/>
    <w:rsid w:val="003448F6"/>
    <w:rsid w:val="00344DD1"/>
    <w:rsid w:val="003452FB"/>
    <w:rsid w:val="00345700"/>
    <w:rsid w:val="00345D17"/>
    <w:rsid w:val="003472B8"/>
    <w:rsid w:val="00350759"/>
    <w:rsid w:val="00350F55"/>
    <w:rsid w:val="00354125"/>
    <w:rsid w:val="00354D27"/>
    <w:rsid w:val="0035503A"/>
    <w:rsid w:val="0035675C"/>
    <w:rsid w:val="0035738A"/>
    <w:rsid w:val="00362867"/>
    <w:rsid w:val="00363026"/>
    <w:rsid w:val="003630CB"/>
    <w:rsid w:val="00364466"/>
    <w:rsid w:val="00365EBE"/>
    <w:rsid w:val="00366212"/>
    <w:rsid w:val="00366D81"/>
    <w:rsid w:val="00366DA2"/>
    <w:rsid w:val="00366F36"/>
    <w:rsid w:val="00367F61"/>
    <w:rsid w:val="003703EE"/>
    <w:rsid w:val="0037089D"/>
    <w:rsid w:val="00370D19"/>
    <w:rsid w:val="00370E0A"/>
    <w:rsid w:val="00372125"/>
    <w:rsid w:val="003721C2"/>
    <w:rsid w:val="00373F17"/>
    <w:rsid w:val="003751DB"/>
    <w:rsid w:val="00375EAC"/>
    <w:rsid w:val="00376740"/>
    <w:rsid w:val="003767C6"/>
    <w:rsid w:val="003771C8"/>
    <w:rsid w:val="00382232"/>
    <w:rsid w:val="003829F8"/>
    <w:rsid w:val="00382A14"/>
    <w:rsid w:val="00383020"/>
    <w:rsid w:val="003831CE"/>
    <w:rsid w:val="0038357C"/>
    <w:rsid w:val="003836C8"/>
    <w:rsid w:val="003839AB"/>
    <w:rsid w:val="00383B0C"/>
    <w:rsid w:val="00384250"/>
    <w:rsid w:val="003851B2"/>
    <w:rsid w:val="003858A6"/>
    <w:rsid w:val="00385D44"/>
    <w:rsid w:val="003862D2"/>
    <w:rsid w:val="00387178"/>
    <w:rsid w:val="00390D22"/>
    <w:rsid w:val="00390FA0"/>
    <w:rsid w:val="003921EA"/>
    <w:rsid w:val="00392521"/>
    <w:rsid w:val="00392C60"/>
    <w:rsid w:val="00392DCC"/>
    <w:rsid w:val="0039441A"/>
    <w:rsid w:val="00394765"/>
    <w:rsid w:val="0039527B"/>
    <w:rsid w:val="003974A2"/>
    <w:rsid w:val="0039765A"/>
    <w:rsid w:val="00397795"/>
    <w:rsid w:val="003A1E61"/>
    <w:rsid w:val="003A275D"/>
    <w:rsid w:val="003A2D74"/>
    <w:rsid w:val="003A332A"/>
    <w:rsid w:val="003A47DF"/>
    <w:rsid w:val="003A5B36"/>
    <w:rsid w:val="003A5D8A"/>
    <w:rsid w:val="003A74C1"/>
    <w:rsid w:val="003A75DC"/>
    <w:rsid w:val="003B2B3A"/>
    <w:rsid w:val="003B2F8F"/>
    <w:rsid w:val="003B582C"/>
    <w:rsid w:val="003C039A"/>
    <w:rsid w:val="003C06D2"/>
    <w:rsid w:val="003C0A44"/>
    <w:rsid w:val="003C1658"/>
    <w:rsid w:val="003C24B4"/>
    <w:rsid w:val="003C2525"/>
    <w:rsid w:val="003C2DBB"/>
    <w:rsid w:val="003C3ACA"/>
    <w:rsid w:val="003C44FA"/>
    <w:rsid w:val="003C5BAF"/>
    <w:rsid w:val="003C6257"/>
    <w:rsid w:val="003C6387"/>
    <w:rsid w:val="003D08F8"/>
    <w:rsid w:val="003D0FEE"/>
    <w:rsid w:val="003D3FBE"/>
    <w:rsid w:val="003D77BF"/>
    <w:rsid w:val="003E0B9F"/>
    <w:rsid w:val="003E20D6"/>
    <w:rsid w:val="003E3020"/>
    <w:rsid w:val="003E3770"/>
    <w:rsid w:val="003E4D87"/>
    <w:rsid w:val="003E54E9"/>
    <w:rsid w:val="003E5BE2"/>
    <w:rsid w:val="003E5FC6"/>
    <w:rsid w:val="003E64A2"/>
    <w:rsid w:val="003E7D42"/>
    <w:rsid w:val="003F14DB"/>
    <w:rsid w:val="003F200F"/>
    <w:rsid w:val="003F318F"/>
    <w:rsid w:val="003F5263"/>
    <w:rsid w:val="003F6678"/>
    <w:rsid w:val="003F6B82"/>
    <w:rsid w:val="00400CDE"/>
    <w:rsid w:val="00400E64"/>
    <w:rsid w:val="00401082"/>
    <w:rsid w:val="00401389"/>
    <w:rsid w:val="004014D3"/>
    <w:rsid w:val="00401515"/>
    <w:rsid w:val="00401C2B"/>
    <w:rsid w:val="00401DB4"/>
    <w:rsid w:val="0040292B"/>
    <w:rsid w:val="004034DE"/>
    <w:rsid w:val="0040619F"/>
    <w:rsid w:val="00406921"/>
    <w:rsid w:val="0041008C"/>
    <w:rsid w:val="004100D2"/>
    <w:rsid w:val="00410538"/>
    <w:rsid w:val="0041096B"/>
    <w:rsid w:val="00411448"/>
    <w:rsid w:val="00412F7A"/>
    <w:rsid w:val="00416762"/>
    <w:rsid w:val="00416A41"/>
    <w:rsid w:val="00416E55"/>
    <w:rsid w:val="00417166"/>
    <w:rsid w:val="00420124"/>
    <w:rsid w:val="00420B27"/>
    <w:rsid w:val="004218EB"/>
    <w:rsid w:val="00423568"/>
    <w:rsid w:val="00423EA4"/>
    <w:rsid w:val="0042518A"/>
    <w:rsid w:val="0042555F"/>
    <w:rsid w:val="00426B59"/>
    <w:rsid w:val="004276A0"/>
    <w:rsid w:val="00427C05"/>
    <w:rsid w:val="00430363"/>
    <w:rsid w:val="00432880"/>
    <w:rsid w:val="00433CB6"/>
    <w:rsid w:val="00437F0E"/>
    <w:rsid w:val="004403E1"/>
    <w:rsid w:val="00440B2B"/>
    <w:rsid w:val="0044144B"/>
    <w:rsid w:val="00441547"/>
    <w:rsid w:val="00441B23"/>
    <w:rsid w:val="00441D11"/>
    <w:rsid w:val="00443137"/>
    <w:rsid w:val="00443D96"/>
    <w:rsid w:val="00444687"/>
    <w:rsid w:val="0044472B"/>
    <w:rsid w:val="00444C7F"/>
    <w:rsid w:val="00445265"/>
    <w:rsid w:val="00445D6B"/>
    <w:rsid w:val="004461C2"/>
    <w:rsid w:val="00446ED8"/>
    <w:rsid w:val="00447867"/>
    <w:rsid w:val="00451745"/>
    <w:rsid w:val="00451B5A"/>
    <w:rsid w:val="00451C34"/>
    <w:rsid w:val="004539C1"/>
    <w:rsid w:val="00455273"/>
    <w:rsid w:val="004559CE"/>
    <w:rsid w:val="004567AA"/>
    <w:rsid w:val="004602EB"/>
    <w:rsid w:val="004609AE"/>
    <w:rsid w:val="00460E1A"/>
    <w:rsid w:val="004614C5"/>
    <w:rsid w:val="00462385"/>
    <w:rsid w:val="00463DF8"/>
    <w:rsid w:val="00464D63"/>
    <w:rsid w:val="004657E6"/>
    <w:rsid w:val="00467FF1"/>
    <w:rsid w:val="00470BC8"/>
    <w:rsid w:val="00470E23"/>
    <w:rsid w:val="00471F71"/>
    <w:rsid w:val="00474030"/>
    <w:rsid w:val="00475085"/>
    <w:rsid w:val="0047541E"/>
    <w:rsid w:val="00476692"/>
    <w:rsid w:val="00476CF6"/>
    <w:rsid w:val="00477AA8"/>
    <w:rsid w:val="004801C2"/>
    <w:rsid w:val="004818EA"/>
    <w:rsid w:val="004837D2"/>
    <w:rsid w:val="004837F7"/>
    <w:rsid w:val="0048529E"/>
    <w:rsid w:val="00486575"/>
    <w:rsid w:val="00486EF5"/>
    <w:rsid w:val="004912C8"/>
    <w:rsid w:val="00492AE8"/>
    <w:rsid w:val="00492FCB"/>
    <w:rsid w:val="00494CD9"/>
    <w:rsid w:val="00495657"/>
    <w:rsid w:val="00496486"/>
    <w:rsid w:val="00497767"/>
    <w:rsid w:val="004A0F11"/>
    <w:rsid w:val="004A11C2"/>
    <w:rsid w:val="004A3359"/>
    <w:rsid w:val="004A3EAA"/>
    <w:rsid w:val="004A546F"/>
    <w:rsid w:val="004A7C15"/>
    <w:rsid w:val="004A7D97"/>
    <w:rsid w:val="004B07FD"/>
    <w:rsid w:val="004B1D71"/>
    <w:rsid w:val="004B3986"/>
    <w:rsid w:val="004B43F0"/>
    <w:rsid w:val="004B5133"/>
    <w:rsid w:val="004B5245"/>
    <w:rsid w:val="004C2647"/>
    <w:rsid w:val="004C2A8A"/>
    <w:rsid w:val="004C34FD"/>
    <w:rsid w:val="004C3D81"/>
    <w:rsid w:val="004C4155"/>
    <w:rsid w:val="004C41B6"/>
    <w:rsid w:val="004C56F8"/>
    <w:rsid w:val="004C710F"/>
    <w:rsid w:val="004C7184"/>
    <w:rsid w:val="004C786B"/>
    <w:rsid w:val="004C7FED"/>
    <w:rsid w:val="004D1335"/>
    <w:rsid w:val="004D1365"/>
    <w:rsid w:val="004D2C0D"/>
    <w:rsid w:val="004D34BB"/>
    <w:rsid w:val="004D4247"/>
    <w:rsid w:val="004D435B"/>
    <w:rsid w:val="004D49DD"/>
    <w:rsid w:val="004D552F"/>
    <w:rsid w:val="004D5AA0"/>
    <w:rsid w:val="004D6AE0"/>
    <w:rsid w:val="004D6E37"/>
    <w:rsid w:val="004E00EA"/>
    <w:rsid w:val="004E03E2"/>
    <w:rsid w:val="004E174C"/>
    <w:rsid w:val="004E3304"/>
    <w:rsid w:val="004E3B23"/>
    <w:rsid w:val="004E5C19"/>
    <w:rsid w:val="004F0CF4"/>
    <w:rsid w:val="004F111B"/>
    <w:rsid w:val="004F4B92"/>
    <w:rsid w:val="004F57F4"/>
    <w:rsid w:val="004F64F7"/>
    <w:rsid w:val="00500DD6"/>
    <w:rsid w:val="00501088"/>
    <w:rsid w:val="0050342D"/>
    <w:rsid w:val="0050375C"/>
    <w:rsid w:val="00504763"/>
    <w:rsid w:val="00505C25"/>
    <w:rsid w:val="005071F2"/>
    <w:rsid w:val="0050724E"/>
    <w:rsid w:val="00507D1D"/>
    <w:rsid w:val="005103E4"/>
    <w:rsid w:val="00513614"/>
    <w:rsid w:val="0051388B"/>
    <w:rsid w:val="0051511D"/>
    <w:rsid w:val="00515A2B"/>
    <w:rsid w:val="00515B2E"/>
    <w:rsid w:val="00516785"/>
    <w:rsid w:val="00516C9E"/>
    <w:rsid w:val="00516CE7"/>
    <w:rsid w:val="00520DC0"/>
    <w:rsid w:val="00521047"/>
    <w:rsid w:val="00522060"/>
    <w:rsid w:val="00523FC5"/>
    <w:rsid w:val="0052419D"/>
    <w:rsid w:val="00525241"/>
    <w:rsid w:val="00525265"/>
    <w:rsid w:val="00525A34"/>
    <w:rsid w:val="005276E6"/>
    <w:rsid w:val="0052780E"/>
    <w:rsid w:val="00527FE7"/>
    <w:rsid w:val="005301F8"/>
    <w:rsid w:val="005312FC"/>
    <w:rsid w:val="00531AFB"/>
    <w:rsid w:val="00531C62"/>
    <w:rsid w:val="0053396A"/>
    <w:rsid w:val="00533D3C"/>
    <w:rsid w:val="00533F7A"/>
    <w:rsid w:val="0053569E"/>
    <w:rsid w:val="00535AE4"/>
    <w:rsid w:val="00535F7A"/>
    <w:rsid w:val="0053603D"/>
    <w:rsid w:val="00536CD0"/>
    <w:rsid w:val="0053742A"/>
    <w:rsid w:val="00537C85"/>
    <w:rsid w:val="005402CD"/>
    <w:rsid w:val="00541C68"/>
    <w:rsid w:val="00541D29"/>
    <w:rsid w:val="00542113"/>
    <w:rsid w:val="005421A4"/>
    <w:rsid w:val="00543954"/>
    <w:rsid w:val="00543F2D"/>
    <w:rsid w:val="00546270"/>
    <w:rsid w:val="005517E3"/>
    <w:rsid w:val="00551901"/>
    <w:rsid w:val="00552D43"/>
    <w:rsid w:val="00552D4D"/>
    <w:rsid w:val="0055375A"/>
    <w:rsid w:val="00554213"/>
    <w:rsid w:val="00554555"/>
    <w:rsid w:val="00554EAD"/>
    <w:rsid w:val="005557D9"/>
    <w:rsid w:val="00556027"/>
    <w:rsid w:val="00556C51"/>
    <w:rsid w:val="00557706"/>
    <w:rsid w:val="00562039"/>
    <w:rsid w:val="0056263E"/>
    <w:rsid w:val="00562F17"/>
    <w:rsid w:val="005643D0"/>
    <w:rsid w:val="00564AD1"/>
    <w:rsid w:val="0056582C"/>
    <w:rsid w:val="00567424"/>
    <w:rsid w:val="00567818"/>
    <w:rsid w:val="00567B9F"/>
    <w:rsid w:val="00567DAC"/>
    <w:rsid w:val="00573A93"/>
    <w:rsid w:val="00575F0A"/>
    <w:rsid w:val="00576EF5"/>
    <w:rsid w:val="00580387"/>
    <w:rsid w:val="005812DA"/>
    <w:rsid w:val="0058173F"/>
    <w:rsid w:val="00581C01"/>
    <w:rsid w:val="00583559"/>
    <w:rsid w:val="00583BBA"/>
    <w:rsid w:val="005845E0"/>
    <w:rsid w:val="005868DE"/>
    <w:rsid w:val="005877AC"/>
    <w:rsid w:val="00590E89"/>
    <w:rsid w:val="00590EEE"/>
    <w:rsid w:val="005913F1"/>
    <w:rsid w:val="00592EBA"/>
    <w:rsid w:val="00593F1E"/>
    <w:rsid w:val="0059626B"/>
    <w:rsid w:val="00596571"/>
    <w:rsid w:val="005966B7"/>
    <w:rsid w:val="00596BD2"/>
    <w:rsid w:val="005977D3"/>
    <w:rsid w:val="005A0170"/>
    <w:rsid w:val="005A0AC4"/>
    <w:rsid w:val="005A1DF4"/>
    <w:rsid w:val="005A1F9B"/>
    <w:rsid w:val="005A3C77"/>
    <w:rsid w:val="005A5361"/>
    <w:rsid w:val="005A54BD"/>
    <w:rsid w:val="005A6460"/>
    <w:rsid w:val="005A64E4"/>
    <w:rsid w:val="005A7C27"/>
    <w:rsid w:val="005B001F"/>
    <w:rsid w:val="005B01A7"/>
    <w:rsid w:val="005B1782"/>
    <w:rsid w:val="005B2594"/>
    <w:rsid w:val="005B314D"/>
    <w:rsid w:val="005B33A4"/>
    <w:rsid w:val="005B3E52"/>
    <w:rsid w:val="005B4201"/>
    <w:rsid w:val="005B5DAC"/>
    <w:rsid w:val="005B5E2A"/>
    <w:rsid w:val="005B7015"/>
    <w:rsid w:val="005B746C"/>
    <w:rsid w:val="005B7B67"/>
    <w:rsid w:val="005C02A4"/>
    <w:rsid w:val="005C04C0"/>
    <w:rsid w:val="005C0ABE"/>
    <w:rsid w:val="005C10EA"/>
    <w:rsid w:val="005C181F"/>
    <w:rsid w:val="005C1BC2"/>
    <w:rsid w:val="005C20D2"/>
    <w:rsid w:val="005C2315"/>
    <w:rsid w:val="005C2D74"/>
    <w:rsid w:val="005C32FE"/>
    <w:rsid w:val="005C3FB5"/>
    <w:rsid w:val="005C43AA"/>
    <w:rsid w:val="005C503A"/>
    <w:rsid w:val="005C5A1F"/>
    <w:rsid w:val="005C66F6"/>
    <w:rsid w:val="005D024A"/>
    <w:rsid w:val="005D0431"/>
    <w:rsid w:val="005D13BC"/>
    <w:rsid w:val="005D19E8"/>
    <w:rsid w:val="005D2C32"/>
    <w:rsid w:val="005D392E"/>
    <w:rsid w:val="005D4FD4"/>
    <w:rsid w:val="005D56A0"/>
    <w:rsid w:val="005D6358"/>
    <w:rsid w:val="005D64BC"/>
    <w:rsid w:val="005D6C94"/>
    <w:rsid w:val="005D6D64"/>
    <w:rsid w:val="005D77DC"/>
    <w:rsid w:val="005E018D"/>
    <w:rsid w:val="005E05A0"/>
    <w:rsid w:val="005E078E"/>
    <w:rsid w:val="005E093F"/>
    <w:rsid w:val="005E3C62"/>
    <w:rsid w:val="005E3FF1"/>
    <w:rsid w:val="005E4B08"/>
    <w:rsid w:val="005F21D3"/>
    <w:rsid w:val="005F23FF"/>
    <w:rsid w:val="005F38FE"/>
    <w:rsid w:val="005F3980"/>
    <w:rsid w:val="005F3D66"/>
    <w:rsid w:val="005F4127"/>
    <w:rsid w:val="005F513F"/>
    <w:rsid w:val="005F5B72"/>
    <w:rsid w:val="00600075"/>
    <w:rsid w:val="00600A2D"/>
    <w:rsid w:val="00601650"/>
    <w:rsid w:val="00601F37"/>
    <w:rsid w:val="00602064"/>
    <w:rsid w:val="00603907"/>
    <w:rsid w:val="00604EEF"/>
    <w:rsid w:val="00605AFD"/>
    <w:rsid w:val="00605EB3"/>
    <w:rsid w:val="006123D4"/>
    <w:rsid w:val="0061378C"/>
    <w:rsid w:val="0061445B"/>
    <w:rsid w:val="00614AEF"/>
    <w:rsid w:val="006155D6"/>
    <w:rsid w:val="006159B8"/>
    <w:rsid w:val="00616778"/>
    <w:rsid w:val="00616A19"/>
    <w:rsid w:val="0062172F"/>
    <w:rsid w:val="006249D0"/>
    <w:rsid w:val="00624C4B"/>
    <w:rsid w:val="0063228D"/>
    <w:rsid w:val="0063239E"/>
    <w:rsid w:val="00632471"/>
    <w:rsid w:val="0063376A"/>
    <w:rsid w:val="0063463D"/>
    <w:rsid w:val="0063629D"/>
    <w:rsid w:val="00636BC6"/>
    <w:rsid w:val="00636C81"/>
    <w:rsid w:val="00636E85"/>
    <w:rsid w:val="00641ABC"/>
    <w:rsid w:val="0064224D"/>
    <w:rsid w:val="00643C1F"/>
    <w:rsid w:val="00644933"/>
    <w:rsid w:val="00644C3A"/>
    <w:rsid w:val="00644F98"/>
    <w:rsid w:val="006476BE"/>
    <w:rsid w:val="00650767"/>
    <w:rsid w:val="00651B5F"/>
    <w:rsid w:val="00655286"/>
    <w:rsid w:val="00655A5D"/>
    <w:rsid w:val="00655C2A"/>
    <w:rsid w:val="00655C6E"/>
    <w:rsid w:val="00655D6C"/>
    <w:rsid w:val="00655DB2"/>
    <w:rsid w:val="006564D3"/>
    <w:rsid w:val="0066024E"/>
    <w:rsid w:val="00660AE2"/>
    <w:rsid w:val="006618B6"/>
    <w:rsid w:val="00661A1D"/>
    <w:rsid w:val="0066381A"/>
    <w:rsid w:val="00663A1A"/>
    <w:rsid w:val="006643B6"/>
    <w:rsid w:val="00666B19"/>
    <w:rsid w:val="00667ACC"/>
    <w:rsid w:val="00667B97"/>
    <w:rsid w:val="00667F71"/>
    <w:rsid w:val="00670ED8"/>
    <w:rsid w:val="0067208D"/>
    <w:rsid w:val="00673264"/>
    <w:rsid w:val="00673B3B"/>
    <w:rsid w:val="00675FC4"/>
    <w:rsid w:val="0067622C"/>
    <w:rsid w:val="006765B5"/>
    <w:rsid w:val="006818FA"/>
    <w:rsid w:val="00681CE2"/>
    <w:rsid w:val="006835ED"/>
    <w:rsid w:val="00685CF7"/>
    <w:rsid w:val="00686165"/>
    <w:rsid w:val="0068668C"/>
    <w:rsid w:val="00691287"/>
    <w:rsid w:val="00691309"/>
    <w:rsid w:val="00691CB5"/>
    <w:rsid w:val="006923DF"/>
    <w:rsid w:val="0069254E"/>
    <w:rsid w:val="00694586"/>
    <w:rsid w:val="006946DF"/>
    <w:rsid w:val="0069529C"/>
    <w:rsid w:val="00695D0A"/>
    <w:rsid w:val="006969FE"/>
    <w:rsid w:val="00697FE0"/>
    <w:rsid w:val="006A029A"/>
    <w:rsid w:val="006A1AC9"/>
    <w:rsid w:val="006A35DE"/>
    <w:rsid w:val="006A37F5"/>
    <w:rsid w:val="006A3FBA"/>
    <w:rsid w:val="006A443F"/>
    <w:rsid w:val="006A4CC5"/>
    <w:rsid w:val="006A4DC6"/>
    <w:rsid w:val="006A4E40"/>
    <w:rsid w:val="006A5D5F"/>
    <w:rsid w:val="006A6C35"/>
    <w:rsid w:val="006B290E"/>
    <w:rsid w:val="006B3144"/>
    <w:rsid w:val="006B38FF"/>
    <w:rsid w:val="006B3DDE"/>
    <w:rsid w:val="006B59EB"/>
    <w:rsid w:val="006B677D"/>
    <w:rsid w:val="006B6960"/>
    <w:rsid w:val="006B6B3D"/>
    <w:rsid w:val="006C061F"/>
    <w:rsid w:val="006C08A3"/>
    <w:rsid w:val="006C0BD5"/>
    <w:rsid w:val="006C11A4"/>
    <w:rsid w:val="006C1892"/>
    <w:rsid w:val="006C25B1"/>
    <w:rsid w:val="006C2650"/>
    <w:rsid w:val="006C26F0"/>
    <w:rsid w:val="006C2C09"/>
    <w:rsid w:val="006C2FAE"/>
    <w:rsid w:val="006C3843"/>
    <w:rsid w:val="006C3CA6"/>
    <w:rsid w:val="006C4457"/>
    <w:rsid w:val="006C4ECF"/>
    <w:rsid w:val="006C5B73"/>
    <w:rsid w:val="006C5CF9"/>
    <w:rsid w:val="006C645D"/>
    <w:rsid w:val="006C6D65"/>
    <w:rsid w:val="006D0002"/>
    <w:rsid w:val="006D051B"/>
    <w:rsid w:val="006D20CE"/>
    <w:rsid w:val="006D244B"/>
    <w:rsid w:val="006D4ECC"/>
    <w:rsid w:val="006D54B4"/>
    <w:rsid w:val="006D568F"/>
    <w:rsid w:val="006D5DB6"/>
    <w:rsid w:val="006D6D5B"/>
    <w:rsid w:val="006E26D7"/>
    <w:rsid w:val="006E2D2A"/>
    <w:rsid w:val="006E383D"/>
    <w:rsid w:val="006E3CC3"/>
    <w:rsid w:val="006E3CD2"/>
    <w:rsid w:val="006E4919"/>
    <w:rsid w:val="006E558B"/>
    <w:rsid w:val="006E6D7F"/>
    <w:rsid w:val="006E7CE7"/>
    <w:rsid w:val="006F0DC0"/>
    <w:rsid w:val="006F22B0"/>
    <w:rsid w:val="006F3835"/>
    <w:rsid w:val="006F5F1F"/>
    <w:rsid w:val="0070053A"/>
    <w:rsid w:val="0070056D"/>
    <w:rsid w:val="00700A2E"/>
    <w:rsid w:val="00702413"/>
    <w:rsid w:val="0070363A"/>
    <w:rsid w:val="00703EE0"/>
    <w:rsid w:val="007040A8"/>
    <w:rsid w:val="00705426"/>
    <w:rsid w:val="00706CB0"/>
    <w:rsid w:val="00706E8E"/>
    <w:rsid w:val="00706F69"/>
    <w:rsid w:val="0070720A"/>
    <w:rsid w:val="00710BC2"/>
    <w:rsid w:val="00712D4A"/>
    <w:rsid w:val="0071306D"/>
    <w:rsid w:val="00716609"/>
    <w:rsid w:val="00716A7B"/>
    <w:rsid w:val="00717FF5"/>
    <w:rsid w:val="00720C4B"/>
    <w:rsid w:val="00722B53"/>
    <w:rsid w:val="0072388A"/>
    <w:rsid w:val="00723947"/>
    <w:rsid w:val="0072591E"/>
    <w:rsid w:val="00725BBD"/>
    <w:rsid w:val="00726ACC"/>
    <w:rsid w:val="00726C01"/>
    <w:rsid w:val="00726DCA"/>
    <w:rsid w:val="0072793B"/>
    <w:rsid w:val="0073019B"/>
    <w:rsid w:val="0073023A"/>
    <w:rsid w:val="007303A6"/>
    <w:rsid w:val="00731A9D"/>
    <w:rsid w:val="007323AF"/>
    <w:rsid w:val="00732EAA"/>
    <w:rsid w:val="0073315F"/>
    <w:rsid w:val="007331C0"/>
    <w:rsid w:val="007353CE"/>
    <w:rsid w:val="00736741"/>
    <w:rsid w:val="00740194"/>
    <w:rsid w:val="00740A79"/>
    <w:rsid w:val="007415CC"/>
    <w:rsid w:val="0074167B"/>
    <w:rsid w:val="00741A8B"/>
    <w:rsid w:val="0074209F"/>
    <w:rsid w:val="00743087"/>
    <w:rsid w:val="007436A2"/>
    <w:rsid w:val="0074447A"/>
    <w:rsid w:val="007509DD"/>
    <w:rsid w:val="00750B73"/>
    <w:rsid w:val="00753889"/>
    <w:rsid w:val="007540E3"/>
    <w:rsid w:val="00757706"/>
    <w:rsid w:val="00761A6E"/>
    <w:rsid w:val="00763474"/>
    <w:rsid w:val="0076395A"/>
    <w:rsid w:val="00763E2B"/>
    <w:rsid w:val="00764327"/>
    <w:rsid w:val="00766F8A"/>
    <w:rsid w:val="00767371"/>
    <w:rsid w:val="00770089"/>
    <w:rsid w:val="00770B33"/>
    <w:rsid w:val="0077189F"/>
    <w:rsid w:val="00771F49"/>
    <w:rsid w:val="0077267B"/>
    <w:rsid w:val="007736C6"/>
    <w:rsid w:val="00775B50"/>
    <w:rsid w:val="00776311"/>
    <w:rsid w:val="007777CB"/>
    <w:rsid w:val="0078344C"/>
    <w:rsid w:val="007846FF"/>
    <w:rsid w:val="00784930"/>
    <w:rsid w:val="00784C0A"/>
    <w:rsid w:val="00785607"/>
    <w:rsid w:val="00785A14"/>
    <w:rsid w:val="0079115D"/>
    <w:rsid w:val="00791832"/>
    <w:rsid w:val="00791F70"/>
    <w:rsid w:val="00794B40"/>
    <w:rsid w:val="00795233"/>
    <w:rsid w:val="00795A9B"/>
    <w:rsid w:val="00797762"/>
    <w:rsid w:val="0079778C"/>
    <w:rsid w:val="007A0CFC"/>
    <w:rsid w:val="007A1079"/>
    <w:rsid w:val="007A24B5"/>
    <w:rsid w:val="007A26FA"/>
    <w:rsid w:val="007A2CE9"/>
    <w:rsid w:val="007A5137"/>
    <w:rsid w:val="007A5728"/>
    <w:rsid w:val="007A57C3"/>
    <w:rsid w:val="007A5842"/>
    <w:rsid w:val="007A6F6B"/>
    <w:rsid w:val="007A77D8"/>
    <w:rsid w:val="007B100F"/>
    <w:rsid w:val="007B2677"/>
    <w:rsid w:val="007B3B2A"/>
    <w:rsid w:val="007B444D"/>
    <w:rsid w:val="007B5077"/>
    <w:rsid w:val="007B61DE"/>
    <w:rsid w:val="007B6493"/>
    <w:rsid w:val="007B7487"/>
    <w:rsid w:val="007B7530"/>
    <w:rsid w:val="007B768B"/>
    <w:rsid w:val="007B76AB"/>
    <w:rsid w:val="007C1CDB"/>
    <w:rsid w:val="007C6817"/>
    <w:rsid w:val="007D145D"/>
    <w:rsid w:val="007D1932"/>
    <w:rsid w:val="007D1D01"/>
    <w:rsid w:val="007D28F0"/>
    <w:rsid w:val="007D42E7"/>
    <w:rsid w:val="007D4A5C"/>
    <w:rsid w:val="007D592B"/>
    <w:rsid w:val="007D5AA6"/>
    <w:rsid w:val="007D7A91"/>
    <w:rsid w:val="007E0440"/>
    <w:rsid w:val="007E1D1A"/>
    <w:rsid w:val="007E5531"/>
    <w:rsid w:val="007E5741"/>
    <w:rsid w:val="007E5FA6"/>
    <w:rsid w:val="007E6456"/>
    <w:rsid w:val="007F4260"/>
    <w:rsid w:val="007F4B15"/>
    <w:rsid w:val="007F504D"/>
    <w:rsid w:val="007F513B"/>
    <w:rsid w:val="007F51BA"/>
    <w:rsid w:val="007F6972"/>
    <w:rsid w:val="007F76D1"/>
    <w:rsid w:val="007F7AE2"/>
    <w:rsid w:val="008003E8"/>
    <w:rsid w:val="00800B82"/>
    <w:rsid w:val="00801216"/>
    <w:rsid w:val="00801B69"/>
    <w:rsid w:val="0080434B"/>
    <w:rsid w:val="00807F2D"/>
    <w:rsid w:val="00810B53"/>
    <w:rsid w:val="00811943"/>
    <w:rsid w:val="00811C6E"/>
    <w:rsid w:val="00814644"/>
    <w:rsid w:val="008148EC"/>
    <w:rsid w:val="00815727"/>
    <w:rsid w:val="008204BA"/>
    <w:rsid w:val="0082219E"/>
    <w:rsid w:val="00822709"/>
    <w:rsid w:val="008228FC"/>
    <w:rsid w:val="00823954"/>
    <w:rsid w:val="0082467C"/>
    <w:rsid w:val="008307B8"/>
    <w:rsid w:val="00830FBA"/>
    <w:rsid w:val="008311B8"/>
    <w:rsid w:val="0083340D"/>
    <w:rsid w:val="00833524"/>
    <w:rsid w:val="00834243"/>
    <w:rsid w:val="00834BF8"/>
    <w:rsid w:val="0083526A"/>
    <w:rsid w:val="00835350"/>
    <w:rsid w:val="00835AA4"/>
    <w:rsid w:val="00836152"/>
    <w:rsid w:val="008364B9"/>
    <w:rsid w:val="00836A29"/>
    <w:rsid w:val="00836B21"/>
    <w:rsid w:val="0083772C"/>
    <w:rsid w:val="008401C1"/>
    <w:rsid w:val="00840327"/>
    <w:rsid w:val="008425B6"/>
    <w:rsid w:val="00842DAF"/>
    <w:rsid w:val="0084343A"/>
    <w:rsid w:val="00844312"/>
    <w:rsid w:val="008457AC"/>
    <w:rsid w:val="0084591C"/>
    <w:rsid w:val="008462D2"/>
    <w:rsid w:val="0084741C"/>
    <w:rsid w:val="008509BE"/>
    <w:rsid w:val="008535E1"/>
    <w:rsid w:val="00854F3E"/>
    <w:rsid w:val="0085535F"/>
    <w:rsid w:val="00857732"/>
    <w:rsid w:val="00857969"/>
    <w:rsid w:val="00861DD2"/>
    <w:rsid w:val="00862B9A"/>
    <w:rsid w:val="00865978"/>
    <w:rsid w:val="00866784"/>
    <w:rsid w:val="008667DE"/>
    <w:rsid w:val="0087101E"/>
    <w:rsid w:val="00871956"/>
    <w:rsid w:val="0087280F"/>
    <w:rsid w:val="00872D8A"/>
    <w:rsid w:val="008737C2"/>
    <w:rsid w:val="00874712"/>
    <w:rsid w:val="00877C23"/>
    <w:rsid w:val="0088264C"/>
    <w:rsid w:val="00882CC4"/>
    <w:rsid w:val="008844AC"/>
    <w:rsid w:val="00886897"/>
    <w:rsid w:val="00886DD9"/>
    <w:rsid w:val="00887000"/>
    <w:rsid w:val="00887F58"/>
    <w:rsid w:val="008905B9"/>
    <w:rsid w:val="00893B15"/>
    <w:rsid w:val="00894C04"/>
    <w:rsid w:val="008957BE"/>
    <w:rsid w:val="00895B7E"/>
    <w:rsid w:val="00896748"/>
    <w:rsid w:val="00896BAE"/>
    <w:rsid w:val="008A0EB3"/>
    <w:rsid w:val="008A42B5"/>
    <w:rsid w:val="008A4FE6"/>
    <w:rsid w:val="008A6A9E"/>
    <w:rsid w:val="008B02D8"/>
    <w:rsid w:val="008B03C9"/>
    <w:rsid w:val="008B46A9"/>
    <w:rsid w:val="008C2107"/>
    <w:rsid w:val="008C30ED"/>
    <w:rsid w:val="008C4022"/>
    <w:rsid w:val="008C5ABA"/>
    <w:rsid w:val="008C7F71"/>
    <w:rsid w:val="008D039B"/>
    <w:rsid w:val="008D0527"/>
    <w:rsid w:val="008D1905"/>
    <w:rsid w:val="008D2BC0"/>
    <w:rsid w:val="008D317E"/>
    <w:rsid w:val="008D339F"/>
    <w:rsid w:val="008D3969"/>
    <w:rsid w:val="008D5106"/>
    <w:rsid w:val="008D5A6F"/>
    <w:rsid w:val="008D71E0"/>
    <w:rsid w:val="008E1376"/>
    <w:rsid w:val="008E1F3F"/>
    <w:rsid w:val="008E2390"/>
    <w:rsid w:val="008E3605"/>
    <w:rsid w:val="008E3719"/>
    <w:rsid w:val="008E40CF"/>
    <w:rsid w:val="008E4D93"/>
    <w:rsid w:val="008E6292"/>
    <w:rsid w:val="008E6539"/>
    <w:rsid w:val="008E7734"/>
    <w:rsid w:val="008E7D04"/>
    <w:rsid w:val="008F0085"/>
    <w:rsid w:val="008F1FA0"/>
    <w:rsid w:val="008F23EB"/>
    <w:rsid w:val="008F29B5"/>
    <w:rsid w:val="008F5E70"/>
    <w:rsid w:val="008F665C"/>
    <w:rsid w:val="008F6C86"/>
    <w:rsid w:val="00900D9E"/>
    <w:rsid w:val="00903653"/>
    <w:rsid w:val="00904009"/>
    <w:rsid w:val="0090427D"/>
    <w:rsid w:val="00904A98"/>
    <w:rsid w:val="009050CF"/>
    <w:rsid w:val="009055DD"/>
    <w:rsid w:val="0090626B"/>
    <w:rsid w:val="00910173"/>
    <w:rsid w:val="00912003"/>
    <w:rsid w:val="00912AE5"/>
    <w:rsid w:val="00913FC1"/>
    <w:rsid w:val="00915F23"/>
    <w:rsid w:val="009161D8"/>
    <w:rsid w:val="00916C65"/>
    <w:rsid w:val="0091747F"/>
    <w:rsid w:val="009177A1"/>
    <w:rsid w:val="00917E28"/>
    <w:rsid w:val="0092168C"/>
    <w:rsid w:val="00921AA4"/>
    <w:rsid w:val="00921DE7"/>
    <w:rsid w:val="0092223B"/>
    <w:rsid w:val="0092309B"/>
    <w:rsid w:val="0092487B"/>
    <w:rsid w:val="0092517C"/>
    <w:rsid w:val="009253DF"/>
    <w:rsid w:val="009259D9"/>
    <w:rsid w:val="00925AA5"/>
    <w:rsid w:val="009267A9"/>
    <w:rsid w:val="009269F1"/>
    <w:rsid w:val="009279AF"/>
    <w:rsid w:val="009308A1"/>
    <w:rsid w:val="00930D20"/>
    <w:rsid w:val="0093123B"/>
    <w:rsid w:val="0093320F"/>
    <w:rsid w:val="00934021"/>
    <w:rsid w:val="009344EB"/>
    <w:rsid w:val="009352F1"/>
    <w:rsid w:val="0093540D"/>
    <w:rsid w:val="00936169"/>
    <w:rsid w:val="00937B32"/>
    <w:rsid w:val="00937C79"/>
    <w:rsid w:val="00937E6C"/>
    <w:rsid w:val="0094019D"/>
    <w:rsid w:val="009408F0"/>
    <w:rsid w:val="00940969"/>
    <w:rsid w:val="00941324"/>
    <w:rsid w:val="009423DB"/>
    <w:rsid w:val="00942601"/>
    <w:rsid w:val="00942C11"/>
    <w:rsid w:val="0094351F"/>
    <w:rsid w:val="00944B02"/>
    <w:rsid w:val="00945B26"/>
    <w:rsid w:val="009461FD"/>
    <w:rsid w:val="00950450"/>
    <w:rsid w:val="00950A4C"/>
    <w:rsid w:val="00950D25"/>
    <w:rsid w:val="00951FCE"/>
    <w:rsid w:val="009535AD"/>
    <w:rsid w:val="009535B3"/>
    <w:rsid w:val="00953D7F"/>
    <w:rsid w:val="009547F8"/>
    <w:rsid w:val="00954A2A"/>
    <w:rsid w:val="00954C78"/>
    <w:rsid w:val="00956BEF"/>
    <w:rsid w:val="00957794"/>
    <w:rsid w:val="00960631"/>
    <w:rsid w:val="00961781"/>
    <w:rsid w:val="00961AF6"/>
    <w:rsid w:val="00962F53"/>
    <w:rsid w:val="00963E8C"/>
    <w:rsid w:val="00966495"/>
    <w:rsid w:val="00966A2E"/>
    <w:rsid w:val="00966E5F"/>
    <w:rsid w:val="009704E1"/>
    <w:rsid w:val="00971764"/>
    <w:rsid w:val="00971934"/>
    <w:rsid w:val="0097204E"/>
    <w:rsid w:val="00972714"/>
    <w:rsid w:val="009729D4"/>
    <w:rsid w:val="00973307"/>
    <w:rsid w:val="009738ED"/>
    <w:rsid w:val="009753A8"/>
    <w:rsid w:val="00976FBD"/>
    <w:rsid w:val="00980759"/>
    <w:rsid w:val="009817B0"/>
    <w:rsid w:val="009820EB"/>
    <w:rsid w:val="009821CE"/>
    <w:rsid w:val="00982555"/>
    <w:rsid w:val="0098426B"/>
    <w:rsid w:val="00985443"/>
    <w:rsid w:val="00986024"/>
    <w:rsid w:val="009876BF"/>
    <w:rsid w:val="00991E86"/>
    <w:rsid w:val="009920F3"/>
    <w:rsid w:val="00992D1A"/>
    <w:rsid w:val="00996778"/>
    <w:rsid w:val="009A1375"/>
    <w:rsid w:val="009A277C"/>
    <w:rsid w:val="009A35B0"/>
    <w:rsid w:val="009A3908"/>
    <w:rsid w:val="009A3B19"/>
    <w:rsid w:val="009A45C3"/>
    <w:rsid w:val="009A49F1"/>
    <w:rsid w:val="009A658F"/>
    <w:rsid w:val="009A65C2"/>
    <w:rsid w:val="009A6921"/>
    <w:rsid w:val="009A6AA0"/>
    <w:rsid w:val="009A7D79"/>
    <w:rsid w:val="009B1E5D"/>
    <w:rsid w:val="009B2D19"/>
    <w:rsid w:val="009B3A63"/>
    <w:rsid w:val="009B4DB9"/>
    <w:rsid w:val="009B5EED"/>
    <w:rsid w:val="009B771F"/>
    <w:rsid w:val="009C1BB0"/>
    <w:rsid w:val="009C450C"/>
    <w:rsid w:val="009C47B3"/>
    <w:rsid w:val="009C48DA"/>
    <w:rsid w:val="009C5189"/>
    <w:rsid w:val="009C56AB"/>
    <w:rsid w:val="009C5D55"/>
    <w:rsid w:val="009C6D7C"/>
    <w:rsid w:val="009D068F"/>
    <w:rsid w:val="009D0892"/>
    <w:rsid w:val="009D0C4A"/>
    <w:rsid w:val="009D15F7"/>
    <w:rsid w:val="009D235B"/>
    <w:rsid w:val="009D4F12"/>
    <w:rsid w:val="009D66F3"/>
    <w:rsid w:val="009D7F07"/>
    <w:rsid w:val="009E171B"/>
    <w:rsid w:val="009E26BE"/>
    <w:rsid w:val="009E48BB"/>
    <w:rsid w:val="009E5AA4"/>
    <w:rsid w:val="009E6A11"/>
    <w:rsid w:val="009F13F1"/>
    <w:rsid w:val="009F2C81"/>
    <w:rsid w:val="009F3D14"/>
    <w:rsid w:val="009F5436"/>
    <w:rsid w:val="009F56AA"/>
    <w:rsid w:val="009F5ED3"/>
    <w:rsid w:val="009F654E"/>
    <w:rsid w:val="009F7688"/>
    <w:rsid w:val="00A015E8"/>
    <w:rsid w:val="00A033C8"/>
    <w:rsid w:val="00A03963"/>
    <w:rsid w:val="00A04A64"/>
    <w:rsid w:val="00A07C7E"/>
    <w:rsid w:val="00A07D47"/>
    <w:rsid w:val="00A12F62"/>
    <w:rsid w:val="00A14FE9"/>
    <w:rsid w:val="00A167CF"/>
    <w:rsid w:val="00A17679"/>
    <w:rsid w:val="00A1780F"/>
    <w:rsid w:val="00A23021"/>
    <w:rsid w:val="00A2455D"/>
    <w:rsid w:val="00A24669"/>
    <w:rsid w:val="00A25FA5"/>
    <w:rsid w:val="00A30489"/>
    <w:rsid w:val="00A30953"/>
    <w:rsid w:val="00A3258E"/>
    <w:rsid w:val="00A33D97"/>
    <w:rsid w:val="00A3401B"/>
    <w:rsid w:val="00A35C61"/>
    <w:rsid w:val="00A360B2"/>
    <w:rsid w:val="00A367F5"/>
    <w:rsid w:val="00A369B5"/>
    <w:rsid w:val="00A3749B"/>
    <w:rsid w:val="00A37D87"/>
    <w:rsid w:val="00A411D4"/>
    <w:rsid w:val="00A41857"/>
    <w:rsid w:val="00A41BA3"/>
    <w:rsid w:val="00A424D4"/>
    <w:rsid w:val="00A4374D"/>
    <w:rsid w:val="00A4397E"/>
    <w:rsid w:val="00A43C6E"/>
    <w:rsid w:val="00A44777"/>
    <w:rsid w:val="00A50D88"/>
    <w:rsid w:val="00A514C0"/>
    <w:rsid w:val="00A52B2E"/>
    <w:rsid w:val="00A56923"/>
    <w:rsid w:val="00A57531"/>
    <w:rsid w:val="00A576A6"/>
    <w:rsid w:val="00A6183C"/>
    <w:rsid w:val="00A62E42"/>
    <w:rsid w:val="00A64A71"/>
    <w:rsid w:val="00A64D53"/>
    <w:rsid w:val="00A64DE2"/>
    <w:rsid w:val="00A653A8"/>
    <w:rsid w:val="00A65E37"/>
    <w:rsid w:val="00A711C9"/>
    <w:rsid w:val="00A72960"/>
    <w:rsid w:val="00A72CF0"/>
    <w:rsid w:val="00A72D8F"/>
    <w:rsid w:val="00A74B89"/>
    <w:rsid w:val="00A7629F"/>
    <w:rsid w:val="00A768E8"/>
    <w:rsid w:val="00A77725"/>
    <w:rsid w:val="00A77EA4"/>
    <w:rsid w:val="00A81722"/>
    <w:rsid w:val="00A823BF"/>
    <w:rsid w:val="00A82D54"/>
    <w:rsid w:val="00A8308B"/>
    <w:rsid w:val="00A836D4"/>
    <w:rsid w:val="00A843B4"/>
    <w:rsid w:val="00A852BA"/>
    <w:rsid w:val="00A85894"/>
    <w:rsid w:val="00A85B64"/>
    <w:rsid w:val="00A85DF6"/>
    <w:rsid w:val="00A87B6A"/>
    <w:rsid w:val="00A91608"/>
    <w:rsid w:val="00A9160F"/>
    <w:rsid w:val="00A91CCF"/>
    <w:rsid w:val="00A93401"/>
    <w:rsid w:val="00A93452"/>
    <w:rsid w:val="00A96260"/>
    <w:rsid w:val="00A96499"/>
    <w:rsid w:val="00A96871"/>
    <w:rsid w:val="00A97DAC"/>
    <w:rsid w:val="00AA2001"/>
    <w:rsid w:val="00AA498D"/>
    <w:rsid w:val="00AA56D0"/>
    <w:rsid w:val="00AA6929"/>
    <w:rsid w:val="00AA7BAE"/>
    <w:rsid w:val="00AB0427"/>
    <w:rsid w:val="00AB2777"/>
    <w:rsid w:val="00AB2999"/>
    <w:rsid w:val="00AB3947"/>
    <w:rsid w:val="00AB7342"/>
    <w:rsid w:val="00AC0D67"/>
    <w:rsid w:val="00AC1064"/>
    <w:rsid w:val="00AC30EE"/>
    <w:rsid w:val="00AC3196"/>
    <w:rsid w:val="00AC5DEB"/>
    <w:rsid w:val="00AC60D4"/>
    <w:rsid w:val="00AC63B3"/>
    <w:rsid w:val="00AC6979"/>
    <w:rsid w:val="00AC7122"/>
    <w:rsid w:val="00AC7555"/>
    <w:rsid w:val="00AC7B13"/>
    <w:rsid w:val="00AC7D8E"/>
    <w:rsid w:val="00AD038B"/>
    <w:rsid w:val="00AD2DE8"/>
    <w:rsid w:val="00AD3541"/>
    <w:rsid w:val="00AD35AD"/>
    <w:rsid w:val="00AD3BAC"/>
    <w:rsid w:val="00AD5EE2"/>
    <w:rsid w:val="00AD688C"/>
    <w:rsid w:val="00AD6BF0"/>
    <w:rsid w:val="00AD6F4D"/>
    <w:rsid w:val="00AD7153"/>
    <w:rsid w:val="00AD7BE8"/>
    <w:rsid w:val="00AE0042"/>
    <w:rsid w:val="00AE11E4"/>
    <w:rsid w:val="00AE11FB"/>
    <w:rsid w:val="00AE27DB"/>
    <w:rsid w:val="00AE2F90"/>
    <w:rsid w:val="00AE4C18"/>
    <w:rsid w:val="00AE5D2A"/>
    <w:rsid w:val="00AE6428"/>
    <w:rsid w:val="00AE7131"/>
    <w:rsid w:val="00AE742D"/>
    <w:rsid w:val="00AE7C89"/>
    <w:rsid w:val="00AF02BF"/>
    <w:rsid w:val="00AF0304"/>
    <w:rsid w:val="00AF11B8"/>
    <w:rsid w:val="00AF1A4D"/>
    <w:rsid w:val="00AF29FF"/>
    <w:rsid w:val="00AF2F8A"/>
    <w:rsid w:val="00AF36C0"/>
    <w:rsid w:val="00AF380C"/>
    <w:rsid w:val="00AF5C70"/>
    <w:rsid w:val="00B01B30"/>
    <w:rsid w:val="00B0206F"/>
    <w:rsid w:val="00B02C8C"/>
    <w:rsid w:val="00B03DD6"/>
    <w:rsid w:val="00B03FFE"/>
    <w:rsid w:val="00B04380"/>
    <w:rsid w:val="00B0527F"/>
    <w:rsid w:val="00B06079"/>
    <w:rsid w:val="00B10B41"/>
    <w:rsid w:val="00B13F19"/>
    <w:rsid w:val="00B16495"/>
    <w:rsid w:val="00B167FF"/>
    <w:rsid w:val="00B16F02"/>
    <w:rsid w:val="00B2038C"/>
    <w:rsid w:val="00B203EA"/>
    <w:rsid w:val="00B20500"/>
    <w:rsid w:val="00B2151E"/>
    <w:rsid w:val="00B22010"/>
    <w:rsid w:val="00B22738"/>
    <w:rsid w:val="00B270F7"/>
    <w:rsid w:val="00B302F2"/>
    <w:rsid w:val="00B31305"/>
    <w:rsid w:val="00B321D1"/>
    <w:rsid w:val="00B32D00"/>
    <w:rsid w:val="00B337E3"/>
    <w:rsid w:val="00B3583B"/>
    <w:rsid w:val="00B36132"/>
    <w:rsid w:val="00B36510"/>
    <w:rsid w:val="00B36BAE"/>
    <w:rsid w:val="00B37A8F"/>
    <w:rsid w:val="00B40E61"/>
    <w:rsid w:val="00B41F35"/>
    <w:rsid w:val="00B429F4"/>
    <w:rsid w:val="00B43A3A"/>
    <w:rsid w:val="00B43CE1"/>
    <w:rsid w:val="00B44AF4"/>
    <w:rsid w:val="00B47E0B"/>
    <w:rsid w:val="00B51065"/>
    <w:rsid w:val="00B511A4"/>
    <w:rsid w:val="00B516CD"/>
    <w:rsid w:val="00B51AE7"/>
    <w:rsid w:val="00B51FBD"/>
    <w:rsid w:val="00B52630"/>
    <w:rsid w:val="00B5301A"/>
    <w:rsid w:val="00B545D0"/>
    <w:rsid w:val="00B54C4F"/>
    <w:rsid w:val="00B54DC5"/>
    <w:rsid w:val="00B557EC"/>
    <w:rsid w:val="00B55958"/>
    <w:rsid w:val="00B55F07"/>
    <w:rsid w:val="00B55F62"/>
    <w:rsid w:val="00B564E9"/>
    <w:rsid w:val="00B56E9A"/>
    <w:rsid w:val="00B57438"/>
    <w:rsid w:val="00B6354B"/>
    <w:rsid w:val="00B64C1C"/>
    <w:rsid w:val="00B65347"/>
    <w:rsid w:val="00B656AA"/>
    <w:rsid w:val="00B65D10"/>
    <w:rsid w:val="00B65DE1"/>
    <w:rsid w:val="00B70D10"/>
    <w:rsid w:val="00B7193D"/>
    <w:rsid w:val="00B71A49"/>
    <w:rsid w:val="00B71E6D"/>
    <w:rsid w:val="00B7389F"/>
    <w:rsid w:val="00B7485C"/>
    <w:rsid w:val="00B76565"/>
    <w:rsid w:val="00B76814"/>
    <w:rsid w:val="00B7742D"/>
    <w:rsid w:val="00B774C6"/>
    <w:rsid w:val="00B851B6"/>
    <w:rsid w:val="00B86C42"/>
    <w:rsid w:val="00B86C8A"/>
    <w:rsid w:val="00B873F2"/>
    <w:rsid w:val="00B87927"/>
    <w:rsid w:val="00B91669"/>
    <w:rsid w:val="00B91F37"/>
    <w:rsid w:val="00B95789"/>
    <w:rsid w:val="00B95D20"/>
    <w:rsid w:val="00B95D22"/>
    <w:rsid w:val="00B97980"/>
    <w:rsid w:val="00B97EFD"/>
    <w:rsid w:val="00BA02E8"/>
    <w:rsid w:val="00BA0DD5"/>
    <w:rsid w:val="00BA174B"/>
    <w:rsid w:val="00BA3744"/>
    <w:rsid w:val="00BA4F9F"/>
    <w:rsid w:val="00BA64E0"/>
    <w:rsid w:val="00BA7494"/>
    <w:rsid w:val="00BA7AED"/>
    <w:rsid w:val="00BB1B71"/>
    <w:rsid w:val="00BB23D1"/>
    <w:rsid w:val="00BB52E6"/>
    <w:rsid w:val="00BB5D6A"/>
    <w:rsid w:val="00BB7DE8"/>
    <w:rsid w:val="00BC0A21"/>
    <w:rsid w:val="00BC0B69"/>
    <w:rsid w:val="00BC10E7"/>
    <w:rsid w:val="00BC1297"/>
    <w:rsid w:val="00BC267F"/>
    <w:rsid w:val="00BC3E16"/>
    <w:rsid w:val="00BC40B7"/>
    <w:rsid w:val="00BC623B"/>
    <w:rsid w:val="00BC65B2"/>
    <w:rsid w:val="00BC7A36"/>
    <w:rsid w:val="00BC7AB3"/>
    <w:rsid w:val="00BD0E96"/>
    <w:rsid w:val="00BD26AA"/>
    <w:rsid w:val="00BD27DF"/>
    <w:rsid w:val="00BD454F"/>
    <w:rsid w:val="00BD708B"/>
    <w:rsid w:val="00BD7B49"/>
    <w:rsid w:val="00BE0769"/>
    <w:rsid w:val="00BE07FA"/>
    <w:rsid w:val="00BE269E"/>
    <w:rsid w:val="00BE6638"/>
    <w:rsid w:val="00BE73AD"/>
    <w:rsid w:val="00BF01CF"/>
    <w:rsid w:val="00BF0E35"/>
    <w:rsid w:val="00BF38E4"/>
    <w:rsid w:val="00BF3F5F"/>
    <w:rsid w:val="00BF44C8"/>
    <w:rsid w:val="00BF4BD0"/>
    <w:rsid w:val="00BF4CC4"/>
    <w:rsid w:val="00C01B5A"/>
    <w:rsid w:val="00C01DCC"/>
    <w:rsid w:val="00C02F29"/>
    <w:rsid w:val="00C13777"/>
    <w:rsid w:val="00C17944"/>
    <w:rsid w:val="00C201A0"/>
    <w:rsid w:val="00C202B3"/>
    <w:rsid w:val="00C20544"/>
    <w:rsid w:val="00C2138B"/>
    <w:rsid w:val="00C21EE0"/>
    <w:rsid w:val="00C22B14"/>
    <w:rsid w:val="00C23560"/>
    <w:rsid w:val="00C23B03"/>
    <w:rsid w:val="00C24709"/>
    <w:rsid w:val="00C30297"/>
    <w:rsid w:val="00C329AD"/>
    <w:rsid w:val="00C3451C"/>
    <w:rsid w:val="00C36203"/>
    <w:rsid w:val="00C367B7"/>
    <w:rsid w:val="00C40EFB"/>
    <w:rsid w:val="00C41F0C"/>
    <w:rsid w:val="00C41F91"/>
    <w:rsid w:val="00C424DD"/>
    <w:rsid w:val="00C450A1"/>
    <w:rsid w:val="00C465FF"/>
    <w:rsid w:val="00C469A5"/>
    <w:rsid w:val="00C47989"/>
    <w:rsid w:val="00C47EE9"/>
    <w:rsid w:val="00C51928"/>
    <w:rsid w:val="00C5225E"/>
    <w:rsid w:val="00C53CBF"/>
    <w:rsid w:val="00C54BE8"/>
    <w:rsid w:val="00C57343"/>
    <w:rsid w:val="00C57DE9"/>
    <w:rsid w:val="00C60B23"/>
    <w:rsid w:val="00C62BE7"/>
    <w:rsid w:val="00C6353D"/>
    <w:rsid w:val="00C66E56"/>
    <w:rsid w:val="00C675EA"/>
    <w:rsid w:val="00C710E5"/>
    <w:rsid w:val="00C72318"/>
    <w:rsid w:val="00C724E6"/>
    <w:rsid w:val="00C7413C"/>
    <w:rsid w:val="00C747A5"/>
    <w:rsid w:val="00C74E33"/>
    <w:rsid w:val="00C760A0"/>
    <w:rsid w:val="00C77636"/>
    <w:rsid w:val="00C8250A"/>
    <w:rsid w:val="00C82775"/>
    <w:rsid w:val="00C82F16"/>
    <w:rsid w:val="00C85314"/>
    <w:rsid w:val="00C85BCB"/>
    <w:rsid w:val="00C85D90"/>
    <w:rsid w:val="00C86DEE"/>
    <w:rsid w:val="00C876F9"/>
    <w:rsid w:val="00C904A8"/>
    <w:rsid w:val="00C91B3C"/>
    <w:rsid w:val="00C91D0F"/>
    <w:rsid w:val="00C94B82"/>
    <w:rsid w:val="00C953F2"/>
    <w:rsid w:val="00C95BFD"/>
    <w:rsid w:val="00C95D20"/>
    <w:rsid w:val="00C964C8"/>
    <w:rsid w:val="00CA0116"/>
    <w:rsid w:val="00CA13AA"/>
    <w:rsid w:val="00CA1B42"/>
    <w:rsid w:val="00CA1F53"/>
    <w:rsid w:val="00CA3A09"/>
    <w:rsid w:val="00CA40BC"/>
    <w:rsid w:val="00CA44C2"/>
    <w:rsid w:val="00CA4BC0"/>
    <w:rsid w:val="00CA5AE9"/>
    <w:rsid w:val="00CA5CA8"/>
    <w:rsid w:val="00CA5EC4"/>
    <w:rsid w:val="00CA7300"/>
    <w:rsid w:val="00CB0157"/>
    <w:rsid w:val="00CB3064"/>
    <w:rsid w:val="00CB3082"/>
    <w:rsid w:val="00CB3D83"/>
    <w:rsid w:val="00CB43BE"/>
    <w:rsid w:val="00CB5205"/>
    <w:rsid w:val="00CB6042"/>
    <w:rsid w:val="00CB72BF"/>
    <w:rsid w:val="00CC1261"/>
    <w:rsid w:val="00CC4F68"/>
    <w:rsid w:val="00CC559D"/>
    <w:rsid w:val="00CD0381"/>
    <w:rsid w:val="00CD1C4D"/>
    <w:rsid w:val="00CD2670"/>
    <w:rsid w:val="00CD2A56"/>
    <w:rsid w:val="00CD34D9"/>
    <w:rsid w:val="00CD38D7"/>
    <w:rsid w:val="00CD3A5F"/>
    <w:rsid w:val="00CD654B"/>
    <w:rsid w:val="00CD7689"/>
    <w:rsid w:val="00CE0B7B"/>
    <w:rsid w:val="00CE223E"/>
    <w:rsid w:val="00CE2CAC"/>
    <w:rsid w:val="00CE3DB4"/>
    <w:rsid w:val="00CE5028"/>
    <w:rsid w:val="00CE50EC"/>
    <w:rsid w:val="00CE60CE"/>
    <w:rsid w:val="00CE6C2D"/>
    <w:rsid w:val="00CF0762"/>
    <w:rsid w:val="00CF3F0D"/>
    <w:rsid w:val="00CF4C22"/>
    <w:rsid w:val="00CF5E05"/>
    <w:rsid w:val="00CF6366"/>
    <w:rsid w:val="00CF6F01"/>
    <w:rsid w:val="00CF7709"/>
    <w:rsid w:val="00D000A2"/>
    <w:rsid w:val="00D0047C"/>
    <w:rsid w:val="00D00ED0"/>
    <w:rsid w:val="00D02EEA"/>
    <w:rsid w:val="00D03DED"/>
    <w:rsid w:val="00D060D8"/>
    <w:rsid w:val="00D06210"/>
    <w:rsid w:val="00D101F7"/>
    <w:rsid w:val="00D102E8"/>
    <w:rsid w:val="00D1080F"/>
    <w:rsid w:val="00D12186"/>
    <w:rsid w:val="00D13F9A"/>
    <w:rsid w:val="00D145F5"/>
    <w:rsid w:val="00D149B7"/>
    <w:rsid w:val="00D15374"/>
    <w:rsid w:val="00D15B5D"/>
    <w:rsid w:val="00D179D3"/>
    <w:rsid w:val="00D17D83"/>
    <w:rsid w:val="00D20775"/>
    <w:rsid w:val="00D20F5B"/>
    <w:rsid w:val="00D2115E"/>
    <w:rsid w:val="00D21854"/>
    <w:rsid w:val="00D23E90"/>
    <w:rsid w:val="00D25948"/>
    <w:rsid w:val="00D25AF4"/>
    <w:rsid w:val="00D260CC"/>
    <w:rsid w:val="00D26773"/>
    <w:rsid w:val="00D27130"/>
    <w:rsid w:val="00D271B8"/>
    <w:rsid w:val="00D27E14"/>
    <w:rsid w:val="00D31FD0"/>
    <w:rsid w:val="00D32815"/>
    <w:rsid w:val="00D336BB"/>
    <w:rsid w:val="00D346F0"/>
    <w:rsid w:val="00D34BB4"/>
    <w:rsid w:val="00D350CE"/>
    <w:rsid w:val="00D355F0"/>
    <w:rsid w:val="00D36043"/>
    <w:rsid w:val="00D36AE1"/>
    <w:rsid w:val="00D36D4D"/>
    <w:rsid w:val="00D40744"/>
    <w:rsid w:val="00D40767"/>
    <w:rsid w:val="00D407F4"/>
    <w:rsid w:val="00D41B10"/>
    <w:rsid w:val="00D43AC8"/>
    <w:rsid w:val="00D43D10"/>
    <w:rsid w:val="00D44448"/>
    <w:rsid w:val="00D45C1B"/>
    <w:rsid w:val="00D47AA4"/>
    <w:rsid w:val="00D52D5E"/>
    <w:rsid w:val="00D530C4"/>
    <w:rsid w:val="00D542B4"/>
    <w:rsid w:val="00D55740"/>
    <w:rsid w:val="00D56113"/>
    <w:rsid w:val="00D61521"/>
    <w:rsid w:val="00D6294C"/>
    <w:rsid w:val="00D640B1"/>
    <w:rsid w:val="00D64285"/>
    <w:rsid w:val="00D64F8D"/>
    <w:rsid w:val="00D6510C"/>
    <w:rsid w:val="00D6590C"/>
    <w:rsid w:val="00D65F67"/>
    <w:rsid w:val="00D66A6B"/>
    <w:rsid w:val="00D72E8A"/>
    <w:rsid w:val="00D736E4"/>
    <w:rsid w:val="00D7445E"/>
    <w:rsid w:val="00D81D16"/>
    <w:rsid w:val="00D82CAE"/>
    <w:rsid w:val="00D833D9"/>
    <w:rsid w:val="00D83BD9"/>
    <w:rsid w:val="00D84593"/>
    <w:rsid w:val="00D84C9B"/>
    <w:rsid w:val="00D86D95"/>
    <w:rsid w:val="00D86DA4"/>
    <w:rsid w:val="00D91558"/>
    <w:rsid w:val="00D9223B"/>
    <w:rsid w:val="00D92659"/>
    <w:rsid w:val="00D9307C"/>
    <w:rsid w:val="00D94DCF"/>
    <w:rsid w:val="00D94EAE"/>
    <w:rsid w:val="00D95B27"/>
    <w:rsid w:val="00D963F1"/>
    <w:rsid w:val="00D9787F"/>
    <w:rsid w:val="00DA0BA4"/>
    <w:rsid w:val="00DA1BF5"/>
    <w:rsid w:val="00DA1C41"/>
    <w:rsid w:val="00DA3562"/>
    <w:rsid w:val="00DA3762"/>
    <w:rsid w:val="00DA50EE"/>
    <w:rsid w:val="00DA586F"/>
    <w:rsid w:val="00DA5EBF"/>
    <w:rsid w:val="00DB08DA"/>
    <w:rsid w:val="00DB0CE6"/>
    <w:rsid w:val="00DB0FD8"/>
    <w:rsid w:val="00DB144D"/>
    <w:rsid w:val="00DB17AA"/>
    <w:rsid w:val="00DB1FD0"/>
    <w:rsid w:val="00DB45E1"/>
    <w:rsid w:val="00DB4E69"/>
    <w:rsid w:val="00DB57D0"/>
    <w:rsid w:val="00DB7ECA"/>
    <w:rsid w:val="00DB7F09"/>
    <w:rsid w:val="00DC00E8"/>
    <w:rsid w:val="00DC12D4"/>
    <w:rsid w:val="00DC18D5"/>
    <w:rsid w:val="00DC1C56"/>
    <w:rsid w:val="00DC3F69"/>
    <w:rsid w:val="00DC4756"/>
    <w:rsid w:val="00DC4A8F"/>
    <w:rsid w:val="00DC4B8E"/>
    <w:rsid w:val="00DC6379"/>
    <w:rsid w:val="00DC7095"/>
    <w:rsid w:val="00DD0FF3"/>
    <w:rsid w:val="00DD1BFE"/>
    <w:rsid w:val="00DD1C15"/>
    <w:rsid w:val="00DD1E37"/>
    <w:rsid w:val="00DD20AC"/>
    <w:rsid w:val="00DD6381"/>
    <w:rsid w:val="00DD6D2B"/>
    <w:rsid w:val="00DE0431"/>
    <w:rsid w:val="00DE151C"/>
    <w:rsid w:val="00DE2854"/>
    <w:rsid w:val="00DE2866"/>
    <w:rsid w:val="00DE2DFA"/>
    <w:rsid w:val="00DE3C77"/>
    <w:rsid w:val="00DE4C60"/>
    <w:rsid w:val="00DE5C4C"/>
    <w:rsid w:val="00DE617B"/>
    <w:rsid w:val="00DE6480"/>
    <w:rsid w:val="00DE71C8"/>
    <w:rsid w:val="00DE7E67"/>
    <w:rsid w:val="00DF08A4"/>
    <w:rsid w:val="00DF0A0C"/>
    <w:rsid w:val="00DF1A21"/>
    <w:rsid w:val="00DF2B22"/>
    <w:rsid w:val="00DF31BF"/>
    <w:rsid w:val="00DF4DD1"/>
    <w:rsid w:val="00DF6F61"/>
    <w:rsid w:val="00E0076E"/>
    <w:rsid w:val="00E00D0F"/>
    <w:rsid w:val="00E01230"/>
    <w:rsid w:val="00E012F6"/>
    <w:rsid w:val="00E023EA"/>
    <w:rsid w:val="00E0356B"/>
    <w:rsid w:val="00E038D4"/>
    <w:rsid w:val="00E03BF6"/>
    <w:rsid w:val="00E05BC9"/>
    <w:rsid w:val="00E07429"/>
    <w:rsid w:val="00E07B87"/>
    <w:rsid w:val="00E07E48"/>
    <w:rsid w:val="00E07F18"/>
    <w:rsid w:val="00E101C6"/>
    <w:rsid w:val="00E113FC"/>
    <w:rsid w:val="00E11D03"/>
    <w:rsid w:val="00E11F93"/>
    <w:rsid w:val="00E12401"/>
    <w:rsid w:val="00E14C07"/>
    <w:rsid w:val="00E15843"/>
    <w:rsid w:val="00E166F9"/>
    <w:rsid w:val="00E16CFA"/>
    <w:rsid w:val="00E201ED"/>
    <w:rsid w:val="00E2269A"/>
    <w:rsid w:val="00E22D51"/>
    <w:rsid w:val="00E23C66"/>
    <w:rsid w:val="00E278EF"/>
    <w:rsid w:val="00E27AB2"/>
    <w:rsid w:val="00E27B44"/>
    <w:rsid w:val="00E3048B"/>
    <w:rsid w:val="00E3082E"/>
    <w:rsid w:val="00E31FA3"/>
    <w:rsid w:val="00E3357B"/>
    <w:rsid w:val="00E335B6"/>
    <w:rsid w:val="00E3367B"/>
    <w:rsid w:val="00E3372F"/>
    <w:rsid w:val="00E37B91"/>
    <w:rsid w:val="00E37CF0"/>
    <w:rsid w:val="00E40562"/>
    <w:rsid w:val="00E41035"/>
    <w:rsid w:val="00E412DA"/>
    <w:rsid w:val="00E414B9"/>
    <w:rsid w:val="00E42639"/>
    <w:rsid w:val="00E434ED"/>
    <w:rsid w:val="00E43FEA"/>
    <w:rsid w:val="00E4418A"/>
    <w:rsid w:val="00E4495B"/>
    <w:rsid w:val="00E451A7"/>
    <w:rsid w:val="00E477F0"/>
    <w:rsid w:val="00E50E7C"/>
    <w:rsid w:val="00E513AD"/>
    <w:rsid w:val="00E51545"/>
    <w:rsid w:val="00E51C0B"/>
    <w:rsid w:val="00E51D9E"/>
    <w:rsid w:val="00E5262E"/>
    <w:rsid w:val="00E5303C"/>
    <w:rsid w:val="00E537D1"/>
    <w:rsid w:val="00E567E6"/>
    <w:rsid w:val="00E56971"/>
    <w:rsid w:val="00E56FA3"/>
    <w:rsid w:val="00E5776E"/>
    <w:rsid w:val="00E60C80"/>
    <w:rsid w:val="00E61484"/>
    <w:rsid w:val="00E62962"/>
    <w:rsid w:val="00E63568"/>
    <w:rsid w:val="00E63785"/>
    <w:rsid w:val="00E6510B"/>
    <w:rsid w:val="00E657F1"/>
    <w:rsid w:val="00E65C03"/>
    <w:rsid w:val="00E6707D"/>
    <w:rsid w:val="00E711D7"/>
    <w:rsid w:val="00E71476"/>
    <w:rsid w:val="00E7200F"/>
    <w:rsid w:val="00E748B0"/>
    <w:rsid w:val="00E76326"/>
    <w:rsid w:val="00E77D3F"/>
    <w:rsid w:val="00E804B9"/>
    <w:rsid w:val="00E8071D"/>
    <w:rsid w:val="00E80B69"/>
    <w:rsid w:val="00E815E1"/>
    <w:rsid w:val="00E82192"/>
    <w:rsid w:val="00E82E0C"/>
    <w:rsid w:val="00E82F73"/>
    <w:rsid w:val="00E832A6"/>
    <w:rsid w:val="00E833C3"/>
    <w:rsid w:val="00E83577"/>
    <w:rsid w:val="00E864DF"/>
    <w:rsid w:val="00E86C1F"/>
    <w:rsid w:val="00E902B0"/>
    <w:rsid w:val="00E902E8"/>
    <w:rsid w:val="00E91112"/>
    <w:rsid w:val="00E948C7"/>
    <w:rsid w:val="00E94D13"/>
    <w:rsid w:val="00EA1AFD"/>
    <w:rsid w:val="00EA23AC"/>
    <w:rsid w:val="00EA2B87"/>
    <w:rsid w:val="00EA36C4"/>
    <w:rsid w:val="00EA6CCB"/>
    <w:rsid w:val="00EA6F28"/>
    <w:rsid w:val="00EA75E6"/>
    <w:rsid w:val="00EA7922"/>
    <w:rsid w:val="00EA7C3D"/>
    <w:rsid w:val="00EB0044"/>
    <w:rsid w:val="00EB0949"/>
    <w:rsid w:val="00EB1455"/>
    <w:rsid w:val="00EB2FD8"/>
    <w:rsid w:val="00EB5586"/>
    <w:rsid w:val="00EB6878"/>
    <w:rsid w:val="00EB7EAF"/>
    <w:rsid w:val="00EC0BCF"/>
    <w:rsid w:val="00EC106E"/>
    <w:rsid w:val="00EC1E0E"/>
    <w:rsid w:val="00EC236D"/>
    <w:rsid w:val="00EC59B8"/>
    <w:rsid w:val="00EC59E9"/>
    <w:rsid w:val="00EC6B16"/>
    <w:rsid w:val="00EC6C5D"/>
    <w:rsid w:val="00EC7606"/>
    <w:rsid w:val="00ED023A"/>
    <w:rsid w:val="00ED1864"/>
    <w:rsid w:val="00ED1ADC"/>
    <w:rsid w:val="00ED4AD0"/>
    <w:rsid w:val="00ED67D2"/>
    <w:rsid w:val="00ED69DD"/>
    <w:rsid w:val="00ED7C0F"/>
    <w:rsid w:val="00EE0A8F"/>
    <w:rsid w:val="00EE1447"/>
    <w:rsid w:val="00EE1D33"/>
    <w:rsid w:val="00EE20D7"/>
    <w:rsid w:val="00EE30C2"/>
    <w:rsid w:val="00EE4BB7"/>
    <w:rsid w:val="00EE4D7C"/>
    <w:rsid w:val="00EE549F"/>
    <w:rsid w:val="00EE5A5C"/>
    <w:rsid w:val="00EE5DEA"/>
    <w:rsid w:val="00EE61DF"/>
    <w:rsid w:val="00EE7959"/>
    <w:rsid w:val="00EE7E36"/>
    <w:rsid w:val="00EF11E2"/>
    <w:rsid w:val="00EF13FF"/>
    <w:rsid w:val="00EF145E"/>
    <w:rsid w:val="00EF2349"/>
    <w:rsid w:val="00EF2A4B"/>
    <w:rsid w:val="00EF2BBB"/>
    <w:rsid w:val="00EF3839"/>
    <w:rsid w:val="00EF4B4C"/>
    <w:rsid w:val="00EF4D0B"/>
    <w:rsid w:val="00EF5C34"/>
    <w:rsid w:val="00F00015"/>
    <w:rsid w:val="00F0029A"/>
    <w:rsid w:val="00F0082D"/>
    <w:rsid w:val="00F01345"/>
    <w:rsid w:val="00F015AB"/>
    <w:rsid w:val="00F01AA8"/>
    <w:rsid w:val="00F02EB0"/>
    <w:rsid w:val="00F0522B"/>
    <w:rsid w:val="00F07C90"/>
    <w:rsid w:val="00F07D02"/>
    <w:rsid w:val="00F10EC9"/>
    <w:rsid w:val="00F117AC"/>
    <w:rsid w:val="00F12C87"/>
    <w:rsid w:val="00F14163"/>
    <w:rsid w:val="00F14695"/>
    <w:rsid w:val="00F14710"/>
    <w:rsid w:val="00F14C70"/>
    <w:rsid w:val="00F14E61"/>
    <w:rsid w:val="00F15861"/>
    <w:rsid w:val="00F15FA6"/>
    <w:rsid w:val="00F17CD6"/>
    <w:rsid w:val="00F20990"/>
    <w:rsid w:val="00F21072"/>
    <w:rsid w:val="00F24164"/>
    <w:rsid w:val="00F24A77"/>
    <w:rsid w:val="00F25AA7"/>
    <w:rsid w:val="00F25D41"/>
    <w:rsid w:val="00F269DC"/>
    <w:rsid w:val="00F27362"/>
    <w:rsid w:val="00F31F6D"/>
    <w:rsid w:val="00F33893"/>
    <w:rsid w:val="00F33D42"/>
    <w:rsid w:val="00F33DB8"/>
    <w:rsid w:val="00F345E3"/>
    <w:rsid w:val="00F34702"/>
    <w:rsid w:val="00F36E6E"/>
    <w:rsid w:val="00F40F48"/>
    <w:rsid w:val="00F425DB"/>
    <w:rsid w:val="00F43ADA"/>
    <w:rsid w:val="00F43D4A"/>
    <w:rsid w:val="00F455FB"/>
    <w:rsid w:val="00F47838"/>
    <w:rsid w:val="00F47A7A"/>
    <w:rsid w:val="00F47D9A"/>
    <w:rsid w:val="00F50D20"/>
    <w:rsid w:val="00F52060"/>
    <w:rsid w:val="00F53548"/>
    <w:rsid w:val="00F54A44"/>
    <w:rsid w:val="00F57BED"/>
    <w:rsid w:val="00F60198"/>
    <w:rsid w:val="00F603F0"/>
    <w:rsid w:val="00F65668"/>
    <w:rsid w:val="00F65E0C"/>
    <w:rsid w:val="00F662E0"/>
    <w:rsid w:val="00F737B9"/>
    <w:rsid w:val="00F73A51"/>
    <w:rsid w:val="00F73DDB"/>
    <w:rsid w:val="00F745F6"/>
    <w:rsid w:val="00F7613A"/>
    <w:rsid w:val="00F775D7"/>
    <w:rsid w:val="00F7788C"/>
    <w:rsid w:val="00F779EF"/>
    <w:rsid w:val="00F77DE3"/>
    <w:rsid w:val="00F80F66"/>
    <w:rsid w:val="00F81241"/>
    <w:rsid w:val="00F82746"/>
    <w:rsid w:val="00F831CA"/>
    <w:rsid w:val="00F836F9"/>
    <w:rsid w:val="00F845D7"/>
    <w:rsid w:val="00F84DA5"/>
    <w:rsid w:val="00F86088"/>
    <w:rsid w:val="00F87D97"/>
    <w:rsid w:val="00F87EBF"/>
    <w:rsid w:val="00F92279"/>
    <w:rsid w:val="00F92F1F"/>
    <w:rsid w:val="00F93B6A"/>
    <w:rsid w:val="00F93C00"/>
    <w:rsid w:val="00F93FEC"/>
    <w:rsid w:val="00F946A9"/>
    <w:rsid w:val="00F9530F"/>
    <w:rsid w:val="00F95BF0"/>
    <w:rsid w:val="00F9769D"/>
    <w:rsid w:val="00FA05A8"/>
    <w:rsid w:val="00FA0A07"/>
    <w:rsid w:val="00FA0B0C"/>
    <w:rsid w:val="00FA53A6"/>
    <w:rsid w:val="00FA651A"/>
    <w:rsid w:val="00FB10A2"/>
    <w:rsid w:val="00FB169D"/>
    <w:rsid w:val="00FB3890"/>
    <w:rsid w:val="00FB4D21"/>
    <w:rsid w:val="00FB762B"/>
    <w:rsid w:val="00FC0FCD"/>
    <w:rsid w:val="00FC1D1A"/>
    <w:rsid w:val="00FC4A42"/>
    <w:rsid w:val="00FC60DB"/>
    <w:rsid w:val="00FC68CC"/>
    <w:rsid w:val="00FC6ADA"/>
    <w:rsid w:val="00FC6E87"/>
    <w:rsid w:val="00FD0831"/>
    <w:rsid w:val="00FD1C6C"/>
    <w:rsid w:val="00FD29BF"/>
    <w:rsid w:val="00FD4268"/>
    <w:rsid w:val="00FD478A"/>
    <w:rsid w:val="00FD51E0"/>
    <w:rsid w:val="00FD60F6"/>
    <w:rsid w:val="00FD6621"/>
    <w:rsid w:val="00FD73C1"/>
    <w:rsid w:val="00FD7D76"/>
    <w:rsid w:val="00FD7E0F"/>
    <w:rsid w:val="00FE09DA"/>
    <w:rsid w:val="00FE386B"/>
    <w:rsid w:val="00FE3B85"/>
    <w:rsid w:val="00FE4FAB"/>
    <w:rsid w:val="00FE50B7"/>
    <w:rsid w:val="00FE629C"/>
    <w:rsid w:val="00FE72A2"/>
    <w:rsid w:val="00FE7545"/>
    <w:rsid w:val="00FE7628"/>
    <w:rsid w:val="00FE79CA"/>
    <w:rsid w:val="00FE7E03"/>
    <w:rsid w:val="00FF348D"/>
    <w:rsid w:val="00FF3C49"/>
    <w:rsid w:val="00FF447A"/>
    <w:rsid w:val="00FF5FF4"/>
    <w:rsid w:val="00FF6B99"/>
    <w:rsid w:val="4BBC30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1008C"/>
    <w:pPr>
      <w:spacing w:before="480"/>
      <w:outlineLvl w:val="0"/>
    </w:pPr>
    <w:rPr>
      <w:bCs w:val="0"/>
      <w:color w:val="3A6FAF" w:themeColor="accent3"/>
    </w:rPr>
  </w:style>
  <w:style w:type="paragraph" w:styleId="Heading2">
    <w:name w:val="heading 2"/>
    <w:basedOn w:val="HeadingBase"/>
    <w:next w:val="Normal"/>
    <w:link w:val="Heading2Char"/>
    <w:qFormat/>
    <w:rsid w:val="00247BAC"/>
    <w:pPr>
      <w:spacing w:before="360"/>
      <w:outlineLvl w:val="1"/>
    </w:pPr>
    <w:rPr>
      <w:bCs w:val="0"/>
      <w:iCs/>
      <w:color w:val="3A6FAF" w:themeColor="accent3"/>
      <w:sz w:val="36"/>
      <w:szCs w:val="28"/>
    </w:rPr>
  </w:style>
  <w:style w:type="paragraph" w:styleId="Heading3">
    <w:name w:val="heading 3"/>
    <w:basedOn w:val="Normal"/>
    <w:next w:val="Normal"/>
    <w:link w:val="Heading3Char"/>
    <w:qFormat/>
    <w:rsid w:val="00AF1A4D"/>
    <w:pPr>
      <w:spacing w:before="0" w:after="0"/>
      <w:outlineLvl w:val="2"/>
    </w:pPr>
    <w:rPr>
      <w:color w:val="FFFFFF" w:themeColor="background1"/>
      <w:sz w:val="10"/>
      <w:szCs w:val="10"/>
    </w:rPr>
  </w:style>
  <w:style w:type="paragraph" w:styleId="Heading4">
    <w:name w:val="heading 4"/>
    <w:basedOn w:val="Normal"/>
    <w:next w:val="Normal"/>
    <w:link w:val="Heading4Char"/>
    <w:qFormat/>
    <w:rsid w:val="004837F7"/>
    <w:pPr>
      <w:spacing w:before="0" w:after="0"/>
      <w:outlineLvl w:val="3"/>
    </w:pPr>
    <w:rPr>
      <w:color w:val="FFFFFF" w:themeColor="background1"/>
      <w:sz w:val="10"/>
      <w:szCs w:val="10"/>
    </w:rPr>
  </w:style>
  <w:style w:type="paragraph" w:styleId="Heading5">
    <w:name w:val="heading 5"/>
    <w:basedOn w:val="HeadingBase"/>
    <w:next w:val="Normal"/>
    <w:link w:val="Heading5Char"/>
    <w:qFormat/>
    <w:rsid w:val="008F1FA0"/>
    <w:pPr>
      <w:outlineLvl w:val="4"/>
    </w:pPr>
    <w:rPr>
      <w:b/>
      <w:bCs w:val="0"/>
      <w:iCs/>
      <w:color w:val="00827F"/>
      <w:sz w:val="22"/>
    </w:rPr>
  </w:style>
  <w:style w:type="paragraph" w:styleId="Heading6">
    <w:name w:val="heading 6"/>
    <w:basedOn w:val="HeadingBase"/>
    <w:next w:val="Normal"/>
    <w:link w:val="Heading6Char"/>
    <w:qFormat/>
    <w:rsid w:val="008F1FA0"/>
    <w:pPr>
      <w:outlineLvl w:val="5"/>
    </w:pPr>
    <w:rPr>
      <w:bCs w:val="0"/>
      <w:color w:val="00827F"/>
      <w:sz w:val="22"/>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08C"/>
    <w:rPr>
      <w:rFonts w:ascii="Calibri" w:eastAsia="Times New Roman" w:hAnsi="Calibri" w:cs="Arial"/>
      <w:color w:val="3A6FAF" w:themeColor="accent3"/>
      <w:kern w:val="32"/>
      <w:sz w:val="48"/>
      <w:szCs w:val="36"/>
      <w:lang w:eastAsia="en-AU"/>
    </w:rPr>
  </w:style>
  <w:style w:type="character" w:customStyle="1" w:styleId="Heading2Char">
    <w:name w:val="Heading 2 Char"/>
    <w:basedOn w:val="DefaultParagraphFont"/>
    <w:link w:val="Heading2"/>
    <w:rsid w:val="00247BAC"/>
    <w:rPr>
      <w:rFonts w:ascii="Calibri" w:eastAsia="Times New Roman" w:hAnsi="Calibri" w:cs="Arial"/>
      <w:iCs/>
      <w:color w:val="3A6FAF" w:themeColor="accent3"/>
      <w:kern w:val="32"/>
      <w:sz w:val="36"/>
      <w:szCs w:val="28"/>
      <w:lang w:eastAsia="en-AU"/>
    </w:rPr>
  </w:style>
  <w:style w:type="character" w:customStyle="1" w:styleId="Heading3Char">
    <w:name w:val="Heading 3 Char"/>
    <w:basedOn w:val="DefaultParagraphFont"/>
    <w:link w:val="Heading3"/>
    <w:rsid w:val="00AF1A4D"/>
    <w:rPr>
      <w:rFonts w:ascii="Calibri" w:eastAsia="Times New Roman" w:hAnsi="Calibri" w:cs="Times New Roman"/>
      <w:color w:val="FFFFFF" w:themeColor="background1"/>
      <w:sz w:val="10"/>
      <w:szCs w:val="10"/>
      <w:lang w:eastAsia="en-AU"/>
    </w:rPr>
  </w:style>
  <w:style w:type="character" w:customStyle="1" w:styleId="Heading4Char">
    <w:name w:val="Heading 4 Char"/>
    <w:basedOn w:val="DefaultParagraphFont"/>
    <w:link w:val="Heading4"/>
    <w:rsid w:val="004837F7"/>
    <w:rPr>
      <w:rFonts w:ascii="Calibri" w:eastAsia="Times New Roman" w:hAnsi="Calibri" w:cs="Times New Roman"/>
      <w:color w:val="FFFFFF" w:themeColor="background1"/>
      <w:sz w:val="10"/>
      <w:szCs w:val="10"/>
      <w:lang w:eastAsia="en-AU"/>
    </w:rPr>
  </w:style>
  <w:style w:type="character" w:customStyle="1" w:styleId="Heading5Char">
    <w:name w:val="Heading 5 Char"/>
    <w:basedOn w:val="DefaultParagraphFont"/>
    <w:link w:val="Heading5"/>
    <w:rsid w:val="008F1FA0"/>
    <w:rPr>
      <w:rFonts w:ascii="Calibri" w:eastAsia="Times New Roman" w:hAnsi="Calibri" w:cs="Arial"/>
      <w:b/>
      <w:iCs/>
      <w:color w:val="00827F"/>
      <w:kern w:val="32"/>
      <w:szCs w:val="36"/>
      <w:lang w:eastAsia="en-AU"/>
    </w:rPr>
  </w:style>
  <w:style w:type="character" w:customStyle="1" w:styleId="Heading6Char">
    <w:name w:val="Heading 6 Char"/>
    <w:basedOn w:val="DefaultParagraphFont"/>
    <w:link w:val="Heading6"/>
    <w:rsid w:val="008F1FA0"/>
    <w:rPr>
      <w:rFonts w:ascii="Calibri" w:eastAsia="Times New Roman" w:hAnsi="Calibri" w:cs="Arial"/>
      <w:color w:val="0082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A8308B"/>
    <w:pPr>
      <w:keepNext/>
      <w:spacing w:before="240"/>
    </w:pPr>
    <w:rPr>
      <w:b/>
      <w:color w:val="000000" w:themeColor="tex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B10B41"/>
    <w:pPr>
      <w:numPr>
        <w:numId w:val="1"/>
      </w:numPr>
      <w:spacing w:before="0" w:after="8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7A24B5"/>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pPr>
    <w:rPr>
      <w:b/>
    </w:rPr>
  </w:style>
  <w:style w:type="paragraph" w:customStyle="1" w:styleId="FooterEven">
    <w:name w:val="Footer Even"/>
    <w:basedOn w:val="Footer"/>
    <w:rsid w:val="001F5FF9"/>
    <w:pPr>
      <w:keepNext/>
      <w:tabs>
        <w:tab w:val="clear" w:pos="4513"/>
        <w:tab w:val="clear" w:pos="9026"/>
      </w:tabs>
      <w:jc w:val="left"/>
    </w:pPr>
    <w:rPr>
      <w:noProof/>
      <w:color w:val="000000" w:themeColor="text1"/>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247BAC"/>
    <w:rPr>
      <w:color w:val="3A6FAF" w:themeColor="accent3"/>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00827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2B5EC8"/>
    <w:pPr>
      <w:keepNext/>
      <w:tabs>
        <w:tab w:val="right" w:leader="dot" w:pos="9072"/>
      </w:tabs>
      <w:spacing w:before="40" w:after="20"/>
      <w:ind w:left="142"/>
    </w:pPr>
    <w:rPr>
      <w:noProof/>
      <w:color w:val="002C47" w:themeColor="accent1"/>
    </w:rPr>
  </w:style>
  <w:style w:type="paragraph" w:styleId="TOC3">
    <w:name w:val="toc 3"/>
    <w:basedOn w:val="Normal"/>
    <w:next w:val="Normal"/>
    <w:uiPriority w:val="39"/>
    <w:qFormat/>
    <w:rsid w:val="002B5EC8"/>
    <w:pPr>
      <w:tabs>
        <w:tab w:val="right" w:leader="dot" w:pos="9072"/>
      </w:tabs>
      <w:spacing w:before="40" w:after="0"/>
      <w:ind w:left="284"/>
    </w:pPr>
    <w:rPr>
      <w:rFonts w:cs="Calibri"/>
      <w:noProof/>
      <w:color w:val="002C47" w:themeColor="accent1"/>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5103E4"/>
    <w:pPr>
      <w:spacing w:before="376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103E4"/>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7A24B5"/>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7A24B5"/>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7A24B5"/>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rPr>
      <w:color w:val="002C47" w:themeColor="accent1"/>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9"/>
      </w:numPr>
      <w:spacing w:before="0" w:line="259" w:lineRule="auto"/>
      <w:jc w:val="both"/>
    </w:pPr>
    <w:rPr>
      <w:rFonts w:asciiTheme="minorHAnsi" w:eastAsiaTheme="minorHAnsi" w:hAnsiTheme="minorHAnsi" w:cstheme="minorBidi"/>
      <w:color w:val="262626" w:themeColor="text1" w:themeTint="D9"/>
      <w:szCs w:val="22"/>
      <w:lang w:eastAsia="en-US"/>
    </w:rPr>
  </w:style>
  <w:style w:type="character" w:customStyle="1" w:styleId="BulletChar">
    <w:name w:val="Bullet Char"/>
    <w:basedOn w:val="Heading4Char"/>
    <w:link w:val="Bullet"/>
    <w:rsid w:val="00B10B41"/>
    <w:rPr>
      <w:rFonts w:ascii="Calibri" w:eastAsia="Times New Roman" w:hAnsi="Calibri" w:cs="Times New Roman"/>
      <w:color w:val="FFFFFF" w:themeColor="background1"/>
      <w:sz w:val="10"/>
      <w:szCs w:val="20"/>
      <w:lang w:eastAsia="en-AU"/>
    </w:rPr>
  </w:style>
  <w:style w:type="character" w:customStyle="1" w:styleId="ListParagraphChar">
    <w:name w:val="List Paragraph Char"/>
    <w:basedOn w:val="DefaultParagraphFont"/>
    <w:link w:val="ListParagraph"/>
    <w:uiPriority w:val="34"/>
    <w:rsid w:val="00835350"/>
    <w:rPr>
      <w:color w:val="262626" w:themeColor="text1" w:themeTint="D9"/>
    </w:rPr>
  </w:style>
  <w:style w:type="paragraph" w:customStyle="1" w:styleId="GRRParanumbers">
    <w:name w:val="GRR Para numbers"/>
    <w:basedOn w:val="ListParagraph"/>
    <w:link w:val="GRRParanumbersChar"/>
    <w:qFormat/>
    <w:rsid w:val="00835350"/>
    <w:pPr>
      <w:numPr>
        <w:numId w:val="20"/>
      </w:numPr>
      <w:ind w:hanging="720"/>
    </w:pPr>
  </w:style>
  <w:style w:type="character" w:customStyle="1" w:styleId="GRRParanumbersChar">
    <w:name w:val="GRR Para numbers Char"/>
    <w:basedOn w:val="ListParagraphChar"/>
    <w:link w:val="GRRParanumbers"/>
    <w:rsid w:val="00835350"/>
    <w:rPr>
      <w:color w:val="262626"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Orange">
    <w:name w:val="Box Heading 2 - Orange"/>
    <w:basedOn w:val="BoxText"/>
    <w:qFormat/>
    <w:rsid w:val="00EA1AFD"/>
    <w:pPr>
      <w:shd w:val="clear" w:color="auto" w:fill="FDE7CD"/>
      <w:spacing w:before="240"/>
    </w:pPr>
  </w:style>
  <w:style w:type="paragraph" w:customStyle="1" w:styleId="BoxHeading2-Blue">
    <w:name w:val="Box Heading 2 - Blue"/>
    <w:basedOn w:val="BoxText"/>
    <w:qFormat/>
    <w:rsid w:val="00247BAC"/>
    <w:pPr>
      <w:shd w:val="clear" w:color="auto" w:fill="D8E2EF"/>
      <w:spacing w:before="240"/>
    </w:pPr>
  </w:style>
  <w:style w:type="paragraph" w:customStyle="1" w:styleId="ColumnHeadingLeft">
    <w:name w:val="Column Heading Left"/>
    <w:basedOn w:val="TableTextLeft"/>
    <w:qFormat/>
    <w:rsid w:val="00576EF5"/>
    <w:rPr>
      <w:rFonts w:asciiTheme="minorHAnsi" w:hAnsiTheme="minorHAnsi"/>
      <w:b/>
      <w:szCs w:val="18"/>
    </w:rPr>
  </w:style>
  <w:style w:type="character" w:styleId="UnresolvedMention">
    <w:name w:val="Unresolved Mention"/>
    <w:basedOn w:val="DefaultParagraphFont"/>
    <w:uiPriority w:val="99"/>
    <w:semiHidden/>
    <w:unhideWhenUsed/>
    <w:rsid w:val="003E7D42"/>
    <w:rPr>
      <w:color w:val="605E5C"/>
      <w:shd w:val="clear" w:color="auto" w:fill="E1DFDD"/>
    </w:rPr>
  </w:style>
  <w:style w:type="character" w:styleId="CommentReference">
    <w:name w:val="annotation reference"/>
    <w:basedOn w:val="DefaultParagraphFont"/>
    <w:uiPriority w:val="99"/>
    <w:semiHidden/>
    <w:unhideWhenUsed/>
    <w:rsid w:val="00E11D03"/>
    <w:rPr>
      <w:sz w:val="16"/>
      <w:szCs w:val="16"/>
    </w:rPr>
  </w:style>
  <w:style w:type="paragraph" w:styleId="CommentText">
    <w:name w:val="annotation text"/>
    <w:basedOn w:val="Normal"/>
    <w:link w:val="CommentTextChar"/>
    <w:uiPriority w:val="99"/>
    <w:unhideWhenUsed/>
    <w:rsid w:val="00E11D03"/>
    <w:rPr>
      <w:sz w:val="20"/>
    </w:rPr>
  </w:style>
  <w:style w:type="character" w:customStyle="1" w:styleId="CommentTextChar">
    <w:name w:val="Comment Text Char"/>
    <w:basedOn w:val="DefaultParagraphFont"/>
    <w:link w:val="CommentText"/>
    <w:uiPriority w:val="99"/>
    <w:rsid w:val="00E11D03"/>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11D03"/>
    <w:rPr>
      <w:b/>
      <w:bCs/>
    </w:rPr>
  </w:style>
  <w:style w:type="character" w:customStyle="1" w:styleId="CommentSubjectChar">
    <w:name w:val="Comment Subject Char"/>
    <w:basedOn w:val="CommentTextChar"/>
    <w:link w:val="CommentSubject"/>
    <w:uiPriority w:val="99"/>
    <w:semiHidden/>
    <w:rsid w:val="00E11D03"/>
    <w:rPr>
      <w:rFonts w:ascii="Calibri" w:eastAsia="Times New Roman" w:hAnsi="Calibri" w:cs="Times New Roman"/>
      <w:b/>
      <w:bCs/>
      <w:sz w:val="20"/>
      <w:szCs w:val="20"/>
      <w:lang w:eastAsia="en-AU"/>
    </w:rPr>
  </w:style>
  <w:style w:type="character" w:styleId="Mention">
    <w:name w:val="Mention"/>
    <w:basedOn w:val="DefaultParagraphFont"/>
    <w:uiPriority w:val="99"/>
    <w:unhideWhenUsed/>
    <w:rsid w:val="00E11D03"/>
    <w:rPr>
      <w:color w:val="2B579A"/>
      <w:shd w:val="clear" w:color="auto" w:fill="E1DFDD"/>
    </w:rPr>
  </w:style>
  <w:style w:type="paragraph" w:styleId="TOC4">
    <w:name w:val="toc 4"/>
    <w:basedOn w:val="Normal"/>
    <w:next w:val="Normal"/>
    <w:autoRedefine/>
    <w:uiPriority w:val="39"/>
    <w:unhideWhenUsed/>
    <w:rsid w:val="00FF5FF4"/>
    <w:pPr>
      <w:spacing w:after="100"/>
      <w:ind w:left="660"/>
    </w:pPr>
  </w:style>
  <w:style w:type="paragraph" w:styleId="Revision">
    <w:name w:val="Revision"/>
    <w:hidden/>
    <w:uiPriority w:val="99"/>
    <w:semiHidden/>
    <w:rsid w:val="000D06F9"/>
    <w:pPr>
      <w:spacing w:after="0" w:line="240" w:lineRule="auto"/>
    </w:pPr>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809">
      <w:bodyDiv w:val="1"/>
      <w:marLeft w:val="0"/>
      <w:marRight w:val="0"/>
      <w:marTop w:val="0"/>
      <w:marBottom w:val="0"/>
      <w:divBdr>
        <w:top w:val="none" w:sz="0" w:space="0" w:color="auto"/>
        <w:left w:val="none" w:sz="0" w:space="0" w:color="auto"/>
        <w:bottom w:val="none" w:sz="0" w:space="0" w:color="auto"/>
        <w:right w:val="none" w:sz="0" w:space="0" w:color="auto"/>
      </w:divBdr>
    </w:div>
    <w:div w:id="93405766">
      <w:bodyDiv w:val="1"/>
      <w:marLeft w:val="0"/>
      <w:marRight w:val="0"/>
      <w:marTop w:val="0"/>
      <w:marBottom w:val="0"/>
      <w:divBdr>
        <w:top w:val="none" w:sz="0" w:space="0" w:color="auto"/>
        <w:left w:val="none" w:sz="0" w:space="0" w:color="auto"/>
        <w:bottom w:val="none" w:sz="0" w:space="0" w:color="auto"/>
        <w:right w:val="none" w:sz="0" w:space="0" w:color="auto"/>
      </w:divBdr>
    </w:div>
    <w:div w:id="36228726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82433705">
      <w:bodyDiv w:val="1"/>
      <w:marLeft w:val="0"/>
      <w:marRight w:val="0"/>
      <w:marTop w:val="0"/>
      <w:marBottom w:val="0"/>
      <w:divBdr>
        <w:top w:val="none" w:sz="0" w:space="0" w:color="auto"/>
        <w:left w:val="none" w:sz="0" w:space="0" w:color="auto"/>
        <w:bottom w:val="none" w:sz="0" w:space="0" w:color="auto"/>
        <w:right w:val="none" w:sz="0" w:space="0" w:color="auto"/>
      </w:divBdr>
    </w:div>
    <w:div w:id="522860222">
      <w:bodyDiv w:val="1"/>
      <w:marLeft w:val="0"/>
      <w:marRight w:val="0"/>
      <w:marTop w:val="0"/>
      <w:marBottom w:val="0"/>
      <w:divBdr>
        <w:top w:val="none" w:sz="0" w:space="0" w:color="auto"/>
        <w:left w:val="none" w:sz="0" w:space="0" w:color="auto"/>
        <w:bottom w:val="none" w:sz="0" w:space="0" w:color="auto"/>
        <w:right w:val="none" w:sz="0" w:space="0" w:color="auto"/>
      </w:divBdr>
    </w:div>
    <w:div w:id="604339226">
      <w:bodyDiv w:val="1"/>
      <w:marLeft w:val="0"/>
      <w:marRight w:val="0"/>
      <w:marTop w:val="0"/>
      <w:marBottom w:val="0"/>
      <w:divBdr>
        <w:top w:val="none" w:sz="0" w:space="0" w:color="auto"/>
        <w:left w:val="none" w:sz="0" w:space="0" w:color="auto"/>
        <w:bottom w:val="none" w:sz="0" w:space="0" w:color="auto"/>
        <w:right w:val="none" w:sz="0" w:space="0" w:color="auto"/>
      </w:divBdr>
    </w:div>
    <w:div w:id="683744938">
      <w:bodyDiv w:val="1"/>
      <w:marLeft w:val="0"/>
      <w:marRight w:val="0"/>
      <w:marTop w:val="0"/>
      <w:marBottom w:val="0"/>
      <w:divBdr>
        <w:top w:val="none" w:sz="0" w:space="0" w:color="auto"/>
        <w:left w:val="none" w:sz="0" w:space="0" w:color="auto"/>
        <w:bottom w:val="none" w:sz="0" w:space="0" w:color="auto"/>
        <w:right w:val="none" w:sz="0" w:space="0" w:color="auto"/>
      </w:divBdr>
    </w:div>
    <w:div w:id="1111972655">
      <w:bodyDiv w:val="1"/>
      <w:marLeft w:val="0"/>
      <w:marRight w:val="0"/>
      <w:marTop w:val="0"/>
      <w:marBottom w:val="0"/>
      <w:divBdr>
        <w:top w:val="none" w:sz="0" w:space="0" w:color="auto"/>
        <w:left w:val="none" w:sz="0" w:space="0" w:color="auto"/>
        <w:bottom w:val="none" w:sz="0" w:space="0" w:color="auto"/>
        <w:right w:val="none" w:sz="0" w:space="0" w:color="auto"/>
      </w:divBdr>
    </w:div>
    <w:div w:id="1127579147">
      <w:bodyDiv w:val="1"/>
      <w:marLeft w:val="0"/>
      <w:marRight w:val="0"/>
      <w:marTop w:val="0"/>
      <w:marBottom w:val="0"/>
      <w:divBdr>
        <w:top w:val="none" w:sz="0" w:space="0" w:color="auto"/>
        <w:left w:val="none" w:sz="0" w:space="0" w:color="auto"/>
        <w:bottom w:val="none" w:sz="0" w:space="0" w:color="auto"/>
        <w:right w:val="none" w:sz="0" w:space="0" w:color="auto"/>
      </w:divBdr>
    </w:div>
    <w:div w:id="1380981826">
      <w:bodyDiv w:val="1"/>
      <w:marLeft w:val="0"/>
      <w:marRight w:val="0"/>
      <w:marTop w:val="0"/>
      <w:marBottom w:val="0"/>
      <w:divBdr>
        <w:top w:val="none" w:sz="0" w:space="0" w:color="auto"/>
        <w:left w:val="none" w:sz="0" w:space="0" w:color="auto"/>
        <w:bottom w:val="none" w:sz="0" w:space="0" w:color="auto"/>
        <w:right w:val="none" w:sz="0" w:space="0" w:color="auto"/>
      </w:divBdr>
    </w:div>
    <w:div w:id="1537159752">
      <w:bodyDiv w:val="1"/>
      <w:marLeft w:val="0"/>
      <w:marRight w:val="0"/>
      <w:marTop w:val="0"/>
      <w:marBottom w:val="0"/>
      <w:divBdr>
        <w:top w:val="none" w:sz="0" w:space="0" w:color="auto"/>
        <w:left w:val="none" w:sz="0" w:space="0" w:color="auto"/>
        <w:bottom w:val="none" w:sz="0" w:space="0" w:color="auto"/>
        <w:right w:val="none" w:sz="0" w:space="0" w:color="auto"/>
      </w:divBdr>
    </w:div>
    <w:div w:id="1770199364">
      <w:bodyDiv w:val="1"/>
      <w:marLeft w:val="0"/>
      <w:marRight w:val="0"/>
      <w:marTop w:val="0"/>
      <w:marBottom w:val="0"/>
      <w:divBdr>
        <w:top w:val="none" w:sz="0" w:space="0" w:color="auto"/>
        <w:left w:val="none" w:sz="0" w:space="0" w:color="auto"/>
        <w:bottom w:val="none" w:sz="0" w:space="0" w:color="auto"/>
        <w:right w:val="none" w:sz="0" w:space="0" w:color="auto"/>
      </w:divBdr>
    </w:div>
    <w:div w:id="1783307931">
      <w:bodyDiv w:val="1"/>
      <w:marLeft w:val="0"/>
      <w:marRight w:val="0"/>
      <w:marTop w:val="0"/>
      <w:marBottom w:val="0"/>
      <w:divBdr>
        <w:top w:val="none" w:sz="0" w:space="0" w:color="auto"/>
        <w:left w:val="none" w:sz="0" w:space="0" w:color="auto"/>
        <w:bottom w:val="none" w:sz="0" w:space="0" w:color="auto"/>
        <w:right w:val="none" w:sz="0" w:space="0" w:color="auto"/>
      </w:divBdr>
    </w:div>
    <w:div w:id="1886985260">
      <w:bodyDiv w:val="1"/>
      <w:marLeft w:val="0"/>
      <w:marRight w:val="0"/>
      <w:marTop w:val="0"/>
      <w:marBottom w:val="0"/>
      <w:divBdr>
        <w:top w:val="none" w:sz="0" w:space="0" w:color="auto"/>
        <w:left w:val="none" w:sz="0" w:space="0" w:color="auto"/>
        <w:bottom w:val="none" w:sz="0" w:space="0" w:color="auto"/>
        <w:right w:val="none" w:sz="0" w:space="0" w:color="auto"/>
      </w:divBdr>
    </w:div>
    <w:div w:id="1928730107">
      <w:bodyDiv w:val="1"/>
      <w:marLeft w:val="0"/>
      <w:marRight w:val="0"/>
      <w:marTop w:val="0"/>
      <w:marBottom w:val="0"/>
      <w:divBdr>
        <w:top w:val="none" w:sz="0" w:space="0" w:color="auto"/>
        <w:left w:val="none" w:sz="0" w:space="0" w:color="auto"/>
        <w:bottom w:val="none" w:sz="0" w:space="0" w:color="auto"/>
        <w:right w:val="none" w:sz="0" w:space="0" w:color="auto"/>
      </w:divBdr>
    </w:div>
    <w:div w:id="2053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aymenttimes.gov.a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ymenttimes.gov.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SY Corporate">
  <a:themeElements>
    <a:clrScheme name="Payment Times Reporting Scheme">
      <a:dk1>
        <a:sysClr val="windowText" lastClr="000000"/>
      </a:dk1>
      <a:lt1>
        <a:sysClr val="window" lastClr="FFFFFF"/>
      </a:lt1>
      <a:dk2>
        <a:srgbClr val="5F5F5F"/>
      </a:dk2>
      <a:lt2>
        <a:srgbClr val="EEEEEE"/>
      </a:lt2>
      <a:accent1>
        <a:srgbClr val="002C47"/>
      </a:accent1>
      <a:accent2>
        <a:srgbClr val="00827F"/>
      </a:accent2>
      <a:accent3>
        <a:srgbClr val="3A6FAF"/>
      </a:accent3>
      <a:accent4>
        <a:srgbClr val="F7901E"/>
      </a:accent4>
      <a:accent5>
        <a:srgbClr val="FEF2E4"/>
      </a:accent5>
      <a:accent6>
        <a:srgbClr val="E5F2F2"/>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Understanding Reporting Fields – interim guidance</vt:lpstr>
    </vt:vector>
  </TitlesOfParts>
  <Company/>
  <LinksUpToDate>false</LinksUpToDate>
  <CharactersWithSpaces>41744</CharactersWithSpaces>
  <SharedDoc>false</SharedDoc>
  <HLinks>
    <vt:vector size="66" baseType="variant">
      <vt:variant>
        <vt:i4>1310775</vt:i4>
      </vt:variant>
      <vt:variant>
        <vt:i4>56</vt:i4>
      </vt:variant>
      <vt:variant>
        <vt:i4>0</vt:i4>
      </vt:variant>
      <vt:variant>
        <vt:i4>5</vt:i4>
      </vt:variant>
      <vt:variant>
        <vt:lpwstr/>
      </vt:variant>
      <vt:variant>
        <vt:lpwstr>_Toc184842618</vt:lpwstr>
      </vt:variant>
      <vt:variant>
        <vt:i4>1310775</vt:i4>
      </vt:variant>
      <vt:variant>
        <vt:i4>50</vt:i4>
      </vt:variant>
      <vt:variant>
        <vt:i4>0</vt:i4>
      </vt:variant>
      <vt:variant>
        <vt:i4>5</vt:i4>
      </vt:variant>
      <vt:variant>
        <vt:lpwstr/>
      </vt:variant>
      <vt:variant>
        <vt:lpwstr>_Toc184842617</vt:lpwstr>
      </vt:variant>
      <vt:variant>
        <vt:i4>1310775</vt:i4>
      </vt:variant>
      <vt:variant>
        <vt:i4>44</vt:i4>
      </vt:variant>
      <vt:variant>
        <vt:i4>0</vt:i4>
      </vt:variant>
      <vt:variant>
        <vt:i4>5</vt:i4>
      </vt:variant>
      <vt:variant>
        <vt:lpwstr/>
      </vt:variant>
      <vt:variant>
        <vt:lpwstr>_Toc184842616</vt:lpwstr>
      </vt:variant>
      <vt:variant>
        <vt:i4>1310775</vt:i4>
      </vt:variant>
      <vt:variant>
        <vt:i4>38</vt:i4>
      </vt:variant>
      <vt:variant>
        <vt:i4>0</vt:i4>
      </vt:variant>
      <vt:variant>
        <vt:i4>5</vt:i4>
      </vt:variant>
      <vt:variant>
        <vt:lpwstr/>
      </vt:variant>
      <vt:variant>
        <vt:lpwstr>_Toc184842615</vt:lpwstr>
      </vt:variant>
      <vt:variant>
        <vt:i4>1310775</vt:i4>
      </vt:variant>
      <vt:variant>
        <vt:i4>32</vt:i4>
      </vt:variant>
      <vt:variant>
        <vt:i4>0</vt:i4>
      </vt:variant>
      <vt:variant>
        <vt:i4>5</vt:i4>
      </vt:variant>
      <vt:variant>
        <vt:lpwstr/>
      </vt:variant>
      <vt:variant>
        <vt:lpwstr>_Toc184842614</vt:lpwstr>
      </vt:variant>
      <vt:variant>
        <vt:i4>1310775</vt:i4>
      </vt:variant>
      <vt:variant>
        <vt:i4>26</vt:i4>
      </vt:variant>
      <vt:variant>
        <vt:i4>0</vt:i4>
      </vt:variant>
      <vt:variant>
        <vt:i4>5</vt:i4>
      </vt:variant>
      <vt:variant>
        <vt:lpwstr/>
      </vt:variant>
      <vt:variant>
        <vt:lpwstr>_Toc184842613</vt:lpwstr>
      </vt:variant>
      <vt:variant>
        <vt:i4>1310775</vt:i4>
      </vt:variant>
      <vt:variant>
        <vt:i4>20</vt:i4>
      </vt:variant>
      <vt:variant>
        <vt:i4>0</vt:i4>
      </vt:variant>
      <vt:variant>
        <vt:i4>5</vt:i4>
      </vt:variant>
      <vt:variant>
        <vt:lpwstr/>
      </vt:variant>
      <vt:variant>
        <vt:lpwstr>_Toc184842612</vt:lpwstr>
      </vt:variant>
      <vt:variant>
        <vt:i4>1310775</vt:i4>
      </vt:variant>
      <vt:variant>
        <vt:i4>14</vt:i4>
      </vt:variant>
      <vt:variant>
        <vt:i4>0</vt:i4>
      </vt:variant>
      <vt:variant>
        <vt:i4>5</vt:i4>
      </vt:variant>
      <vt:variant>
        <vt:lpwstr/>
      </vt:variant>
      <vt:variant>
        <vt:lpwstr>_Toc184842611</vt:lpwstr>
      </vt:variant>
      <vt:variant>
        <vt:i4>1310775</vt:i4>
      </vt:variant>
      <vt:variant>
        <vt:i4>8</vt:i4>
      </vt:variant>
      <vt:variant>
        <vt:i4>0</vt:i4>
      </vt:variant>
      <vt:variant>
        <vt:i4>5</vt:i4>
      </vt:variant>
      <vt:variant>
        <vt:lpwstr/>
      </vt:variant>
      <vt:variant>
        <vt:lpwstr>_Toc184842610</vt:lpwstr>
      </vt:variant>
      <vt:variant>
        <vt:i4>2424872</vt:i4>
      </vt:variant>
      <vt:variant>
        <vt:i4>3</vt:i4>
      </vt:variant>
      <vt:variant>
        <vt:i4>0</vt:i4>
      </vt:variant>
      <vt:variant>
        <vt:i4>5</vt:i4>
      </vt:variant>
      <vt:variant>
        <vt:lpwstr>http://www.paymenttimes.gov.au/</vt:lpwstr>
      </vt:variant>
      <vt:variant>
        <vt:lpwstr/>
      </vt:variant>
      <vt:variant>
        <vt:i4>6815861</vt:i4>
      </vt:variant>
      <vt:variant>
        <vt:i4>0</vt:i4>
      </vt:variant>
      <vt:variant>
        <vt:i4>0</vt:i4>
      </vt:variant>
      <vt:variant>
        <vt:i4>5</vt:i4>
      </vt:variant>
      <vt:variant>
        <vt:lpwstr>https://portal.paymenttimes.gov.au/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Reporting Fields – interim guidance</dc:title>
  <dc:subject/>
  <dc:creator/>
  <cp:keywords/>
  <cp:lastModifiedBy/>
  <cp:revision>1</cp:revision>
  <dcterms:created xsi:type="dcterms:W3CDTF">2024-12-16T07:09:00Z</dcterms:created>
  <dcterms:modified xsi:type="dcterms:W3CDTF">2024-12-16T07:10:00Z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2024-12-16T07:10:00Z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8a0bf999-7a6b-4cd6-a632-683048a69708</vt:lpwstr>
  </property>
  <property fmtid="{D5CDD505-2E9C-101B-9397-08002B2CF9AE}" pid="8" name="MSIP_Label_4f932d64-9ab1-4d9b-81d2-a3a8b82dd47d_ContentBits">
    <vt:lpwstr>0</vt:lpwstr>
  </property>
</Properties>
</file>