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5645642"/>
        <w:docPartObj>
          <w:docPartGallery w:val="Cover Pages"/>
          <w:docPartUnique/>
        </w:docPartObj>
      </w:sdtPr>
      <w:sdtEndPr>
        <w:rPr>
          <w:noProof/>
        </w:rPr>
      </w:sdtEndPr>
      <w:sdtContent>
        <w:p w14:paraId="302165FC" w14:textId="77777777" w:rsidR="00604EEF" w:rsidRPr="006D0240" w:rsidRDefault="00DE0431" w:rsidP="005103E4">
          <w:r>
            <w:rPr>
              <w:noProof/>
            </w:rPr>
            <w:drawing>
              <wp:anchor distT="0" distB="0" distL="114300" distR="114300" simplePos="0" relativeHeight="251658240" behindDoc="1" locked="0" layoutInCell="1" allowOverlap="1" wp14:anchorId="0F33E8C6" wp14:editId="7C520747">
                <wp:simplePos x="0" y="0"/>
                <wp:positionH relativeFrom="page">
                  <wp:posOffset>-10633</wp:posOffset>
                </wp:positionH>
                <wp:positionV relativeFrom="page">
                  <wp:posOffset>-10633</wp:posOffset>
                </wp:positionV>
                <wp:extent cx="7577998" cy="10719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998" cy="10719201"/>
                        </a:xfrm>
                        <a:prstGeom prst="rect">
                          <a:avLst/>
                        </a:prstGeom>
                      </pic:spPr>
                    </pic:pic>
                  </a:graphicData>
                </a:graphic>
                <wp14:sizeRelH relativeFrom="page">
                  <wp14:pctWidth>0</wp14:pctWidth>
                </wp14:sizeRelH>
                <wp14:sizeRelV relativeFrom="page">
                  <wp14:pctHeight>0</wp14:pctHeight>
                </wp14:sizeRelV>
              </wp:anchor>
            </w:drawing>
          </w:r>
        </w:p>
        <w:p w14:paraId="0FFEA030" w14:textId="302B4967" w:rsidR="004A02F4" w:rsidRPr="004A02F4" w:rsidRDefault="004A02F4" w:rsidP="004A02F4">
          <w:pPr>
            <w:pStyle w:val="Title"/>
          </w:pPr>
          <w:r>
            <w:t>Payment Times Reporting: Guidance Materials</w:t>
          </w:r>
        </w:p>
        <w:p w14:paraId="4C53E09C" w14:textId="3F2DE748" w:rsidR="00604EEF" w:rsidRPr="006923DF" w:rsidRDefault="00604EEF" w:rsidP="00952044">
          <w:pPr>
            <w:pStyle w:val="Subtitle"/>
            <w:jc w:val="center"/>
          </w:pPr>
        </w:p>
        <w:p w14:paraId="48DCAC1E" w14:textId="7607CFA4" w:rsidR="00604EEF" w:rsidRPr="006923DF" w:rsidRDefault="00952044" w:rsidP="006923DF">
          <w:pPr>
            <w:pStyle w:val="ReportDate"/>
            <w:rPr>
              <w:rFonts w:ascii="Rockwell" w:hAnsi="Rockwell"/>
              <w:sz w:val="24"/>
            </w:rPr>
          </w:pPr>
          <w:r>
            <w:rPr>
              <w:rStyle w:val="ReportDateChar"/>
            </w:rPr>
            <w:t>December 2024</w:t>
          </w:r>
        </w:p>
        <w:p w14:paraId="54C3E6DF" w14:textId="77777777" w:rsidR="00604EEF" w:rsidRDefault="00604EEF">
          <w:pPr>
            <w:spacing w:before="0" w:after="160" w:line="259" w:lineRule="auto"/>
            <w:rPr>
              <w:noProof/>
            </w:rPr>
          </w:pPr>
          <w:r>
            <w:rPr>
              <w:noProof/>
            </w:rPr>
            <w:br w:type="page"/>
          </w:r>
        </w:p>
      </w:sdtContent>
    </w:sdt>
    <w:p w14:paraId="7A7CC908" w14:textId="2C00D7CB" w:rsidR="0050375C" w:rsidRDefault="0050375C" w:rsidP="0050375C">
      <w:pPr>
        <w:spacing w:before="0" w:after="160" w:line="259" w:lineRule="auto"/>
      </w:pPr>
      <w:r w:rsidRPr="00661BF0">
        <w:lastRenderedPageBreak/>
        <w:t xml:space="preserve">© Commonwealth of Australia </w:t>
      </w:r>
      <w:r w:rsidRPr="00A822AE">
        <w:t>202</w:t>
      </w:r>
      <w:r w:rsidR="00A822AE" w:rsidRPr="00A822AE">
        <w:t>4</w:t>
      </w:r>
    </w:p>
    <w:p w14:paraId="4E1EDC6F" w14:textId="77777777" w:rsidR="0050375C" w:rsidRPr="00086F82" w:rsidRDefault="0050375C" w:rsidP="0050375C">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Pr>
            <w:rStyle w:val="Hyperlink"/>
          </w:rPr>
          <w:t>creativecommons.org/licenses/by/4.0/legalcode</w:t>
        </w:r>
      </w:hyperlink>
      <w:r w:rsidRPr="00444CDB">
        <w:t>.</w:t>
      </w:r>
      <w:r w:rsidRPr="00D06A21">
        <w:rPr>
          <w:sz w:val="24"/>
          <w:szCs w:val="24"/>
        </w:rPr>
        <w:t xml:space="preserve"> </w:t>
      </w:r>
    </w:p>
    <w:p w14:paraId="10FB7F2B" w14:textId="77777777" w:rsidR="0050375C" w:rsidRDefault="0050375C" w:rsidP="0050375C">
      <w:pPr>
        <w:pStyle w:val="ChartGraphic"/>
        <w:jc w:val="left"/>
      </w:pPr>
      <w:r w:rsidRPr="00E56DFB">
        <w:rPr>
          <w:noProof/>
        </w:rPr>
        <w:drawing>
          <wp:inline distT="0" distB="0" distL="0" distR="0" wp14:anchorId="21306997" wp14:editId="594F7AF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B4A5D3B" w14:textId="77777777" w:rsidR="0050375C" w:rsidRPr="006627B4" w:rsidRDefault="0050375C" w:rsidP="0050375C">
      <w:pPr>
        <w:tabs>
          <w:tab w:val="left" w:pos="1650"/>
        </w:tabs>
        <w:spacing w:before="240"/>
      </w:pPr>
      <w:r w:rsidRPr="006627B4">
        <w:t>Use of Treasury material under a</w:t>
      </w:r>
      <w:r w:rsidRPr="00476F09">
        <w:rPr>
          <w:rFonts w:cstheme="minorHAnsi"/>
          <w:sz w:val="24"/>
          <w:szCs w:val="24"/>
        </w:rPr>
        <w:t xml:space="preserve"> </w:t>
      </w:r>
      <w:hyperlink r:id="rId11"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0EE7544A" w14:textId="77777777" w:rsidR="0050375C" w:rsidRPr="00444CDB" w:rsidRDefault="0050375C" w:rsidP="0050375C">
      <w:pPr>
        <w:spacing w:before="240"/>
        <w:rPr>
          <w:rStyle w:val="Strong"/>
        </w:rPr>
      </w:pPr>
      <w:r w:rsidRPr="00444CDB">
        <w:rPr>
          <w:rStyle w:val="Strong"/>
        </w:rPr>
        <w:t>Treasury material used ‘as supplied’</w:t>
      </w:r>
    </w:p>
    <w:p w14:paraId="5B9942AB" w14:textId="77777777" w:rsidR="0050375C" w:rsidRPr="00476F09" w:rsidRDefault="0050375C" w:rsidP="0050375C">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Pr>
          <w:rFonts w:cs="Calibri Light"/>
        </w:rPr>
        <w:t>–</w:t>
      </w:r>
      <w:r>
        <w:t xml:space="preserve"> then Treasury prefers t</w:t>
      </w:r>
      <w:r w:rsidRPr="00476F09">
        <w:t xml:space="preserve">he following attribution: </w:t>
      </w:r>
    </w:p>
    <w:p w14:paraId="219F8545" w14:textId="77777777" w:rsidR="0050375C" w:rsidRPr="00A13A11" w:rsidRDefault="0050375C" w:rsidP="0050375C">
      <w:pPr>
        <w:ind w:firstLine="720"/>
      </w:pPr>
      <w:r w:rsidRPr="00E17231">
        <w:rPr>
          <w:iCs/>
        </w:rPr>
        <w:t>Source:</w:t>
      </w:r>
      <w:r w:rsidRPr="002F1BC2">
        <w:rPr>
          <w:i/>
        </w:rPr>
        <w:t xml:space="preserve"> </w:t>
      </w:r>
      <w:r w:rsidRPr="00AC2B70">
        <w:rPr>
          <w:rStyle w:val="Emphasis"/>
        </w:rPr>
        <w:t>The Commonwealth of Australia.</w:t>
      </w:r>
    </w:p>
    <w:p w14:paraId="7FC87829" w14:textId="77777777" w:rsidR="0050375C" w:rsidRPr="00444CDB" w:rsidRDefault="0050375C" w:rsidP="0050375C">
      <w:pPr>
        <w:spacing w:before="240"/>
        <w:rPr>
          <w:rStyle w:val="Strong"/>
        </w:rPr>
      </w:pPr>
      <w:r w:rsidRPr="00444CDB">
        <w:rPr>
          <w:rStyle w:val="Strong"/>
        </w:rPr>
        <w:t>Derivative material</w:t>
      </w:r>
    </w:p>
    <w:p w14:paraId="48B6C3C4" w14:textId="77777777" w:rsidR="0050375C" w:rsidRPr="006627B4" w:rsidRDefault="0050375C" w:rsidP="0050375C">
      <w:r w:rsidRPr="006627B4">
        <w:t xml:space="preserve">If you have modified or transformed Treasury material, or derived new material from those of the Treasury in any way, then Treasury prefers the following attribution: </w:t>
      </w:r>
    </w:p>
    <w:p w14:paraId="26810E3F" w14:textId="77777777" w:rsidR="0050375C" w:rsidRPr="00AC2B70" w:rsidRDefault="0050375C" w:rsidP="0050375C">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400C4AC6" w14:textId="77777777" w:rsidR="0050375C" w:rsidRPr="00444CDB" w:rsidRDefault="0050375C" w:rsidP="0050375C">
      <w:pPr>
        <w:spacing w:before="240"/>
        <w:rPr>
          <w:rStyle w:val="Strong"/>
        </w:rPr>
      </w:pPr>
      <w:r w:rsidRPr="00444CDB">
        <w:rPr>
          <w:rStyle w:val="Strong"/>
        </w:rPr>
        <w:t>Use of the Coat of Arms</w:t>
      </w:r>
    </w:p>
    <w:p w14:paraId="329D5723" w14:textId="77777777" w:rsidR="0050375C" w:rsidRPr="005C503A" w:rsidRDefault="0050375C" w:rsidP="0050375C">
      <w:pPr>
        <w:spacing w:before="240"/>
      </w:pPr>
      <w:r w:rsidRPr="005C503A">
        <w:t>The terms under which the Coat of Arms can be used are set out on the Department of the Prime Minister and Cabinet website (</w:t>
      </w:r>
      <w:r w:rsidRPr="008E3A1E">
        <w:t>see</w:t>
      </w:r>
      <w:r w:rsidRPr="005C503A">
        <w:t xml:space="preserve"> </w:t>
      </w:r>
      <w:hyperlink r:id="rId12" w:history="1">
        <w:r>
          <w:rPr>
            <w:rStyle w:val="Hyperlink"/>
          </w:rPr>
          <w:t>www.pmc.gov.au/government/commonwealth-coat-arms</w:t>
        </w:r>
      </w:hyperlink>
      <w:r w:rsidRPr="005C503A">
        <w:t>).</w:t>
      </w:r>
    </w:p>
    <w:p w14:paraId="59249EF3" w14:textId="77777777" w:rsidR="0050375C" w:rsidRPr="00444CDB" w:rsidRDefault="0050375C" w:rsidP="0050375C">
      <w:pPr>
        <w:spacing w:before="240"/>
        <w:rPr>
          <w:rStyle w:val="Strong"/>
        </w:rPr>
      </w:pPr>
      <w:r w:rsidRPr="00444CDB">
        <w:rPr>
          <w:rStyle w:val="Strong"/>
        </w:rPr>
        <w:t>Other uses</w:t>
      </w:r>
    </w:p>
    <w:p w14:paraId="6CF2A3D2" w14:textId="77777777" w:rsidR="0050375C" w:rsidRPr="006627B4" w:rsidRDefault="0050375C" w:rsidP="0050375C">
      <w:r>
        <w:t>E</w:t>
      </w:r>
      <w:r w:rsidRPr="006627B4">
        <w:t>nquiries regarding this licence and any other use of this document are welcome at:</w:t>
      </w:r>
    </w:p>
    <w:p w14:paraId="33839D6F" w14:textId="77777777" w:rsidR="00081879" w:rsidRDefault="0050375C" w:rsidP="00081879">
      <w:pPr>
        <w:spacing w:after="240"/>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Pr>
            <w:rStyle w:val="Hyperlink"/>
          </w:rPr>
          <w:t>media@treasury.gov.au</w:t>
        </w:r>
      </w:hyperlink>
    </w:p>
    <w:p w14:paraId="5B3B85C3" w14:textId="77777777" w:rsidR="0050375C" w:rsidRDefault="0050375C" w:rsidP="0050375C">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15876CE6" w14:textId="77777777" w:rsidR="00F836F9" w:rsidRPr="0050375C" w:rsidRDefault="00F836F9" w:rsidP="0050375C"/>
    <w:p w14:paraId="07696BFB" w14:textId="77777777" w:rsidR="0050375C" w:rsidRPr="0050375C" w:rsidRDefault="0050375C" w:rsidP="0050375C">
      <w:pPr>
        <w:sectPr w:rsidR="0050375C" w:rsidRPr="0050375C" w:rsidSect="00917E28">
          <w:footerReference w:type="default" r:id="rId14"/>
          <w:pgSz w:w="11906" w:h="16838" w:code="9"/>
          <w:pgMar w:top="1418" w:right="1418" w:bottom="1418" w:left="1418" w:header="709" w:footer="709" w:gutter="0"/>
          <w:pgNumType w:fmt="lowerRoman" w:start="0"/>
          <w:cols w:space="708"/>
          <w:titlePg/>
          <w:docGrid w:linePitch="360"/>
        </w:sectPr>
      </w:pPr>
    </w:p>
    <w:p w14:paraId="7260270A" w14:textId="77777777" w:rsidR="000E0B74" w:rsidRDefault="000E0B74" w:rsidP="001F1B27">
      <w:pPr>
        <w:pStyle w:val="Heading1"/>
      </w:pPr>
      <w:bookmarkStart w:id="0" w:name="_Toc184822177"/>
      <w:r w:rsidRPr="001F1B27">
        <w:lastRenderedPageBreak/>
        <w:t>Contents</w:t>
      </w:r>
      <w:bookmarkEnd w:id="0"/>
    </w:p>
    <w:p w14:paraId="59EF34A6" w14:textId="32410C8C" w:rsidR="009B6045" w:rsidRDefault="000E0B74">
      <w:pPr>
        <w:pStyle w:val="TOC1"/>
        <w:rPr>
          <w:rFonts w:asciiTheme="minorHAnsi" w:eastAsiaTheme="minorEastAsia" w:hAnsiTheme="minorHAnsi" w:cstheme="minorBidi"/>
          <w:b w:val="0"/>
          <w:color w:val="auto"/>
          <w:kern w:val="2"/>
          <w14:ligatures w14:val="standardContextual"/>
        </w:rPr>
      </w:pPr>
      <w:r>
        <w:rPr>
          <w:color w:val="004A7F"/>
        </w:rPr>
        <w:fldChar w:fldCharType="begin"/>
      </w:r>
      <w:r w:rsidRPr="0025652F">
        <w:instrText xml:space="preserve"> TOC \o "1-3" \h \z \u </w:instrText>
      </w:r>
      <w:r>
        <w:rPr>
          <w:color w:val="004A7F"/>
        </w:rPr>
        <w:fldChar w:fldCharType="separate"/>
      </w:r>
      <w:hyperlink w:anchor="_Toc184822177" w:history="1">
        <w:r w:rsidR="009B6045" w:rsidRPr="00141C41">
          <w:rPr>
            <w:rStyle w:val="Hyperlink"/>
          </w:rPr>
          <w:t>Contents</w:t>
        </w:r>
        <w:r w:rsidR="009B6045">
          <w:rPr>
            <w:webHidden/>
          </w:rPr>
          <w:tab/>
        </w:r>
        <w:r w:rsidR="009B6045">
          <w:rPr>
            <w:webHidden/>
          </w:rPr>
          <w:fldChar w:fldCharType="begin"/>
        </w:r>
        <w:r w:rsidR="009B6045">
          <w:rPr>
            <w:webHidden/>
          </w:rPr>
          <w:instrText xml:space="preserve"> PAGEREF _Toc184822177 \h </w:instrText>
        </w:r>
        <w:r w:rsidR="009B6045">
          <w:rPr>
            <w:webHidden/>
          </w:rPr>
        </w:r>
        <w:r w:rsidR="009B6045">
          <w:rPr>
            <w:webHidden/>
          </w:rPr>
          <w:fldChar w:fldCharType="separate"/>
        </w:r>
        <w:r w:rsidR="009B6045">
          <w:rPr>
            <w:webHidden/>
          </w:rPr>
          <w:t>ii</w:t>
        </w:r>
        <w:r w:rsidR="009B6045">
          <w:rPr>
            <w:webHidden/>
          </w:rPr>
          <w:fldChar w:fldCharType="end"/>
        </w:r>
      </w:hyperlink>
    </w:p>
    <w:p w14:paraId="48C39DD8" w14:textId="39DDB642" w:rsidR="009B6045" w:rsidRDefault="005C74C4">
      <w:pPr>
        <w:pStyle w:val="TOC1"/>
        <w:rPr>
          <w:rFonts w:asciiTheme="minorHAnsi" w:eastAsiaTheme="minorEastAsia" w:hAnsiTheme="minorHAnsi" w:cstheme="minorBidi"/>
          <w:b w:val="0"/>
          <w:color w:val="auto"/>
          <w:kern w:val="2"/>
          <w14:ligatures w14:val="standardContextual"/>
        </w:rPr>
      </w:pPr>
      <w:hyperlink w:anchor="_Toc184822178" w:history="1">
        <w:r w:rsidR="009B6045" w:rsidRPr="00141C41">
          <w:rPr>
            <w:rStyle w:val="Hyperlink"/>
          </w:rPr>
          <w:t>Abbreviations</w:t>
        </w:r>
        <w:r w:rsidR="009B6045">
          <w:rPr>
            <w:webHidden/>
          </w:rPr>
          <w:tab/>
        </w:r>
        <w:r w:rsidR="009B6045">
          <w:rPr>
            <w:webHidden/>
          </w:rPr>
          <w:fldChar w:fldCharType="begin"/>
        </w:r>
        <w:r w:rsidR="009B6045">
          <w:rPr>
            <w:webHidden/>
          </w:rPr>
          <w:instrText xml:space="preserve"> PAGEREF _Toc184822178 \h </w:instrText>
        </w:r>
        <w:r w:rsidR="009B6045">
          <w:rPr>
            <w:webHidden/>
          </w:rPr>
        </w:r>
        <w:r w:rsidR="009B6045">
          <w:rPr>
            <w:webHidden/>
          </w:rPr>
          <w:fldChar w:fldCharType="separate"/>
        </w:r>
        <w:r w:rsidR="009B6045">
          <w:rPr>
            <w:webHidden/>
          </w:rPr>
          <w:t>5</w:t>
        </w:r>
        <w:r w:rsidR="009B6045">
          <w:rPr>
            <w:webHidden/>
          </w:rPr>
          <w:fldChar w:fldCharType="end"/>
        </w:r>
      </w:hyperlink>
    </w:p>
    <w:p w14:paraId="138B43A2" w14:textId="62B1F923" w:rsidR="009B6045" w:rsidRDefault="005C74C4">
      <w:pPr>
        <w:pStyle w:val="TOC1"/>
        <w:rPr>
          <w:rFonts w:asciiTheme="minorHAnsi" w:eastAsiaTheme="minorEastAsia" w:hAnsiTheme="minorHAnsi" w:cstheme="minorBidi"/>
          <w:b w:val="0"/>
          <w:color w:val="auto"/>
          <w:kern w:val="2"/>
          <w14:ligatures w14:val="standardContextual"/>
        </w:rPr>
      </w:pPr>
      <w:hyperlink w:anchor="_Toc184822179" w:history="1">
        <w:r w:rsidR="009B6045" w:rsidRPr="00141C41">
          <w:rPr>
            <w:rStyle w:val="Hyperlink"/>
          </w:rPr>
          <w:t>Important notice about this Guidance</w:t>
        </w:r>
        <w:r w:rsidR="009B6045">
          <w:rPr>
            <w:webHidden/>
          </w:rPr>
          <w:tab/>
        </w:r>
        <w:r w:rsidR="009B6045">
          <w:rPr>
            <w:webHidden/>
          </w:rPr>
          <w:fldChar w:fldCharType="begin"/>
        </w:r>
        <w:r w:rsidR="009B6045">
          <w:rPr>
            <w:webHidden/>
          </w:rPr>
          <w:instrText xml:space="preserve"> PAGEREF _Toc184822179 \h </w:instrText>
        </w:r>
        <w:r w:rsidR="009B6045">
          <w:rPr>
            <w:webHidden/>
          </w:rPr>
        </w:r>
        <w:r w:rsidR="009B6045">
          <w:rPr>
            <w:webHidden/>
          </w:rPr>
          <w:fldChar w:fldCharType="separate"/>
        </w:r>
        <w:r w:rsidR="009B6045">
          <w:rPr>
            <w:webHidden/>
          </w:rPr>
          <w:t>6</w:t>
        </w:r>
        <w:r w:rsidR="009B6045">
          <w:rPr>
            <w:webHidden/>
          </w:rPr>
          <w:fldChar w:fldCharType="end"/>
        </w:r>
      </w:hyperlink>
    </w:p>
    <w:p w14:paraId="60AE615C" w14:textId="453DA332" w:rsidR="009B6045" w:rsidRDefault="005C74C4">
      <w:pPr>
        <w:pStyle w:val="TOC1"/>
        <w:rPr>
          <w:rFonts w:asciiTheme="minorHAnsi" w:eastAsiaTheme="minorEastAsia" w:hAnsiTheme="minorHAnsi" w:cstheme="minorBidi"/>
          <w:b w:val="0"/>
          <w:color w:val="auto"/>
          <w:kern w:val="2"/>
          <w14:ligatures w14:val="standardContextual"/>
        </w:rPr>
      </w:pPr>
      <w:hyperlink w:anchor="_Toc184822180" w:history="1">
        <w:r w:rsidR="009B6045" w:rsidRPr="00141C41">
          <w:rPr>
            <w:rStyle w:val="Hyperlink"/>
          </w:rPr>
          <w:t>Entities that must report</w:t>
        </w:r>
        <w:r w:rsidR="009B6045">
          <w:rPr>
            <w:webHidden/>
          </w:rPr>
          <w:tab/>
        </w:r>
        <w:r w:rsidR="009B6045">
          <w:rPr>
            <w:webHidden/>
          </w:rPr>
          <w:fldChar w:fldCharType="begin"/>
        </w:r>
        <w:r w:rsidR="009B6045">
          <w:rPr>
            <w:webHidden/>
          </w:rPr>
          <w:instrText xml:space="preserve"> PAGEREF _Toc184822180 \h </w:instrText>
        </w:r>
        <w:r w:rsidR="009B6045">
          <w:rPr>
            <w:webHidden/>
          </w:rPr>
        </w:r>
        <w:r w:rsidR="009B6045">
          <w:rPr>
            <w:webHidden/>
          </w:rPr>
          <w:fldChar w:fldCharType="separate"/>
        </w:r>
        <w:r w:rsidR="009B6045">
          <w:rPr>
            <w:webHidden/>
          </w:rPr>
          <w:t>7</w:t>
        </w:r>
        <w:r w:rsidR="009B6045">
          <w:rPr>
            <w:webHidden/>
          </w:rPr>
          <w:fldChar w:fldCharType="end"/>
        </w:r>
      </w:hyperlink>
    </w:p>
    <w:p w14:paraId="1CD9F984" w14:textId="51BBDFAB"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181" w:history="1">
        <w:r w:rsidR="009B6045" w:rsidRPr="00141C41">
          <w:rPr>
            <w:rStyle w:val="Hyperlink"/>
          </w:rPr>
          <w:t>Constitutionally covered entities (CCE)</w:t>
        </w:r>
        <w:r w:rsidR="009B6045">
          <w:rPr>
            <w:webHidden/>
          </w:rPr>
          <w:tab/>
        </w:r>
        <w:r w:rsidR="009B6045">
          <w:rPr>
            <w:webHidden/>
          </w:rPr>
          <w:fldChar w:fldCharType="begin"/>
        </w:r>
        <w:r w:rsidR="009B6045">
          <w:rPr>
            <w:webHidden/>
          </w:rPr>
          <w:instrText xml:space="preserve"> PAGEREF _Toc184822181 \h </w:instrText>
        </w:r>
        <w:r w:rsidR="009B6045">
          <w:rPr>
            <w:webHidden/>
          </w:rPr>
        </w:r>
        <w:r w:rsidR="009B6045">
          <w:rPr>
            <w:webHidden/>
          </w:rPr>
          <w:fldChar w:fldCharType="separate"/>
        </w:r>
        <w:r w:rsidR="009B6045">
          <w:rPr>
            <w:webHidden/>
          </w:rPr>
          <w:t>7</w:t>
        </w:r>
        <w:r w:rsidR="009B6045">
          <w:rPr>
            <w:webHidden/>
          </w:rPr>
          <w:fldChar w:fldCharType="end"/>
        </w:r>
      </w:hyperlink>
    </w:p>
    <w:p w14:paraId="7145F06D" w14:textId="136814D6"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2" w:history="1">
        <w:r w:rsidR="009B6045" w:rsidRPr="00141C41">
          <w:rPr>
            <w:rStyle w:val="Hyperlink"/>
          </w:rPr>
          <w:t>Australian Corporations</w:t>
        </w:r>
        <w:r w:rsidR="009B6045">
          <w:rPr>
            <w:webHidden/>
          </w:rPr>
          <w:tab/>
        </w:r>
        <w:r w:rsidR="009B6045">
          <w:rPr>
            <w:webHidden/>
          </w:rPr>
          <w:fldChar w:fldCharType="begin"/>
        </w:r>
        <w:r w:rsidR="009B6045">
          <w:rPr>
            <w:webHidden/>
          </w:rPr>
          <w:instrText xml:space="preserve"> PAGEREF _Toc184822182 \h </w:instrText>
        </w:r>
        <w:r w:rsidR="009B6045">
          <w:rPr>
            <w:webHidden/>
          </w:rPr>
        </w:r>
        <w:r w:rsidR="009B6045">
          <w:rPr>
            <w:webHidden/>
          </w:rPr>
          <w:fldChar w:fldCharType="separate"/>
        </w:r>
        <w:r w:rsidR="009B6045">
          <w:rPr>
            <w:webHidden/>
          </w:rPr>
          <w:t>7</w:t>
        </w:r>
        <w:r w:rsidR="009B6045">
          <w:rPr>
            <w:webHidden/>
          </w:rPr>
          <w:fldChar w:fldCharType="end"/>
        </w:r>
      </w:hyperlink>
    </w:p>
    <w:p w14:paraId="23257DA3" w14:textId="14FB36C2"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3" w:history="1">
        <w:r w:rsidR="009B6045" w:rsidRPr="00141C41">
          <w:rPr>
            <w:rStyle w:val="Hyperlink"/>
          </w:rPr>
          <w:t>Foreign entities</w:t>
        </w:r>
        <w:r w:rsidR="009B6045">
          <w:rPr>
            <w:webHidden/>
          </w:rPr>
          <w:tab/>
        </w:r>
        <w:r w:rsidR="009B6045">
          <w:rPr>
            <w:webHidden/>
          </w:rPr>
          <w:fldChar w:fldCharType="begin"/>
        </w:r>
        <w:r w:rsidR="009B6045">
          <w:rPr>
            <w:webHidden/>
          </w:rPr>
          <w:instrText xml:space="preserve"> PAGEREF _Toc184822183 \h </w:instrText>
        </w:r>
        <w:r w:rsidR="009B6045">
          <w:rPr>
            <w:webHidden/>
          </w:rPr>
        </w:r>
        <w:r w:rsidR="009B6045">
          <w:rPr>
            <w:webHidden/>
          </w:rPr>
          <w:fldChar w:fldCharType="separate"/>
        </w:r>
        <w:r w:rsidR="009B6045">
          <w:rPr>
            <w:webHidden/>
          </w:rPr>
          <w:t>8</w:t>
        </w:r>
        <w:r w:rsidR="009B6045">
          <w:rPr>
            <w:webHidden/>
          </w:rPr>
          <w:fldChar w:fldCharType="end"/>
        </w:r>
      </w:hyperlink>
    </w:p>
    <w:p w14:paraId="70518963" w14:textId="0B3DAEF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4" w:history="1">
        <w:r w:rsidR="009B6045" w:rsidRPr="00141C41">
          <w:rPr>
            <w:rStyle w:val="Hyperlink"/>
          </w:rPr>
          <w:t>Non-corporate entities</w:t>
        </w:r>
        <w:r w:rsidR="009B6045">
          <w:rPr>
            <w:webHidden/>
          </w:rPr>
          <w:tab/>
        </w:r>
        <w:r w:rsidR="009B6045">
          <w:rPr>
            <w:webHidden/>
          </w:rPr>
          <w:fldChar w:fldCharType="begin"/>
        </w:r>
        <w:r w:rsidR="009B6045">
          <w:rPr>
            <w:webHidden/>
          </w:rPr>
          <w:instrText xml:space="preserve"> PAGEREF _Toc184822184 \h </w:instrText>
        </w:r>
        <w:r w:rsidR="009B6045">
          <w:rPr>
            <w:webHidden/>
          </w:rPr>
        </w:r>
        <w:r w:rsidR="009B6045">
          <w:rPr>
            <w:webHidden/>
          </w:rPr>
          <w:fldChar w:fldCharType="separate"/>
        </w:r>
        <w:r w:rsidR="009B6045">
          <w:rPr>
            <w:webHidden/>
          </w:rPr>
          <w:t>8</w:t>
        </w:r>
        <w:r w:rsidR="009B6045">
          <w:rPr>
            <w:webHidden/>
          </w:rPr>
          <w:fldChar w:fldCharType="end"/>
        </w:r>
      </w:hyperlink>
    </w:p>
    <w:p w14:paraId="03109D7E" w14:textId="67D7B0B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5" w:history="1">
        <w:r w:rsidR="009B6045" w:rsidRPr="00141C41">
          <w:rPr>
            <w:rStyle w:val="Hyperlink"/>
          </w:rPr>
          <w:t>Corporate Commonwealth Entities and Companies</w:t>
        </w:r>
        <w:r w:rsidR="009B6045">
          <w:rPr>
            <w:webHidden/>
          </w:rPr>
          <w:tab/>
        </w:r>
        <w:r w:rsidR="009B6045">
          <w:rPr>
            <w:webHidden/>
          </w:rPr>
          <w:fldChar w:fldCharType="begin"/>
        </w:r>
        <w:r w:rsidR="009B6045">
          <w:rPr>
            <w:webHidden/>
          </w:rPr>
          <w:instrText xml:space="preserve"> PAGEREF _Toc184822185 \h </w:instrText>
        </w:r>
        <w:r w:rsidR="009B6045">
          <w:rPr>
            <w:webHidden/>
          </w:rPr>
        </w:r>
        <w:r w:rsidR="009B6045">
          <w:rPr>
            <w:webHidden/>
          </w:rPr>
          <w:fldChar w:fldCharType="separate"/>
        </w:r>
        <w:r w:rsidR="009B6045">
          <w:rPr>
            <w:webHidden/>
          </w:rPr>
          <w:t>8</w:t>
        </w:r>
        <w:r w:rsidR="009B6045">
          <w:rPr>
            <w:webHidden/>
          </w:rPr>
          <w:fldChar w:fldCharType="end"/>
        </w:r>
      </w:hyperlink>
    </w:p>
    <w:p w14:paraId="2F76AE6F" w14:textId="093C263B"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186" w:history="1">
        <w:r w:rsidR="009B6045" w:rsidRPr="00141C41">
          <w:rPr>
            <w:rStyle w:val="Hyperlink"/>
          </w:rPr>
          <w:t>Connection to Australia</w:t>
        </w:r>
        <w:r w:rsidR="009B6045">
          <w:rPr>
            <w:webHidden/>
          </w:rPr>
          <w:tab/>
        </w:r>
        <w:r w:rsidR="009B6045">
          <w:rPr>
            <w:webHidden/>
          </w:rPr>
          <w:fldChar w:fldCharType="begin"/>
        </w:r>
        <w:r w:rsidR="009B6045">
          <w:rPr>
            <w:webHidden/>
          </w:rPr>
          <w:instrText xml:space="preserve"> PAGEREF _Toc184822186 \h </w:instrText>
        </w:r>
        <w:r w:rsidR="009B6045">
          <w:rPr>
            <w:webHidden/>
          </w:rPr>
        </w:r>
        <w:r w:rsidR="009B6045">
          <w:rPr>
            <w:webHidden/>
          </w:rPr>
          <w:fldChar w:fldCharType="separate"/>
        </w:r>
        <w:r w:rsidR="009B6045">
          <w:rPr>
            <w:webHidden/>
          </w:rPr>
          <w:t>8</w:t>
        </w:r>
        <w:r w:rsidR="009B6045">
          <w:rPr>
            <w:webHidden/>
          </w:rPr>
          <w:fldChar w:fldCharType="end"/>
        </w:r>
      </w:hyperlink>
    </w:p>
    <w:p w14:paraId="770EB2FD" w14:textId="04752FEB"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187" w:history="1">
        <w:r w:rsidR="009B6045" w:rsidRPr="00141C41">
          <w:rPr>
            <w:rStyle w:val="Hyperlink"/>
          </w:rPr>
          <w:t>Revenue threshold</w:t>
        </w:r>
        <w:r w:rsidR="009B6045">
          <w:rPr>
            <w:webHidden/>
          </w:rPr>
          <w:tab/>
        </w:r>
        <w:r w:rsidR="009B6045">
          <w:rPr>
            <w:webHidden/>
          </w:rPr>
          <w:fldChar w:fldCharType="begin"/>
        </w:r>
        <w:r w:rsidR="009B6045">
          <w:rPr>
            <w:webHidden/>
          </w:rPr>
          <w:instrText xml:space="preserve"> PAGEREF _Toc184822187 \h </w:instrText>
        </w:r>
        <w:r w:rsidR="009B6045">
          <w:rPr>
            <w:webHidden/>
          </w:rPr>
        </w:r>
        <w:r w:rsidR="009B6045">
          <w:rPr>
            <w:webHidden/>
          </w:rPr>
          <w:fldChar w:fldCharType="separate"/>
        </w:r>
        <w:r w:rsidR="009B6045">
          <w:rPr>
            <w:webHidden/>
          </w:rPr>
          <w:t>9</w:t>
        </w:r>
        <w:r w:rsidR="009B6045">
          <w:rPr>
            <w:webHidden/>
          </w:rPr>
          <w:fldChar w:fldCharType="end"/>
        </w:r>
      </w:hyperlink>
    </w:p>
    <w:p w14:paraId="09F57C84" w14:textId="389137AC"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8" w:history="1">
        <w:r w:rsidR="009B6045" w:rsidRPr="00141C41">
          <w:rPr>
            <w:rStyle w:val="Hyperlink"/>
          </w:rPr>
          <w:t>Identifying controlled entities</w:t>
        </w:r>
        <w:r w:rsidR="009B6045">
          <w:rPr>
            <w:webHidden/>
          </w:rPr>
          <w:tab/>
        </w:r>
        <w:r w:rsidR="009B6045">
          <w:rPr>
            <w:webHidden/>
          </w:rPr>
          <w:fldChar w:fldCharType="begin"/>
        </w:r>
        <w:r w:rsidR="009B6045">
          <w:rPr>
            <w:webHidden/>
          </w:rPr>
          <w:instrText xml:space="preserve"> PAGEREF _Toc184822188 \h </w:instrText>
        </w:r>
        <w:r w:rsidR="009B6045">
          <w:rPr>
            <w:webHidden/>
          </w:rPr>
        </w:r>
        <w:r w:rsidR="009B6045">
          <w:rPr>
            <w:webHidden/>
          </w:rPr>
          <w:fldChar w:fldCharType="separate"/>
        </w:r>
        <w:r w:rsidR="009B6045">
          <w:rPr>
            <w:webHidden/>
          </w:rPr>
          <w:t>10</w:t>
        </w:r>
        <w:r w:rsidR="009B6045">
          <w:rPr>
            <w:webHidden/>
          </w:rPr>
          <w:fldChar w:fldCharType="end"/>
        </w:r>
      </w:hyperlink>
    </w:p>
    <w:p w14:paraId="29B676F2" w14:textId="3B8D331B"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89" w:history="1">
        <w:r w:rsidR="009B6045" w:rsidRPr="00141C41">
          <w:rPr>
            <w:rStyle w:val="Hyperlink"/>
          </w:rPr>
          <w:t>Consolidated revenue</w:t>
        </w:r>
        <w:r w:rsidR="009B6045">
          <w:rPr>
            <w:webHidden/>
          </w:rPr>
          <w:tab/>
        </w:r>
        <w:r w:rsidR="009B6045">
          <w:rPr>
            <w:webHidden/>
          </w:rPr>
          <w:fldChar w:fldCharType="begin"/>
        </w:r>
        <w:r w:rsidR="009B6045">
          <w:rPr>
            <w:webHidden/>
          </w:rPr>
          <w:instrText xml:space="preserve"> PAGEREF _Toc184822189 \h </w:instrText>
        </w:r>
        <w:r w:rsidR="009B6045">
          <w:rPr>
            <w:webHidden/>
          </w:rPr>
        </w:r>
        <w:r w:rsidR="009B6045">
          <w:rPr>
            <w:webHidden/>
          </w:rPr>
          <w:fldChar w:fldCharType="separate"/>
        </w:r>
        <w:r w:rsidR="009B6045">
          <w:rPr>
            <w:webHidden/>
          </w:rPr>
          <w:t>13</w:t>
        </w:r>
        <w:r w:rsidR="009B6045">
          <w:rPr>
            <w:webHidden/>
          </w:rPr>
          <w:fldChar w:fldCharType="end"/>
        </w:r>
      </w:hyperlink>
    </w:p>
    <w:p w14:paraId="57FDF515" w14:textId="13F4637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0" w:history="1">
        <w:r w:rsidR="009B6045" w:rsidRPr="00141C41">
          <w:rPr>
            <w:rStyle w:val="Hyperlink"/>
          </w:rPr>
          <w:t>Foreign currency translation</w:t>
        </w:r>
        <w:r w:rsidR="009B6045">
          <w:rPr>
            <w:webHidden/>
          </w:rPr>
          <w:tab/>
        </w:r>
        <w:r w:rsidR="009B6045">
          <w:rPr>
            <w:webHidden/>
          </w:rPr>
          <w:fldChar w:fldCharType="begin"/>
        </w:r>
        <w:r w:rsidR="009B6045">
          <w:rPr>
            <w:webHidden/>
          </w:rPr>
          <w:instrText xml:space="preserve"> PAGEREF _Toc184822190 \h </w:instrText>
        </w:r>
        <w:r w:rsidR="009B6045">
          <w:rPr>
            <w:webHidden/>
          </w:rPr>
        </w:r>
        <w:r w:rsidR="009B6045">
          <w:rPr>
            <w:webHidden/>
          </w:rPr>
          <w:fldChar w:fldCharType="separate"/>
        </w:r>
        <w:r w:rsidR="009B6045">
          <w:rPr>
            <w:webHidden/>
          </w:rPr>
          <w:t>13</w:t>
        </w:r>
        <w:r w:rsidR="009B6045">
          <w:rPr>
            <w:webHidden/>
          </w:rPr>
          <w:fldChar w:fldCharType="end"/>
        </w:r>
      </w:hyperlink>
    </w:p>
    <w:p w14:paraId="44B0184C" w14:textId="096A2D12"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191" w:history="1">
        <w:r w:rsidR="009B6045" w:rsidRPr="00141C41">
          <w:rPr>
            <w:rStyle w:val="Hyperlink"/>
          </w:rPr>
          <w:t>Excluded entities</w:t>
        </w:r>
        <w:r w:rsidR="009B6045">
          <w:rPr>
            <w:webHidden/>
          </w:rPr>
          <w:tab/>
        </w:r>
        <w:r w:rsidR="009B6045">
          <w:rPr>
            <w:webHidden/>
          </w:rPr>
          <w:fldChar w:fldCharType="begin"/>
        </w:r>
        <w:r w:rsidR="009B6045">
          <w:rPr>
            <w:webHidden/>
          </w:rPr>
          <w:instrText xml:space="preserve"> PAGEREF _Toc184822191 \h </w:instrText>
        </w:r>
        <w:r w:rsidR="009B6045">
          <w:rPr>
            <w:webHidden/>
          </w:rPr>
        </w:r>
        <w:r w:rsidR="009B6045">
          <w:rPr>
            <w:webHidden/>
          </w:rPr>
          <w:fldChar w:fldCharType="separate"/>
        </w:r>
        <w:r w:rsidR="009B6045">
          <w:rPr>
            <w:webHidden/>
          </w:rPr>
          <w:t>14</w:t>
        </w:r>
        <w:r w:rsidR="009B6045">
          <w:rPr>
            <w:webHidden/>
          </w:rPr>
          <w:fldChar w:fldCharType="end"/>
        </w:r>
      </w:hyperlink>
    </w:p>
    <w:p w14:paraId="32A0E424" w14:textId="6D654A2A"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2" w:history="1">
        <w:r w:rsidR="009B6045" w:rsidRPr="00141C41">
          <w:rPr>
            <w:rStyle w:val="Hyperlink"/>
          </w:rPr>
          <w:t>Charities and not-for-profits</w:t>
        </w:r>
        <w:r w:rsidR="009B6045">
          <w:rPr>
            <w:webHidden/>
          </w:rPr>
          <w:tab/>
        </w:r>
        <w:r w:rsidR="009B6045">
          <w:rPr>
            <w:webHidden/>
          </w:rPr>
          <w:fldChar w:fldCharType="begin"/>
        </w:r>
        <w:r w:rsidR="009B6045">
          <w:rPr>
            <w:webHidden/>
          </w:rPr>
          <w:instrText xml:space="preserve"> PAGEREF _Toc184822192 \h </w:instrText>
        </w:r>
        <w:r w:rsidR="009B6045">
          <w:rPr>
            <w:webHidden/>
          </w:rPr>
        </w:r>
        <w:r w:rsidR="009B6045">
          <w:rPr>
            <w:webHidden/>
          </w:rPr>
          <w:fldChar w:fldCharType="separate"/>
        </w:r>
        <w:r w:rsidR="009B6045">
          <w:rPr>
            <w:webHidden/>
          </w:rPr>
          <w:t>14</w:t>
        </w:r>
        <w:r w:rsidR="009B6045">
          <w:rPr>
            <w:webHidden/>
          </w:rPr>
          <w:fldChar w:fldCharType="end"/>
        </w:r>
      </w:hyperlink>
    </w:p>
    <w:p w14:paraId="615D0C52" w14:textId="4C75D2F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3" w:history="1">
        <w:r w:rsidR="009B6045" w:rsidRPr="00141C41">
          <w:rPr>
            <w:rStyle w:val="Hyperlink"/>
          </w:rPr>
          <w:t>Entities controlled by reporting entities</w:t>
        </w:r>
        <w:r w:rsidR="009B6045">
          <w:rPr>
            <w:webHidden/>
          </w:rPr>
          <w:tab/>
        </w:r>
        <w:r w:rsidR="009B6045">
          <w:rPr>
            <w:webHidden/>
          </w:rPr>
          <w:fldChar w:fldCharType="begin"/>
        </w:r>
        <w:r w:rsidR="009B6045">
          <w:rPr>
            <w:webHidden/>
          </w:rPr>
          <w:instrText xml:space="preserve"> PAGEREF _Toc184822193 \h </w:instrText>
        </w:r>
        <w:r w:rsidR="009B6045">
          <w:rPr>
            <w:webHidden/>
          </w:rPr>
        </w:r>
        <w:r w:rsidR="009B6045">
          <w:rPr>
            <w:webHidden/>
          </w:rPr>
          <w:fldChar w:fldCharType="separate"/>
        </w:r>
        <w:r w:rsidR="009B6045">
          <w:rPr>
            <w:webHidden/>
          </w:rPr>
          <w:t>14</w:t>
        </w:r>
        <w:r w:rsidR="009B6045">
          <w:rPr>
            <w:webHidden/>
          </w:rPr>
          <w:fldChar w:fldCharType="end"/>
        </w:r>
      </w:hyperlink>
    </w:p>
    <w:p w14:paraId="49AE9E6C" w14:textId="0EFF654D"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194" w:history="1">
        <w:r w:rsidR="009B6045" w:rsidRPr="00141C41">
          <w:rPr>
            <w:rStyle w:val="Hyperlink"/>
          </w:rPr>
          <w:t>Ceasing to be a reporting entity</w:t>
        </w:r>
        <w:r w:rsidR="009B6045">
          <w:rPr>
            <w:webHidden/>
          </w:rPr>
          <w:tab/>
        </w:r>
        <w:r w:rsidR="009B6045">
          <w:rPr>
            <w:webHidden/>
          </w:rPr>
          <w:fldChar w:fldCharType="begin"/>
        </w:r>
        <w:r w:rsidR="009B6045">
          <w:rPr>
            <w:webHidden/>
          </w:rPr>
          <w:instrText xml:space="preserve"> PAGEREF _Toc184822194 \h </w:instrText>
        </w:r>
        <w:r w:rsidR="009B6045">
          <w:rPr>
            <w:webHidden/>
          </w:rPr>
        </w:r>
        <w:r w:rsidR="009B6045">
          <w:rPr>
            <w:webHidden/>
          </w:rPr>
          <w:fldChar w:fldCharType="separate"/>
        </w:r>
        <w:r w:rsidR="009B6045">
          <w:rPr>
            <w:webHidden/>
          </w:rPr>
          <w:t>15</w:t>
        </w:r>
        <w:r w:rsidR="009B6045">
          <w:rPr>
            <w:webHidden/>
          </w:rPr>
          <w:fldChar w:fldCharType="end"/>
        </w:r>
      </w:hyperlink>
    </w:p>
    <w:p w14:paraId="4B008002" w14:textId="05DDEE7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5" w:history="1">
        <w:r w:rsidR="009B6045" w:rsidRPr="00141C41">
          <w:rPr>
            <w:rStyle w:val="Hyperlink"/>
          </w:rPr>
          <w:t>Winding up and deregistering</w:t>
        </w:r>
        <w:r w:rsidR="009B6045">
          <w:rPr>
            <w:webHidden/>
          </w:rPr>
          <w:tab/>
        </w:r>
        <w:r w:rsidR="009B6045">
          <w:rPr>
            <w:webHidden/>
          </w:rPr>
          <w:fldChar w:fldCharType="begin"/>
        </w:r>
        <w:r w:rsidR="009B6045">
          <w:rPr>
            <w:webHidden/>
          </w:rPr>
          <w:instrText xml:space="preserve"> PAGEREF _Toc184822195 \h </w:instrText>
        </w:r>
        <w:r w:rsidR="009B6045">
          <w:rPr>
            <w:webHidden/>
          </w:rPr>
        </w:r>
        <w:r w:rsidR="009B6045">
          <w:rPr>
            <w:webHidden/>
          </w:rPr>
          <w:fldChar w:fldCharType="separate"/>
        </w:r>
        <w:r w:rsidR="009B6045">
          <w:rPr>
            <w:webHidden/>
          </w:rPr>
          <w:t>15</w:t>
        </w:r>
        <w:r w:rsidR="009B6045">
          <w:rPr>
            <w:webHidden/>
          </w:rPr>
          <w:fldChar w:fldCharType="end"/>
        </w:r>
      </w:hyperlink>
    </w:p>
    <w:p w14:paraId="6D3BA058" w14:textId="2703F015"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6" w:history="1">
        <w:r w:rsidR="009B6045" w:rsidRPr="00141C41">
          <w:rPr>
            <w:rStyle w:val="Hyperlink"/>
          </w:rPr>
          <w:t>Consolidated revenue below $100 million</w:t>
        </w:r>
        <w:r w:rsidR="009B6045">
          <w:rPr>
            <w:webHidden/>
          </w:rPr>
          <w:tab/>
        </w:r>
        <w:r w:rsidR="009B6045">
          <w:rPr>
            <w:webHidden/>
          </w:rPr>
          <w:fldChar w:fldCharType="begin"/>
        </w:r>
        <w:r w:rsidR="009B6045">
          <w:rPr>
            <w:webHidden/>
          </w:rPr>
          <w:instrText xml:space="preserve"> PAGEREF _Toc184822196 \h </w:instrText>
        </w:r>
        <w:r w:rsidR="009B6045">
          <w:rPr>
            <w:webHidden/>
          </w:rPr>
        </w:r>
        <w:r w:rsidR="009B6045">
          <w:rPr>
            <w:webHidden/>
          </w:rPr>
          <w:fldChar w:fldCharType="separate"/>
        </w:r>
        <w:r w:rsidR="009B6045">
          <w:rPr>
            <w:webHidden/>
          </w:rPr>
          <w:t>15</w:t>
        </w:r>
        <w:r w:rsidR="009B6045">
          <w:rPr>
            <w:webHidden/>
          </w:rPr>
          <w:fldChar w:fldCharType="end"/>
        </w:r>
      </w:hyperlink>
    </w:p>
    <w:p w14:paraId="23834515" w14:textId="5D880ACB"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7" w:history="1">
        <w:r w:rsidR="009B6045" w:rsidRPr="00141C41">
          <w:rPr>
            <w:rStyle w:val="Hyperlink"/>
          </w:rPr>
          <w:t>Acquisitions by other reporting entities</w:t>
        </w:r>
        <w:r w:rsidR="009B6045">
          <w:rPr>
            <w:webHidden/>
          </w:rPr>
          <w:tab/>
        </w:r>
        <w:r w:rsidR="009B6045">
          <w:rPr>
            <w:webHidden/>
          </w:rPr>
          <w:fldChar w:fldCharType="begin"/>
        </w:r>
        <w:r w:rsidR="009B6045">
          <w:rPr>
            <w:webHidden/>
          </w:rPr>
          <w:instrText xml:space="preserve"> PAGEREF _Toc184822197 \h </w:instrText>
        </w:r>
        <w:r w:rsidR="009B6045">
          <w:rPr>
            <w:webHidden/>
          </w:rPr>
        </w:r>
        <w:r w:rsidR="009B6045">
          <w:rPr>
            <w:webHidden/>
          </w:rPr>
          <w:fldChar w:fldCharType="separate"/>
        </w:r>
        <w:r w:rsidR="009B6045">
          <w:rPr>
            <w:webHidden/>
          </w:rPr>
          <w:t>16</w:t>
        </w:r>
        <w:r w:rsidR="009B6045">
          <w:rPr>
            <w:webHidden/>
          </w:rPr>
          <w:fldChar w:fldCharType="end"/>
        </w:r>
      </w:hyperlink>
    </w:p>
    <w:p w14:paraId="7DFE0CDE" w14:textId="28300E32"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198" w:history="1">
        <w:r w:rsidR="009B6045" w:rsidRPr="00141C41">
          <w:rPr>
            <w:rStyle w:val="Hyperlink"/>
          </w:rPr>
          <w:t>Other circumstances</w:t>
        </w:r>
        <w:r w:rsidR="009B6045">
          <w:rPr>
            <w:webHidden/>
          </w:rPr>
          <w:tab/>
        </w:r>
        <w:r w:rsidR="009B6045">
          <w:rPr>
            <w:webHidden/>
          </w:rPr>
          <w:fldChar w:fldCharType="begin"/>
        </w:r>
        <w:r w:rsidR="009B6045">
          <w:rPr>
            <w:webHidden/>
          </w:rPr>
          <w:instrText xml:space="preserve"> PAGEREF _Toc184822198 \h </w:instrText>
        </w:r>
        <w:r w:rsidR="009B6045">
          <w:rPr>
            <w:webHidden/>
          </w:rPr>
        </w:r>
        <w:r w:rsidR="009B6045">
          <w:rPr>
            <w:webHidden/>
          </w:rPr>
          <w:fldChar w:fldCharType="separate"/>
        </w:r>
        <w:r w:rsidR="009B6045">
          <w:rPr>
            <w:webHidden/>
          </w:rPr>
          <w:t>16</w:t>
        </w:r>
        <w:r w:rsidR="009B6045">
          <w:rPr>
            <w:webHidden/>
          </w:rPr>
          <w:fldChar w:fldCharType="end"/>
        </w:r>
      </w:hyperlink>
    </w:p>
    <w:p w14:paraId="1640A37A" w14:textId="1FE33458" w:rsidR="009B6045" w:rsidRDefault="005C74C4">
      <w:pPr>
        <w:pStyle w:val="TOC1"/>
        <w:rPr>
          <w:rFonts w:asciiTheme="minorHAnsi" w:eastAsiaTheme="minorEastAsia" w:hAnsiTheme="minorHAnsi" w:cstheme="minorBidi"/>
          <w:b w:val="0"/>
          <w:color w:val="auto"/>
          <w:kern w:val="2"/>
          <w14:ligatures w14:val="standardContextual"/>
        </w:rPr>
      </w:pPr>
      <w:hyperlink w:anchor="_Toc184822199" w:history="1">
        <w:r w:rsidR="009B6045" w:rsidRPr="00141C41">
          <w:rPr>
            <w:rStyle w:val="Hyperlink"/>
          </w:rPr>
          <w:t>Volunteering and modifying reporting structures</w:t>
        </w:r>
        <w:r w:rsidR="009B6045">
          <w:rPr>
            <w:webHidden/>
          </w:rPr>
          <w:tab/>
        </w:r>
        <w:r w:rsidR="009B6045">
          <w:rPr>
            <w:webHidden/>
          </w:rPr>
          <w:fldChar w:fldCharType="begin"/>
        </w:r>
        <w:r w:rsidR="009B6045">
          <w:rPr>
            <w:webHidden/>
          </w:rPr>
          <w:instrText xml:space="preserve"> PAGEREF _Toc184822199 \h </w:instrText>
        </w:r>
        <w:r w:rsidR="009B6045">
          <w:rPr>
            <w:webHidden/>
          </w:rPr>
        </w:r>
        <w:r w:rsidR="009B6045">
          <w:rPr>
            <w:webHidden/>
          </w:rPr>
          <w:fldChar w:fldCharType="separate"/>
        </w:r>
        <w:r w:rsidR="009B6045">
          <w:rPr>
            <w:webHidden/>
          </w:rPr>
          <w:t>17</w:t>
        </w:r>
        <w:r w:rsidR="009B6045">
          <w:rPr>
            <w:webHidden/>
          </w:rPr>
          <w:fldChar w:fldCharType="end"/>
        </w:r>
      </w:hyperlink>
    </w:p>
    <w:p w14:paraId="48CC387E" w14:textId="35F0E6AA"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00" w:history="1">
        <w:r w:rsidR="009B6045" w:rsidRPr="00141C41">
          <w:rPr>
            <w:rStyle w:val="Hyperlink"/>
          </w:rPr>
          <w:t>Volunteering entities</w:t>
        </w:r>
        <w:r w:rsidR="009B6045">
          <w:rPr>
            <w:webHidden/>
          </w:rPr>
          <w:tab/>
        </w:r>
        <w:r w:rsidR="009B6045">
          <w:rPr>
            <w:webHidden/>
          </w:rPr>
          <w:fldChar w:fldCharType="begin"/>
        </w:r>
        <w:r w:rsidR="009B6045">
          <w:rPr>
            <w:webHidden/>
          </w:rPr>
          <w:instrText xml:space="preserve"> PAGEREF _Toc184822200 \h </w:instrText>
        </w:r>
        <w:r w:rsidR="009B6045">
          <w:rPr>
            <w:webHidden/>
          </w:rPr>
        </w:r>
        <w:r w:rsidR="009B6045">
          <w:rPr>
            <w:webHidden/>
          </w:rPr>
          <w:fldChar w:fldCharType="separate"/>
        </w:r>
        <w:r w:rsidR="009B6045">
          <w:rPr>
            <w:webHidden/>
          </w:rPr>
          <w:t>17</w:t>
        </w:r>
        <w:r w:rsidR="009B6045">
          <w:rPr>
            <w:webHidden/>
          </w:rPr>
          <w:fldChar w:fldCharType="end"/>
        </w:r>
      </w:hyperlink>
    </w:p>
    <w:p w14:paraId="5DA003F3" w14:textId="404B7A6D"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1" w:history="1">
        <w:r w:rsidR="009B6045" w:rsidRPr="00141C41">
          <w:rPr>
            <w:rStyle w:val="Hyperlink"/>
          </w:rPr>
          <w:t>Becoming a volunteer reporting entity</w:t>
        </w:r>
        <w:r w:rsidR="009B6045">
          <w:rPr>
            <w:webHidden/>
          </w:rPr>
          <w:tab/>
        </w:r>
        <w:r w:rsidR="009B6045">
          <w:rPr>
            <w:webHidden/>
          </w:rPr>
          <w:fldChar w:fldCharType="begin"/>
        </w:r>
        <w:r w:rsidR="009B6045">
          <w:rPr>
            <w:webHidden/>
          </w:rPr>
          <w:instrText xml:space="preserve"> PAGEREF _Toc184822201 \h </w:instrText>
        </w:r>
        <w:r w:rsidR="009B6045">
          <w:rPr>
            <w:webHidden/>
          </w:rPr>
        </w:r>
        <w:r w:rsidR="009B6045">
          <w:rPr>
            <w:webHidden/>
          </w:rPr>
          <w:fldChar w:fldCharType="separate"/>
        </w:r>
        <w:r w:rsidR="009B6045">
          <w:rPr>
            <w:webHidden/>
          </w:rPr>
          <w:t>17</w:t>
        </w:r>
        <w:r w:rsidR="009B6045">
          <w:rPr>
            <w:webHidden/>
          </w:rPr>
          <w:fldChar w:fldCharType="end"/>
        </w:r>
      </w:hyperlink>
    </w:p>
    <w:p w14:paraId="5EC47ABC" w14:textId="7D5D2F46"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2" w:history="1">
        <w:r w:rsidR="009B6045" w:rsidRPr="00141C41">
          <w:rPr>
            <w:rStyle w:val="Hyperlink"/>
          </w:rPr>
          <w:t>Obligations of volunteer reporting entities</w:t>
        </w:r>
        <w:r w:rsidR="009B6045">
          <w:rPr>
            <w:webHidden/>
          </w:rPr>
          <w:tab/>
        </w:r>
        <w:r w:rsidR="009B6045">
          <w:rPr>
            <w:webHidden/>
          </w:rPr>
          <w:fldChar w:fldCharType="begin"/>
        </w:r>
        <w:r w:rsidR="009B6045">
          <w:rPr>
            <w:webHidden/>
          </w:rPr>
          <w:instrText xml:space="preserve"> PAGEREF _Toc184822202 \h </w:instrText>
        </w:r>
        <w:r w:rsidR="009B6045">
          <w:rPr>
            <w:webHidden/>
          </w:rPr>
        </w:r>
        <w:r w:rsidR="009B6045">
          <w:rPr>
            <w:webHidden/>
          </w:rPr>
          <w:fldChar w:fldCharType="separate"/>
        </w:r>
        <w:r w:rsidR="009B6045">
          <w:rPr>
            <w:webHidden/>
          </w:rPr>
          <w:t>17</w:t>
        </w:r>
        <w:r w:rsidR="009B6045">
          <w:rPr>
            <w:webHidden/>
          </w:rPr>
          <w:fldChar w:fldCharType="end"/>
        </w:r>
      </w:hyperlink>
    </w:p>
    <w:p w14:paraId="32A568FF" w14:textId="6CE2B82F"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3" w:history="1">
        <w:r w:rsidR="009B6045" w:rsidRPr="00141C41">
          <w:rPr>
            <w:rStyle w:val="Hyperlink"/>
          </w:rPr>
          <w:t>Ceasing to be a volunteer reporting entity</w:t>
        </w:r>
        <w:r w:rsidR="009B6045">
          <w:rPr>
            <w:webHidden/>
          </w:rPr>
          <w:tab/>
        </w:r>
        <w:r w:rsidR="009B6045">
          <w:rPr>
            <w:webHidden/>
          </w:rPr>
          <w:fldChar w:fldCharType="begin"/>
        </w:r>
        <w:r w:rsidR="009B6045">
          <w:rPr>
            <w:webHidden/>
          </w:rPr>
          <w:instrText xml:space="preserve"> PAGEREF _Toc184822203 \h </w:instrText>
        </w:r>
        <w:r w:rsidR="009B6045">
          <w:rPr>
            <w:webHidden/>
          </w:rPr>
        </w:r>
        <w:r w:rsidR="009B6045">
          <w:rPr>
            <w:webHidden/>
          </w:rPr>
          <w:fldChar w:fldCharType="separate"/>
        </w:r>
        <w:r w:rsidR="009B6045">
          <w:rPr>
            <w:webHidden/>
          </w:rPr>
          <w:t>17</w:t>
        </w:r>
        <w:r w:rsidR="009B6045">
          <w:rPr>
            <w:webHidden/>
          </w:rPr>
          <w:fldChar w:fldCharType="end"/>
        </w:r>
      </w:hyperlink>
    </w:p>
    <w:p w14:paraId="0EB9CB4B" w14:textId="6B1588A6"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04" w:history="1">
        <w:r w:rsidR="009B6045" w:rsidRPr="00141C41">
          <w:rPr>
            <w:rStyle w:val="Hyperlink"/>
          </w:rPr>
          <w:t>Nominee reporting entities</w:t>
        </w:r>
        <w:r w:rsidR="009B6045">
          <w:rPr>
            <w:webHidden/>
          </w:rPr>
          <w:tab/>
        </w:r>
        <w:r w:rsidR="009B6045">
          <w:rPr>
            <w:webHidden/>
          </w:rPr>
          <w:fldChar w:fldCharType="begin"/>
        </w:r>
        <w:r w:rsidR="009B6045">
          <w:rPr>
            <w:webHidden/>
          </w:rPr>
          <w:instrText xml:space="preserve"> PAGEREF _Toc184822204 \h </w:instrText>
        </w:r>
        <w:r w:rsidR="009B6045">
          <w:rPr>
            <w:webHidden/>
          </w:rPr>
        </w:r>
        <w:r w:rsidR="009B6045">
          <w:rPr>
            <w:webHidden/>
          </w:rPr>
          <w:fldChar w:fldCharType="separate"/>
        </w:r>
        <w:r w:rsidR="009B6045">
          <w:rPr>
            <w:webHidden/>
          </w:rPr>
          <w:t>18</w:t>
        </w:r>
        <w:r w:rsidR="009B6045">
          <w:rPr>
            <w:webHidden/>
          </w:rPr>
          <w:fldChar w:fldCharType="end"/>
        </w:r>
      </w:hyperlink>
    </w:p>
    <w:p w14:paraId="08B8A8C2" w14:textId="31D81F49"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5" w:history="1">
        <w:r w:rsidR="009B6045" w:rsidRPr="00141C41">
          <w:rPr>
            <w:rStyle w:val="Hyperlink"/>
          </w:rPr>
          <w:t>Becoming a nominee reporting entity</w:t>
        </w:r>
        <w:r w:rsidR="009B6045">
          <w:rPr>
            <w:webHidden/>
          </w:rPr>
          <w:tab/>
        </w:r>
        <w:r w:rsidR="009B6045">
          <w:rPr>
            <w:webHidden/>
          </w:rPr>
          <w:fldChar w:fldCharType="begin"/>
        </w:r>
        <w:r w:rsidR="009B6045">
          <w:rPr>
            <w:webHidden/>
          </w:rPr>
          <w:instrText xml:space="preserve"> PAGEREF _Toc184822205 \h </w:instrText>
        </w:r>
        <w:r w:rsidR="009B6045">
          <w:rPr>
            <w:webHidden/>
          </w:rPr>
        </w:r>
        <w:r w:rsidR="009B6045">
          <w:rPr>
            <w:webHidden/>
          </w:rPr>
          <w:fldChar w:fldCharType="separate"/>
        </w:r>
        <w:r w:rsidR="009B6045">
          <w:rPr>
            <w:webHidden/>
          </w:rPr>
          <w:t>18</w:t>
        </w:r>
        <w:r w:rsidR="009B6045">
          <w:rPr>
            <w:webHidden/>
          </w:rPr>
          <w:fldChar w:fldCharType="end"/>
        </w:r>
      </w:hyperlink>
    </w:p>
    <w:p w14:paraId="2F2EC9E8" w14:textId="027B0D6B"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6" w:history="1">
        <w:r w:rsidR="009B6045" w:rsidRPr="00141C41">
          <w:rPr>
            <w:rStyle w:val="Hyperlink"/>
          </w:rPr>
          <w:t>Obligations of nominee reporting entities</w:t>
        </w:r>
        <w:r w:rsidR="009B6045">
          <w:rPr>
            <w:webHidden/>
          </w:rPr>
          <w:tab/>
        </w:r>
        <w:r w:rsidR="009B6045">
          <w:rPr>
            <w:webHidden/>
          </w:rPr>
          <w:fldChar w:fldCharType="begin"/>
        </w:r>
        <w:r w:rsidR="009B6045">
          <w:rPr>
            <w:webHidden/>
          </w:rPr>
          <w:instrText xml:space="preserve"> PAGEREF _Toc184822206 \h </w:instrText>
        </w:r>
        <w:r w:rsidR="009B6045">
          <w:rPr>
            <w:webHidden/>
          </w:rPr>
        </w:r>
        <w:r w:rsidR="009B6045">
          <w:rPr>
            <w:webHidden/>
          </w:rPr>
          <w:fldChar w:fldCharType="separate"/>
        </w:r>
        <w:r w:rsidR="009B6045">
          <w:rPr>
            <w:webHidden/>
          </w:rPr>
          <w:t>18</w:t>
        </w:r>
        <w:r w:rsidR="009B6045">
          <w:rPr>
            <w:webHidden/>
          </w:rPr>
          <w:fldChar w:fldCharType="end"/>
        </w:r>
      </w:hyperlink>
    </w:p>
    <w:p w14:paraId="3104A24C" w14:textId="4BE4634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7" w:history="1">
        <w:r w:rsidR="009B6045" w:rsidRPr="00141C41">
          <w:rPr>
            <w:rStyle w:val="Hyperlink"/>
          </w:rPr>
          <w:t>Ceasing to be a nominee reporting entity</w:t>
        </w:r>
        <w:r w:rsidR="009B6045">
          <w:rPr>
            <w:webHidden/>
          </w:rPr>
          <w:tab/>
        </w:r>
        <w:r w:rsidR="009B6045">
          <w:rPr>
            <w:webHidden/>
          </w:rPr>
          <w:fldChar w:fldCharType="begin"/>
        </w:r>
        <w:r w:rsidR="009B6045">
          <w:rPr>
            <w:webHidden/>
          </w:rPr>
          <w:instrText xml:space="preserve"> PAGEREF _Toc184822207 \h </w:instrText>
        </w:r>
        <w:r w:rsidR="009B6045">
          <w:rPr>
            <w:webHidden/>
          </w:rPr>
        </w:r>
        <w:r w:rsidR="009B6045">
          <w:rPr>
            <w:webHidden/>
          </w:rPr>
          <w:fldChar w:fldCharType="separate"/>
        </w:r>
        <w:r w:rsidR="009B6045">
          <w:rPr>
            <w:webHidden/>
          </w:rPr>
          <w:t>19</w:t>
        </w:r>
        <w:r w:rsidR="009B6045">
          <w:rPr>
            <w:webHidden/>
          </w:rPr>
          <w:fldChar w:fldCharType="end"/>
        </w:r>
      </w:hyperlink>
    </w:p>
    <w:p w14:paraId="19D30F5C" w14:textId="68604DD6"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08" w:history="1">
        <w:r w:rsidR="009B6045" w:rsidRPr="00141C41">
          <w:rPr>
            <w:rStyle w:val="Hyperlink"/>
          </w:rPr>
          <w:t>Subsidiary reporting entities</w:t>
        </w:r>
        <w:r w:rsidR="009B6045">
          <w:rPr>
            <w:webHidden/>
          </w:rPr>
          <w:tab/>
        </w:r>
        <w:r w:rsidR="009B6045">
          <w:rPr>
            <w:webHidden/>
          </w:rPr>
          <w:fldChar w:fldCharType="begin"/>
        </w:r>
        <w:r w:rsidR="009B6045">
          <w:rPr>
            <w:webHidden/>
          </w:rPr>
          <w:instrText xml:space="preserve"> PAGEREF _Toc184822208 \h </w:instrText>
        </w:r>
        <w:r w:rsidR="009B6045">
          <w:rPr>
            <w:webHidden/>
          </w:rPr>
        </w:r>
        <w:r w:rsidR="009B6045">
          <w:rPr>
            <w:webHidden/>
          </w:rPr>
          <w:fldChar w:fldCharType="separate"/>
        </w:r>
        <w:r w:rsidR="009B6045">
          <w:rPr>
            <w:webHidden/>
          </w:rPr>
          <w:t>19</w:t>
        </w:r>
        <w:r w:rsidR="009B6045">
          <w:rPr>
            <w:webHidden/>
          </w:rPr>
          <w:fldChar w:fldCharType="end"/>
        </w:r>
      </w:hyperlink>
    </w:p>
    <w:p w14:paraId="5100F66A" w14:textId="4224B3D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09" w:history="1">
        <w:r w:rsidR="009B6045" w:rsidRPr="00141C41">
          <w:rPr>
            <w:rStyle w:val="Hyperlink"/>
          </w:rPr>
          <w:t>Becoming a subsidiary reporting entity</w:t>
        </w:r>
        <w:r w:rsidR="009B6045">
          <w:rPr>
            <w:webHidden/>
          </w:rPr>
          <w:tab/>
        </w:r>
        <w:r w:rsidR="009B6045">
          <w:rPr>
            <w:webHidden/>
          </w:rPr>
          <w:fldChar w:fldCharType="begin"/>
        </w:r>
        <w:r w:rsidR="009B6045">
          <w:rPr>
            <w:webHidden/>
          </w:rPr>
          <w:instrText xml:space="preserve"> PAGEREF _Toc184822209 \h </w:instrText>
        </w:r>
        <w:r w:rsidR="009B6045">
          <w:rPr>
            <w:webHidden/>
          </w:rPr>
        </w:r>
        <w:r w:rsidR="009B6045">
          <w:rPr>
            <w:webHidden/>
          </w:rPr>
          <w:fldChar w:fldCharType="separate"/>
        </w:r>
        <w:r w:rsidR="009B6045">
          <w:rPr>
            <w:webHidden/>
          </w:rPr>
          <w:t>20</w:t>
        </w:r>
        <w:r w:rsidR="009B6045">
          <w:rPr>
            <w:webHidden/>
          </w:rPr>
          <w:fldChar w:fldCharType="end"/>
        </w:r>
      </w:hyperlink>
    </w:p>
    <w:p w14:paraId="2CFA30FA" w14:textId="24C07FA2"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10" w:history="1">
        <w:r w:rsidR="009B6045" w:rsidRPr="00141C41">
          <w:rPr>
            <w:rStyle w:val="Hyperlink"/>
          </w:rPr>
          <w:t>Obligations of subsidiary reporting entities</w:t>
        </w:r>
        <w:r w:rsidR="009B6045">
          <w:rPr>
            <w:webHidden/>
          </w:rPr>
          <w:tab/>
        </w:r>
        <w:r w:rsidR="009B6045">
          <w:rPr>
            <w:webHidden/>
          </w:rPr>
          <w:fldChar w:fldCharType="begin"/>
        </w:r>
        <w:r w:rsidR="009B6045">
          <w:rPr>
            <w:webHidden/>
          </w:rPr>
          <w:instrText xml:space="preserve"> PAGEREF _Toc184822210 \h </w:instrText>
        </w:r>
        <w:r w:rsidR="009B6045">
          <w:rPr>
            <w:webHidden/>
          </w:rPr>
        </w:r>
        <w:r w:rsidR="009B6045">
          <w:rPr>
            <w:webHidden/>
          </w:rPr>
          <w:fldChar w:fldCharType="separate"/>
        </w:r>
        <w:r w:rsidR="009B6045">
          <w:rPr>
            <w:webHidden/>
          </w:rPr>
          <w:t>20</w:t>
        </w:r>
        <w:r w:rsidR="009B6045">
          <w:rPr>
            <w:webHidden/>
          </w:rPr>
          <w:fldChar w:fldCharType="end"/>
        </w:r>
      </w:hyperlink>
    </w:p>
    <w:p w14:paraId="1535B2F3" w14:textId="3C89A116"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11" w:history="1">
        <w:r w:rsidR="009B6045" w:rsidRPr="00141C41">
          <w:rPr>
            <w:rStyle w:val="Hyperlink"/>
          </w:rPr>
          <w:t>Ceasing to be a subsidiary reporting entity</w:t>
        </w:r>
        <w:r w:rsidR="009B6045">
          <w:rPr>
            <w:webHidden/>
          </w:rPr>
          <w:tab/>
        </w:r>
        <w:r w:rsidR="009B6045">
          <w:rPr>
            <w:webHidden/>
          </w:rPr>
          <w:fldChar w:fldCharType="begin"/>
        </w:r>
        <w:r w:rsidR="009B6045">
          <w:rPr>
            <w:webHidden/>
          </w:rPr>
          <w:instrText xml:space="preserve"> PAGEREF _Toc184822211 \h </w:instrText>
        </w:r>
        <w:r w:rsidR="009B6045">
          <w:rPr>
            <w:webHidden/>
          </w:rPr>
        </w:r>
        <w:r w:rsidR="009B6045">
          <w:rPr>
            <w:webHidden/>
          </w:rPr>
          <w:fldChar w:fldCharType="separate"/>
        </w:r>
        <w:r w:rsidR="009B6045">
          <w:rPr>
            <w:webHidden/>
          </w:rPr>
          <w:t>20</w:t>
        </w:r>
        <w:r w:rsidR="009B6045">
          <w:rPr>
            <w:webHidden/>
          </w:rPr>
          <w:fldChar w:fldCharType="end"/>
        </w:r>
      </w:hyperlink>
    </w:p>
    <w:p w14:paraId="481EDCBC" w14:textId="6B98284F" w:rsidR="009B6045" w:rsidRDefault="005C74C4">
      <w:pPr>
        <w:pStyle w:val="TOC1"/>
        <w:rPr>
          <w:rFonts w:asciiTheme="minorHAnsi" w:eastAsiaTheme="minorEastAsia" w:hAnsiTheme="minorHAnsi" w:cstheme="minorBidi"/>
          <w:b w:val="0"/>
          <w:color w:val="auto"/>
          <w:kern w:val="2"/>
          <w14:ligatures w14:val="standardContextual"/>
        </w:rPr>
      </w:pPr>
      <w:hyperlink w:anchor="_Toc184822212" w:history="1">
        <w:r w:rsidR="009B6045" w:rsidRPr="00141C41">
          <w:rPr>
            <w:rStyle w:val="Hyperlink"/>
          </w:rPr>
          <w:t>How and when to report</w:t>
        </w:r>
        <w:r w:rsidR="009B6045">
          <w:rPr>
            <w:webHidden/>
          </w:rPr>
          <w:tab/>
        </w:r>
        <w:r w:rsidR="009B6045">
          <w:rPr>
            <w:webHidden/>
          </w:rPr>
          <w:fldChar w:fldCharType="begin"/>
        </w:r>
        <w:r w:rsidR="009B6045">
          <w:rPr>
            <w:webHidden/>
          </w:rPr>
          <w:instrText xml:space="preserve"> PAGEREF _Toc184822212 \h </w:instrText>
        </w:r>
        <w:r w:rsidR="009B6045">
          <w:rPr>
            <w:webHidden/>
          </w:rPr>
        </w:r>
        <w:r w:rsidR="009B6045">
          <w:rPr>
            <w:webHidden/>
          </w:rPr>
          <w:fldChar w:fldCharType="separate"/>
        </w:r>
        <w:r w:rsidR="009B6045">
          <w:rPr>
            <w:webHidden/>
          </w:rPr>
          <w:t>21</w:t>
        </w:r>
        <w:r w:rsidR="009B6045">
          <w:rPr>
            <w:webHidden/>
          </w:rPr>
          <w:fldChar w:fldCharType="end"/>
        </w:r>
      </w:hyperlink>
    </w:p>
    <w:p w14:paraId="6306E492" w14:textId="249AAC13"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13" w:history="1">
        <w:r w:rsidR="009B6045" w:rsidRPr="00141C41">
          <w:rPr>
            <w:rStyle w:val="Hyperlink"/>
          </w:rPr>
          <w:t>Reporting periods</w:t>
        </w:r>
        <w:r w:rsidR="009B6045">
          <w:rPr>
            <w:webHidden/>
          </w:rPr>
          <w:tab/>
        </w:r>
        <w:r w:rsidR="009B6045">
          <w:rPr>
            <w:webHidden/>
          </w:rPr>
          <w:fldChar w:fldCharType="begin"/>
        </w:r>
        <w:r w:rsidR="009B6045">
          <w:rPr>
            <w:webHidden/>
          </w:rPr>
          <w:instrText xml:space="preserve"> PAGEREF _Toc184822213 \h </w:instrText>
        </w:r>
        <w:r w:rsidR="009B6045">
          <w:rPr>
            <w:webHidden/>
          </w:rPr>
        </w:r>
        <w:r w:rsidR="009B6045">
          <w:rPr>
            <w:webHidden/>
          </w:rPr>
          <w:fldChar w:fldCharType="separate"/>
        </w:r>
        <w:r w:rsidR="009B6045">
          <w:rPr>
            <w:webHidden/>
          </w:rPr>
          <w:t>21</w:t>
        </w:r>
        <w:r w:rsidR="009B6045">
          <w:rPr>
            <w:webHidden/>
          </w:rPr>
          <w:fldChar w:fldCharType="end"/>
        </w:r>
      </w:hyperlink>
    </w:p>
    <w:p w14:paraId="1A7BB1CC" w14:textId="4326F5DA"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14" w:history="1">
        <w:r w:rsidR="009B6045" w:rsidRPr="00141C41">
          <w:rPr>
            <w:rStyle w:val="Hyperlink"/>
          </w:rPr>
          <w:t>When to report</w:t>
        </w:r>
        <w:r w:rsidR="009B6045">
          <w:rPr>
            <w:webHidden/>
          </w:rPr>
          <w:tab/>
        </w:r>
        <w:r w:rsidR="009B6045">
          <w:rPr>
            <w:webHidden/>
          </w:rPr>
          <w:fldChar w:fldCharType="begin"/>
        </w:r>
        <w:r w:rsidR="009B6045">
          <w:rPr>
            <w:webHidden/>
          </w:rPr>
          <w:instrText xml:space="preserve"> PAGEREF _Toc184822214 \h </w:instrText>
        </w:r>
        <w:r w:rsidR="009B6045">
          <w:rPr>
            <w:webHidden/>
          </w:rPr>
        </w:r>
        <w:r w:rsidR="009B6045">
          <w:rPr>
            <w:webHidden/>
          </w:rPr>
          <w:fldChar w:fldCharType="separate"/>
        </w:r>
        <w:r w:rsidR="009B6045">
          <w:rPr>
            <w:webHidden/>
          </w:rPr>
          <w:t>21</w:t>
        </w:r>
        <w:r w:rsidR="009B6045">
          <w:rPr>
            <w:webHidden/>
          </w:rPr>
          <w:fldChar w:fldCharType="end"/>
        </w:r>
      </w:hyperlink>
    </w:p>
    <w:p w14:paraId="1660A326" w14:textId="5A321941"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15" w:history="1">
        <w:r w:rsidR="009B6045" w:rsidRPr="00141C41">
          <w:rPr>
            <w:rStyle w:val="Hyperlink"/>
          </w:rPr>
          <w:t>Reporting deadlines</w:t>
        </w:r>
        <w:r w:rsidR="009B6045">
          <w:rPr>
            <w:webHidden/>
          </w:rPr>
          <w:tab/>
        </w:r>
        <w:r w:rsidR="009B6045">
          <w:rPr>
            <w:webHidden/>
          </w:rPr>
          <w:fldChar w:fldCharType="begin"/>
        </w:r>
        <w:r w:rsidR="009B6045">
          <w:rPr>
            <w:webHidden/>
          </w:rPr>
          <w:instrText xml:space="preserve"> PAGEREF _Toc184822215 \h </w:instrText>
        </w:r>
        <w:r w:rsidR="009B6045">
          <w:rPr>
            <w:webHidden/>
          </w:rPr>
        </w:r>
        <w:r w:rsidR="009B6045">
          <w:rPr>
            <w:webHidden/>
          </w:rPr>
          <w:fldChar w:fldCharType="separate"/>
        </w:r>
        <w:r w:rsidR="009B6045">
          <w:rPr>
            <w:webHidden/>
          </w:rPr>
          <w:t>22</w:t>
        </w:r>
        <w:r w:rsidR="009B6045">
          <w:rPr>
            <w:webHidden/>
          </w:rPr>
          <w:fldChar w:fldCharType="end"/>
        </w:r>
      </w:hyperlink>
    </w:p>
    <w:p w14:paraId="145F9996" w14:textId="403A01CA"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16" w:history="1">
        <w:r w:rsidR="009B6045" w:rsidRPr="00141C41">
          <w:rPr>
            <w:rStyle w:val="Hyperlink"/>
          </w:rPr>
          <w:t>How to report</w:t>
        </w:r>
        <w:r w:rsidR="009B6045">
          <w:rPr>
            <w:webHidden/>
          </w:rPr>
          <w:tab/>
        </w:r>
        <w:r w:rsidR="009B6045">
          <w:rPr>
            <w:webHidden/>
          </w:rPr>
          <w:fldChar w:fldCharType="begin"/>
        </w:r>
        <w:r w:rsidR="009B6045">
          <w:rPr>
            <w:webHidden/>
          </w:rPr>
          <w:instrText xml:space="preserve"> PAGEREF _Toc184822216 \h </w:instrText>
        </w:r>
        <w:r w:rsidR="009B6045">
          <w:rPr>
            <w:webHidden/>
          </w:rPr>
        </w:r>
        <w:r w:rsidR="009B6045">
          <w:rPr>
            <w:webHidden/>
          </w:rPr>
          <w:fldChar w:fldCharType="separate"/>
        </w:r>
        <w:r w:rsidR="009B6045">
          <w:rPr>
            <w:webHidden/>
          </w:rPr>
          <w:t>22</w:t>
        </w:r>
        <w:r w:rsidR="009B6045">
          <w:rPr>
            <w:webHidden/>
          </w:rPr>
          <w:fldChar w:fldCharType="end"/>
        </w:r>
      </w:hyperlink>
    </w:p>
    <w:p w14:paraId="3293CC7C" w14:textId="6DD38EB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17" w:history="1">
        <w:r w:rsidR="009B6045" w:rsidRPr="00141C41">
          <w:rPr>
            <w:rStyle w:val="Hyperlink"/>
          </w:rPr>
          <w:t>Entity information</w:t>
        </w:r>
        <w:r w:rsidR="009B6045">
          <w:rPr>
            <w:webHidden/>
          </w:rPr>
          <w:tab/>
        </w:r>
        <w:r w:rsidR="009B6045">
          <w:rPr>
            <w:webHidden/>
          </w:rPr>
          <w:fldChar w:fldCharType="begin"/>
        </w:r>
        <w:r w:rsidR="009B6045">
          <w:rPr>
            <w:webHidden/>
          </w:rPr>
          <w:instrText xml:space="preserve"> PAGEREF _Toc184822217 \h </w:instrText>
        </w:r>
        <w:r w:rsidR="009B6045">
          <w:rPr>
            <w:webHidden/>
          </w:rPr>
        </w:r>
        <w:r w:rsidR="009B6045">
          <w:rPr>
            <w:webHidden/>
          </w:rPr>
          <w:fldChar w:fldCharType="separate"/>
        </w:r>
        <w:r w:rsidR="009B6045">
          <w:rPr>
            <w:webHidden/>
          </w:rPr>
          <w:t>22</w:t>
        </w:r>
        <w:r w:rsidR="009B6045">
          <w:rPr>
            <w:webHidden/>
          </w:rPr>
          <w:fldChar w:fldCharType="end"/>
        </w:r>
      </w:hyperlink>
    </w:p>
    <w:p w14:paraId="6B188557" w14:textId="5EE43A70"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18" w:history="1">
        <w:r w:rsidR="009B6045" w:rsidRPr="00141C41">
          <w:rPr>
            <w:rStyle w:val="Hyperlink"/>
          </w:rPr>
          <w:t>Revising reports</w:t>
        </w:r>
        <w:r w:rsidR="009B6045">
          <w:rPr>
            <w:webHidden/>
          </w:rPr>
          <w:tab/>
        </w:r>
        <w:r w:rsidR="009B6045">
          <w:rPr>
            <w:webHidden/>
          </w:rPr>
          <w:fldChar w:fldCharType="begin"/>
        </w:r>
        <w:r w:rsidR="009B6045">
          <w:rPr>
            <w:webHidden/>
          </w:rPr>
          <w:instrText xml:space="preserve"> PAGEREF _Toc184822218 \h </w:instrText>
        </w:r>
        <w:r w:rsidR="009B6045">
          <w:rPr>
            <w:webHidden/>
          </w:rPr>
        </w:r>
        <w:r w:rsidR="009B6045">
          <w:rPr>
            <w:webHidden/>
          </w:rPr>
          <w:fldChar w:fldCharType="separate"/>
        </w:r>
        <w:r w:rsidR="009B6045">
          <w:rPr>
            <w:webHidden/>
          </w:rPr>
          <w:t>23</w:t>
        </w:r>
        <w:r w:rsidR="009B6045">
          <w:rPr>
            <w:webHidden/>
          </w:rPr>
          <w:fldChar w:fldCharType="end"/>
        </w:r>
      </w:hyperlink>
    </w:p>
    <w:p w14:paraId="26C041B5" w14:textId="42A43DF9"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19" w:history="1">
        <w:r w:rsidR="009B6045" w:rsidRPr="00141C41">
          <w:rPr>
            <w:rStyle w:val="Hyperlink"/>
          </w:rPr>
          <w:t>Publishing reports</w:t>
        </w:r>
        <w:r w:rsidR="009B6045">
          <w:rPr>
            <w:webHidden/>
          </w:rPr>
          <w:tab/>
        </w:r>
        <w:r w:rsidR="009B6045">
          <w:rPr>
            <w:webHidden/>
          </w:rPr>
          <w:fldChar w:fldCharType="begin"/>
        </w:r>
        <w:r w:rsidR="009B6045">
          <w:rPr>
            <w:webHidden/>
          </w:rPr>
          <w:instrText xml:space="preserve"> PAGEREF _Toc184822219 \h </w:instrText>
        </w:r>
        <w:r w:rsidR="009B6045">
          <w:rPr>
            <w:webHidden/>
          </w:rPr>
        </w:r>
        <w:r w:rsidR="009B6045">
          <w:rPr>
            <w:webHidden/>
          </w:rPr>
          <w:fldChar w:fldCharType="separate"/>
        </w:r>
        <w:r w:rsidR="009B6045">
          <w:rPr>
            <w:webHidden/>
          </w:rPr>
          <w:t>24</w:t>
        </w:r>
        <w:r w:rsidR="009B6045">
          <w:rPr>
            <w:webHidden/>
          </w:rPr>
          <w:fldChar w:fldCharType="end"/>
        </w:r>
      </w:hyperlink>
    </w:p>
    <w:p w14:paraId="38A59432" w14:textId="4805CAF5" w:rsidR="009B6045" w:rsidRDefault="005C74C4">
      <w:pPr>
        <w:pStyle w:val="TOC1"/>
        <w:rPr>
          <w:rFonts w:asciiTheme="minorHAnsi" w:eastAsiaTheme="minorEastAsia" w:hAnsiTheme="minorHAnsi" w:cstheme="minorBidi"/>
          <w:b w:val="0"/>
          <w:color w:val="auto"/>
          <w:kern w:val="2"/>
          <w14:ligatures w14:val="standardContextual"/>
        </w:rPr>
      </w:pPr>
      <w:hyperlink w:anchor="_Toc184822220" w:history="1">
        <w:r w:rsidR="009B6045" w:rsidRPr="00141C41">
          <w:rPr>
            <w:rStyle w:val="Hyperlink"/>
          </w:rPr>
          <w:t>What to report</w:t>
        </w:r>
        <w:r w:rsidR="009B6045">
          <w:rPr>
            <w:webHidden/>
          </w:rPr>
          <w:tab/>
        </w:r>
        <w:r w:rsidR="009B6045">
          <w:rPr>
            <w:webHidden/>
          </w:rPr>
          <w:fldChar w:fldCharType="begin"/>
        </w:r>
        <w:r w:rsidR="009B6045">
          <w:rPr>
            <w:webHidden/>
          </w:rPr>
          <w:instrText xml:space="preserve"> PAGEREF _Toc184822220 \h </w:instrText>
        </w:r>
        <w:r w:rsidR="009B6045">
          <w:rPr>
            <w:webHidden/>
          </w:rPr>
        </w:r>
        <w:r w:rsidR="009B6045">
          <w:rPr>
            <w:webHidden/>
          </w:rPr>
          <w:fldChar w:fldCharType="separate"/>
        </w:r>
        <w:r w:rsidR="009B6045">
          <w:rPr>
            <w:webHidden/>
          </w:rPr>
          <w:t>25</w:t>
        </w:r>
        <w:r w:rsidR="009B6045">
          <w:rPr>
            <w:webHidden/>
          </w:rPr>
          <w:fldChar w:fldCharType="end"/>
        </w:r>
      </w:hyperlink>
    </w:p>
    <w:p w14:paraId="43331B07" w14:textId="021D0CD5"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21" w:history="1">
        <w:r w:rsidR="009B6045" w:rsidRPr="00141C41">
          <w:rPr>
            <w:rStyle w:val="Hyperlink"/>
          </w:rPr>
          <w:t>Step 1: Identify entities to consolidate</w:t>
        </w:r>
        <w:r w:rsidR="009B6045">
          <w:rPr>
            <w:webHidden/>
          </w:rPr>
          <w:tab/>
        </w:r>
        <w:r w:rsidR="009B6045">
          <w:rPr>
            <w:webHidden/>
          </w:rPr>
          <w:fldChar w:fldCharType="begin"/>
        </w:r>
        <w:r w:rsidR="009B6045">
          <w:rPr>
            <w:webHidden/>
          </w:rPr>
          <w:instrText xml:space="preserve"> PAGEREF _Toc184822221 \h </w:instrText>
        </w:r>
        <w:r w:rsidR="009B6045">
          <w:rPr>
            <w:webHidden/>
          </w:rPr>
        </w:r>
        <w:r w:rsidR="009B6045">
          <w:rPr>
            <w:webHidden/>
          </w:rPr>
          <w:fldChar w:fldCharType="separate"/>
        </w:r>
        <w:r w:rsidR="009B6045">
          <w:rPr>
            <w:webHidden/>
          </w:rPr>
          <w:t>25</w:t>
        </w:r>
        <w:r w:rsidR="009B6045">
          <w:rPr>
            <w:webHidden/>
          </w:rPr>
          <w:fldChar w:fldCharType="end"/>
        </w:r>
      </w:hyperlink>
    </w:p>
    <w:p w14:paraId="1AA0C5B8" w14:textId="0B622CE5"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2" w:history="1">
        <w:r w:rsidR="009B6045" w:rsidRPr="00141C41">
          <w:rPr>
            <w:rStyle w:val="Hyperlink"/>
          </w:rPr>
          <w:t>Acquisitions and divestments</w:t>
        </w:r>
        <w:r w:rsidR="009B6045">
          <w:rPr>
            <w:webHidden/>
          </w:rPr>
          <w:tab/>
        </w:r>
        <w:r w:rsidR="009B6045">
          <w:rPr>
            <w:webHidden/>
          </w:rPr>
          <w:fldChar w:fldCharType="begin"/>
        </w:r>
        <w:r w:rsidR="009B6045">
          <w:rPr>
            <w:webHidden/>
          </w:rPr>
          <w:instrText xml:space="preserve"> PAGEREF _Toc184822222 \h </w:instrText>
        </w:r>
        <w:r w:rsidR="009B6045">
          <w:rPr>
            <w:webHidden/>
          </w:rPr>
        </w:r>
        <w:r w:rsidR="009B6045">
          <w:rPr>
            <w:webHidden/>
          </w:rPr>
          <w:fldChar w:fldCharType="separate"/>
        </w:r>
        <w:r w:rsidR="009B6045">
          <w:rPr>
            <w:webHidden/>
          </w:rPr>
          <w:t>26</w:t>
        </w:r>
        <w:r w:rsidR="009B6045">
          <w:rPr>
            <w:webHidden/>
          </w:rPr>
          <w:fldChar w:fldCharType="end"/>
        </w:r>
      </w:hyperlink>
    </w:p>
    <w:p w14:paraId="24CDE615" w14:textId="0BA99CA3"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23" w:history="1">
        <w:r w:rsidR="009B6045" w:rsidRPr="00141C41">
          <w:rPr>
            <w:rStyle w:val="Hyperlink"/>
          </w:rPr>
          <w:t>Step 2: Identify Reporting Requirements</w:t>
        </w:r>
        <w:r w:rsidR="009B6045">
          <w:rPr>
            <w:webHidden/>
          </w:rPr>
          <w:tab/>
        </w:r>
        <w:r w:rsidR="009B6045">
          <w:rPr>
            <w:webHidden/>
          </w:rPr>
          <w:fldChar w:fldCharType="begin"/>
        </w:r>
        <w:r w:rsidR="009B6045">
          <w:rPr>
            <w:webHidden/>
          </w:rPr>
          <w:instrText xml:space="preserve"> PAGEREF _Toc184822223 \h </w:instrText>
        </w:r>
        <w:r w:rsidR="009B6045">
          <w:rPr>
            <w:webHidden/>
          </w:rPr>
        </w:r>
        <w:r w:rsidR="009B6045">
          <w:rPr>
            <w:webHidden/>
          </w:rPr>
          <w:fldChar w:fldCharType="separate"/>
        </w:r>
        <w:r w:rsidR="009B6045">
          <w:rPr>
            <w:webHidden/>
          </w:rPr>
          <w:t>28</w:t>
        </w:r>
        <w:r w:rsidR="009B6045">
          <w:rPr>
            <w:webHidden/>
          </w:rPr>
          <w:fldChar w:fldCharType="end"/>
        </w:r>
      </w:hyperlink>
    </w:p>
    <w:p w14:paraId="0A007CFD" w14:textId="3C88104C"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24" w:history="1">
        <w:r w:rsidR="009B6045" w:rsidRPr="00141C41">
          <w:rPr>
            <w:rStyle w:val="Hyperlink"/>
          </w:rPr>
          <w:t>Step 3: Prepare Datasets</w:t>
        </w:r>
        <w:r w:rsidR="009B6045">
          <w:rPr>
            <w:webHidden/>
          </w:rPr>
          <w:tab/>
        </w:r>
        <w:r w:rsidR="009B6045">
          <w:rPr>
            <w:webHidden/>
          </w:rPr>
          <w:fldChar w:fldCharType="begin"/>
        </w:r>
        <w:r w:rsidR="009B6045">
          <w:rPr>
            <w:webHidden/>
          </w:rPr>
          <w:instrText xml:space="preserve"> PAGEREF _Toc184822224 \h </w:instrText>
        </w:r>
        <w:r w:rsidR="009B6045">
          <w:rPr>
            <w:webHidden/>
          </w:rPr>
        </w:r>
        <w:r w:rsidR="009B6045">
          <w:rPr>
            <w:webHidden/>
          </w:rPr>
          <w:fldChar w:fldCharType="separate"/>
        </w:r>
        <w:r w:rsidR="009B6045">
          <w:rPr>
            <w:webHidden/>
          </w:rPr>
          <w:t>29</w:t>
        </w:r>
        <w:r w:rsidR="009B6045">
          <w:rPr>
            <w:webHidden/>
          </w:rPr>
          <w:fldChar w:fldCharType="end"/>
        </w:r>
      </w:hyperlink>
    </w:p>
    <w:p w14:paraId="4FC7A2B7" w14:textId="21394B6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5" w:history="1">
        <w:r w:rsidR="009B6045" w:rsidRPr="00141C41">
          <w:rPr>
            <w:rStyle w:val="Hyperlink"/>
          </w:rPr>
          <w:t>Trade Credit Arrangements</w:t>
        </w:r>
        <w:r w:rsidR="009B6045">
          <w:rPr>
            <w:webHidden/>
          </w:rPr>
          <w:tab/>
        </w:r>
        <w:r w:rsidR="009B6045">
          <w:rPr>
            <w:webHidden/>
          </w:rPr>
          <w:fldChar w:fldCharType="begin"/>
        </w:r>
        <w:r w:rsidR="009B6045">
          <w:rPr>
            <w:webHidden/>
          </w:rPr>
          <w:instrText xml:space="preserve"> PAGEREF _Toc184822225 \h </w:instrText>
        </w:r>
        <w:r w:rsidR="009B6045">
          <w:rPr>
            <w:webHidden/>
          </w:rPr>
        </w:r>
        <w:r w:rsidR="009B6045">
          <w:rPr>
            <w:webHidden/>
          </w:rPr>
          <w:fldChar w:fldCharType="separate"/>
        </w:r>
        <w:r w:rsidR="009B6045">
          <w:rPr>
            <w:webHidden/>
          </w:rPr>
          <w:t>29</w:t>
        </w:r>
        <w:r w:rsidR="009B6045">
          <w:rPr>
            <w:webHidden/>
          </w:rPr>
          <w:fldChar w:fldCharType="end"/>
        </w:r>
      </w:hyperlink>
    </w:p>
    <w:p w14:paraId="38BA3826" w14:textId="7497D87F"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6" w:history="1">
        <w:r w:rsidR="009B6045" w:rsidRPr="00141C41">
          <w:rPr>
            <w:rStyle w:val="Hyperlink"/>
          </w:rPr>
          <w:t>Disputed Payments</w:t>
        </w:r>
        <w:r w:rsidR="009B6045">
          <w:rPr>
            <w:webHidden/>
          </w:rPr>
          <w:tab/>
        </w:r>
        <w:r w:rsidR="009B6045">
          <w:rPr>
            <w:webHidden/>
          </w:rPr>
          <w:fldChar w:fldCharType="begin"/>
        </w:r>
        <w:r w:rsidR="009B6045">
          <w:rPr>
            <w:webHidden/>
          </w:rPr>
          <w:instrText xml:space="preserve"> PAGEREF _Toc184822226 \h </w:instrText>
        </w:r>
        <w:r w:rsidR="009B6045">
          <w:rPr>
            <w:webHidden/>
          </w:rPr>
        </w:r>
        <w:r w:rsidR="009B6045">
          <w:rPr>
            <w:webHidden/>
          </w:rPr>
          <w:fldChar w:fldCharType="separate"/>
        </w:r>
        <w:r w:rsidR="009B6045">
          <w:rPr>
            <w:webHidden/>
          </w:rPr>
          <w:t>31</w:t>
        </w:r>
        <w:r w:rsidR="009B6045">
          <w:rPr>
            <w:webHidden/>
          </w:rPr>
          <w:fldChar w:fldCharType="end"/>
        </w:r>
      </w:hyperlink>
    </w:p>
    <w:p w14:paraId="5B08D255" w14:textId="78D3ECD0"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7" w:history="1">
        <w:r w:rsidR="009B6045" w:rsidRPr="00141C41">
          <w:rPr>
            <w:rStyle w:val="Hyperlink"/>
          </w:rPr>
          <w:t>Controlled Entity Data Not Accessible</w:t>
        </w:r>
        <w:r w:rsidR="009B6045">
          <w:rPr>
            <w:webHidden/>
          </w:rPr>
          <w:tab/>
        </w:r>
        <w:r w:rsidR="009B6045">
          <w:rPr>
            <w:webHidden/>
          </w:rPr>
          <w:fldChar w:fldCharType="begin"/>
        </w:r>
        <w:r w:rsidR="009B6045">
          <w:rPr>
            <w:webHidden/>
          </w:rPr>
          <w:instrText xml:space="preserve"> PAGEREF _Toc184822227 \h </w:instrText>
        </w:r>
        <w:r w:rsidR="009B6045">
          <w:rPr>
            <w:webHidden/>
          </w:rPr>
        </w:r>
        <w:r w:rsidR="009B6045">
          <w:rPr>
            <w:webHidden/>
          </w:rPr>
          <w:fldChar w:fldCharType="separate"/>
        </w:r>
        <w:r w:rsidR="009B6045">
          <w:rPr>
            <w:webHidden/>
          </w:rPr>
          <w:t>31</w:t>
        </w:r>
        <w:r w:rsidR="009B6045">
          <w:rPr>
            <w:webHidden/>
          </w:rPr>
          <w:fldChar w:fldCharType="end"/>
        </w:r>
      </w:hyperlink>
    </w:p>
    <w:p w14:paraId="7C7A007C" w14:textId="5582614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8" w:history="1">
        <w:r w:rsidR="009B6045" w:rsidRPr="00141C41">
          <w:rPr>
            <w:rStyle w:val="Hyperlink"/>
          </w:rPr>
          <w:t>Payments made by a Third Party</w:t>
        </w:r>
        <w:r w:rsidR="009B6045">
          <w:rPr>
            <w:webHidden/>
          </w:rPr>
          <w:tab/>
        </w:r>
        <w:r w:rsidR="009B6045">
          <w:rPr>
            <w:webHidden/>
          </w:rPr>
          <w:fldChar w:fldCharType="begin"/>
        </w:r>
        <w:r w:rsidR="009B6045">
          <w:rPr>
            <w:webHidden/>
          </w:rPr>
          <w:instrText xml:space="preserve"> PAGEREF _Toc184822228 \h </w:instrText>
        </w:r>
        <w:r w:rsidR="009B6045">
          <w:rPr>
            <w:webHidden/>
          </w:rPr>
        </w:r>
        <w:r w:rsidR="009B6045">
          <w:rPr>
            <w:webHidden/>
          </w:rPr>
          <w:fldChar w:fldCharType="separate"/>
        </w:r>
        <w:r w:rsidR="009B6045">
          <w:rPr>
            <w:webHidden/>
          </w:rPr>
          <w:t>32</w:t>
        </w:r>
        <w:r w:rsidR="009B6045">
          <w:rPr>
            <w:webHidden/>
          </w:rPr>
          <w:fldChar w:fldCharType="end"/>
        </w:r>
      </w:hyperlink>
    </w:p>
    <w:p w14:paraId="6F718DAE" w14:textId="2BDA4A73"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29" w:history="1">
        <w:r w:rsidR="009B6045" w:rsidRPr="00141C41">
          <w:rPr>
            <w:rStyle w:val="Hyperlink"/>
          </w:rPr>
          <w:t>Preparing the TCP Dataset</w:t>
        </w:r>
        <w:r w:rsidR="009B6045">
          <w:rPr>
            <w:webHidden/>
          </w:rPr>
          <w:tab/>
        </w:r>
        <w:r w:rsidR="009B6045">
          <w:rPr>
            <w:webHidden/>
          </w:rPr>
          <w:fldChar w:fldCharType="begin"/>
        </w:r>
        <w:r w:rsidR="009B6045">
          <w:rPr>
            <w:webHidden/>
          </w:rPr>
          <w:instrText xml:space="preserve"> PAGEREF _Toc184822229 \h </w:instrText>
        </w:r>
        <w:r w:rsidR="009B6045">
          <w:rPr>
            <w:webHidden/>
          </w:rPr>
        </w:r>
        <w:r w:rsidR="009B6045">
          <w:rPr>
            <w:webHidden/>
          </w:rPr>
          <w:fldChar w:fldCharType="separate"/>
        </w:r>
        <w:r w:rsidR="009B6045">
          <w:rPr>
            <w:webHidden/>
          </w:rPr>
          <w:t>32</w:t>
        </w:r>
        <w:r w:rsidR="009B6045">
          <w:rPr>
            <w:webHidden/>
          </w:rPr>
          <w:fldChar w:fldCharType="end"/>
        </w:r>
      </w:hyperlink>
    </w:p>
    <w:p w14:paraId="72553722" w14:textId="7489BD73"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0" w:history="1">
        <w:r w:rsidR="009B6045" w:rsidRPr="00141C41">
          <w:rPr>
            <w:rStyle w:val="Hyperlink"/>
          </w:rPr>
          <w:t>SBTCP Dataset</w:t>
        </w:r>
        <w:r w:rsidR="009B6045">
          <w:rPr>
            <w:webHidden/>
          </w:rPr>
          <w:tab/>
        </w:r>
        <w:r w:rsidR="009B6045">
          <w:rPr>
            <w:webHidden/>
          </w:rPr>
          <w:fldChar w:fldCharType="begin"/>
        </w:r>
        <w:r w:rsidR="009B6045">
          <w:rPr>
            <w:webHidden/>
          </w:rPr>
          <w:instrText xml:space="preserve"> PAGEREF _Toc184822230 \h </w:instrText>
        </w:r>
        <w:r w:rsidR="009B6045">
          <w:rPr>
            <w:webHidden/>
          </w:rPr>
        </w:r>
        <w:r w:rsidR="009B6045">
          <w:rPr>
            <w:webHidden/>
          </w:rPr>
          <w:fldChar w:fldCharType="separate"/>
        </w:r>
        <w:r w:rsidR="009B6045">
          <w:rPr>
            <w:webHidden/>
          </w:rPr>
          <w:t>37</w:t>
        </w:r>
        <w:r w:rsidR="009B6045">
          <w:rPr>
            <w:webHidden/>
          </w:rPr>
          <w:fldChar w:fldCharType="end"/>
        </w:r>
      </w:hyperlink>
    </w:p>
    <w:p w14:paraId="4A30F4FC" w14:textId="301B24BB"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1" w:history="1">
        <w:r w:rsidR="009B6045" w:rsidRPr="00141C41">
          <w:rPr>
            <w:rStyle w:val="Hyperlink"/>
          </w:rPr>
          <w:t>Calculate Payment Times</w:t>
        </w:r>
        <w:r w:rsidR="009B6045">
          <w:rPr>
            <w:webHidden/>
          </w:rPr>
          <w:tab/>
        </w:r>
        <w:r w:rsidR="009B6045">
          <w:rPr>
            <w:webHidden/>
          </w:rPr>
          <w:fldChar w:fldCharType="begin"/>
        </w:r>
        <w:r w:rsidR="009B6045">
          <w:rPr>
            <w:webHidden/>
          </w:rPr>
          <w:instrText xml:space="preserve"> PAGEREF _Toc184822231 \h </w:instrText>
        </w:r>
        <w:r w:rsidR="009B6045">
          <w:rPr>
            <w:webHidden/>
          </w:rPr>
        </w:r>
        <w:r w:rsidR="009B6045">
          <w:rPr>
            <w:webHidden/>
          </w:rPr>
          <w:fldChar w:fldCharType="separate"/>
        </w:r>
        <w:r w:rsidR="009B6045">
          <w:rPr>
            <w:webHidden/>
          </w:rPr>
          <w:t>37</w:t>
        </w:r>
        <w:r w:rsidR="009B6045">
          <w:rPr>
            <w:webHidden/>
          </w:rPr>
          <w:fldChar w:fldCharType="end"/>
        </w:r>
      </w:hyperlink>
    </w:p>
    <w:p w14:paraId="53333519" w14:textId="0B5BD48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2" w:history="1">
        <w:r w:rsidR="009B6045" w:rsidRPr="00141C41">
          <w:rPr>
            <w:rStyle w:val="Hyperlink"/>
          </w:rPr>
          <w:t>Datasets: In practice</w:t>
        </w:r>
        <w:r w:rsidR="009B6045">
          <w:rPr>
            <w:webHidden/>
          </w:rPr>
          <w:tab/>
        </w:r>
        <w:r w:rsidR="009B6045">
          <w:rPr>
            <w:webHidden/>
          </w:rPr>
          <w:fldChar w:fldCharType="begin"/>
        </w:r>
        <w:r w:rsidR="009B6045">
          <w:rPr>
            <w:webHidden/>
          </w:rPr>
          <w:instrText xml:space="preserve"> PAGEREF _Toc184822232 \h </w:instrText>
        </w:r>
        <w:r w:rsidR="009B6045">
          <w:rPr>
            <w:webHidden/>
          </w:rPr>
        </w:r>
        <w:r w:rsidR="009B6045">
          <w:rPr>
            <w:webHidden/>
          </w:rPr>
          <w:fldChar w:fldCharType="separate"/>
        </w:r>
        <w:r w:rsidR="009B6045">
          <w:rPr>
            <w:webHidden/>
          </w:rPr>
          <w:t>38</w:t>
        </w:r>
        <w:r w:rsidR="009B6045">
          <w:rPr>
            <w:webHidden/>
          </w:rPr>
          <w:fldChar w:fldCharType="end"/>
        </w:r>
      </w:hyperlink>
    </w:p>
    <w:p w14:paraId="6E88D9D8" w14:textId="2EA5CB7C"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33" w:history="1">
        <w:r w:rsidR="009B6045" w:rsidRPr="00141C41">
          <w:rPr>
            <w:rStyle w:val="Hyperlink"/>
          </w:rPr>
          <w:t>Step 4: Complete the Payment Times Report</w:t>
        </w:r>
        <w:r w:rsidR="009B6045">
          <w:rPr>
            <w:webHidden/>
          </w:rPr>
          <w:tab/>
        </w:r>
        <w:r w:rsidR="009B6045">
          <w:rPr>
            <w:webHidden/>
          </w:rPr>
          <w:fldChar w:fldCharType="begin"/>
        </w:r>
        <w:r w:rsidR="009B6045">
          <w:rPr>
            <w:webHidden/>
          </w:rPr>
          <w:instrText xml:space="preserve"> PAGEREF _Toc184822233 \h </w:instrText>
        </w:r>
        <w:r w:rsidR="009B6045">
          <w:rPr>
            <w:webHidden/>
          </w:rPr>
        </w:r>
        <w:r w:rsidR="009B6045">
          <w:rPr>
            <w:webHidden/>
          </w:rPr>
          <w:fldChar w:fldCharType="separate"/>
        </w:r>
        <w:r w:rsidR="009B6045">
          <w:rPr>
            <w:webHidden/>
          </w:rPr>
          <w:t>39</w:t>
        </w:r>
        <w:r w:rsidR="009B6045">
          <w:rPr>
            <w:webHidden/>
          </w:rPr>
          <w:fldChar w:fldCharType="end"/>
        </w:r>
      </w:hyperlink>
    </w:p>
    <w:p w14:paraId="131A248A" w14:textId="2411E54B"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4" w:history="1">
        <w:r w:rsidR="009B6045" w:rsidRPr="00141C41">
          <w:rPr>
            <w:rStyle w:val="Hyperlink"/>
          </w:rPr>
          <w:t>Payment Terms and Times</w:t>
        </w:r>
        <w:r w:rsidR="009B6045">
          <w:rPr>
            <w:webHidden/>
          </w:rPr>
          <w:tab/>
        </w:r>
        <w:r w:rsidR="009B6045">
          <w:rPr>
            <w:webHidden/>
          </w:rPr>
          <w:fldChar w:fldCharType="begin"/>
        </w:r>
        <w:r w:rsidR="009B6045">
          <w:rPr>
            <w:webHidden/>
          </w:rPr>
          <w:instrText xml:space="preserve"> PAGEREF _Toc184822234 \h </w:instrText>
        </w:r>
        <w:r w:rsidR="009B6045">
          <w:rPr>
            <w:webHidden/>
          </w:rPr>
        </w:r>
        <w:r w:rsidR="009B6045">
          <w:rPr>
            <w:webHidden/>
          </w:rPr>
          <w:fldChar w:fldCharType="separate"/>
        </w:r>
        <w:r w:rsidR="009B6045">
          <w:rPr>
            <w:webHidden/>
          </w:rPr>
          <w:t>39</w:t>
        </w:r>
        <w:r w:rsidR="009B6045">
          <w:rPr>
            <w:webHidden/>
          </w:rPr>
          <w:fldChar w:fldCharType="end"/>
        </w:r>
      </w:hyperlink>
    </w:p>
    <w:p w14:paraId="6CF8795A" w14:textId="2251EA0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5" w:history="1">
        <w:r w:rsidR="009B6045" w:rsidRPr="00141C41">
          <w:rPr>
            <w:rStyle w:val="Hyperlink"/>
          </w:rPr>
          <w:t>Other Payment Practices</w:t>
        </w:r>
        <w:r w:rsidR="009B6045">
          <w:rPr>
            <w:webHidden/>
          </w:rPr>
          <w:tab/>
        </w:r>
        <w:r w:rsidR="009B6045">
          <w:rPr>
            <w:webHidden/>
          </w:rPr>
          <w:fldChar w:fldCharType="begin"/>
        </w:r>
        <w:r w:rsidR="009B6045">
          <w:rPr>
            <w:webHidden/>
          </w:rPr>
          <w:instrText xml:space="preserve"> PAGEREF _Toc184822235 \h </w:instrText>
        </w:r>
        <w:r w:rsidR="009B6045">
          <w:rPr>
            <w:webHidden/>
          </w:rPr>
        </w:r>
        <w:r w:rsidR="009B6045">
          <w:rPr>
            <w:webHidden/>
          </w:rPr>
          <w:fldChar w:fldCharType="separate"/>
        </w:r>
        <w:r w:rsidR="009B6045">
          <w:rPr>
            <w:webHidden/>
          </w:rPr>
          <w:t>42</w:t>
        </w:r>
        <w:r w:rsidR="009B6045">
          <w:rPr>
            <w:webHidden/>
          </w:rPr>
          <w:fldChar w:fldCharType="end"/>
        </w:r>
      </w:hyperlink>
    </w:p>
    <w:p w14:paraId="13546CE1" w14:textId="5584343A"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6" w:history="1">
        <w:r w:rsidR="009B6045" w:rsidRPr="00141C41">
          <w:rPr>
            <w:rStyle w:val="Hyperlink"/>
          </w:rPr>
          <w:t>Contextual Information and Approvals</w:t>
        </w:r>
        <w:r w:rsidR="009B6045">
          <w:rPr>
            <w:webHidden/>
          </w:rPr>
          <w:tab/>
        </w:r>
        <w:r w:rsidR="009B6045">
          <w:rPr>
            <w:webHidden/>
          </w:rPr>
          <w:fldChar w:fldCharType="begin"/>
        </w:r>
        <w:r w:rsidR="009B6045">
          <w:rPr>
            <w:webHidden/>
          </w:rPr>
          <w:instrText xml:space="preserve"> PAGEREF _Toc184822236 \h </w:instrText>
        </w:r>
        <w:r w:rsidR="009B6045">
          <w:rPr>
            <w:webHidden/>
          </w:rPr>
        </w:r>
        <w:r w:rsidR="009B6045">
          <w:rPr>
            <w:webHidden/>
          </w:rPr>
          <w:fldChar w:fldCharType="separate"/>
        </w:r>
        <w:r w:rsidR="009B6045">
          <w:rPr>
            <w:webHidden/>
          </w:rPr>
          <w:t>44</w:t>
        </w:r>
        <w:r w:rsidR="009B6045">
          <w:rPr>
            <w:webHidden/>
          </w:rPr>
          <w:fldChar w:fldCharType="end"/>
        </w:r>
      </w:hyperlink>
    </w:p>
    <w:p w14:paraId="28E1BEE5" w14:textId="0EF03C1D"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7" w:history="1">
        <w:r w:rsidR="009B6045" w:rsidRPr="00141C41">
          <w:rPr>
            <w:rStyle w:val="Hyperlink"/>
          </w:rPr>
          <w:t>Additional reporting requirements</w:t>
        </w:r>
        <w:r w:rsidR="009B6045">
          <w:rPr>
            <w:webHidden/>
          </w:rPr>
          <w:tab/>
        </w:r>
        <w:r w:rsidR="009B6045">
          <w:rPr>
            <w:webHidden/>
          </w:rPr>
          <w:fldChar w:fldCharType="begin"/>
        </w:r>
        <w:r w:rsidR="009B6045">
          <w:rPr>
            <w:webHidden/>
          </w:rPr>
          <w:instrText xml:space="preserve"> PAGEREF _Toc184822237 \h </w:instrText>
        </w:r>
        <w:r w:rsidR="009B6045">
          <w:rPr>
            <w:webHidden/>
          </w:rPr>
        </w:r>
        <w:r w:rsidR="009B6045">
          <w:rPr>
            <w:webHidden/>
          </w:rPr>
          <w:fldChar w:fldCharType="separate"/>
        </w:r>
        <w:r w:rsidR="009B6045">
          <w:rPr>
            <w:webHidden/>
          </w:rPr>
          <w:t>45</w:t>
        </w:r>
        <w:r w:rsidR="009B6045">
          <w:rPr>
            <w:webHidden/>
          </w:rPr>
          <w:fldChar w:fldCharType="end"/>
        </w:r>
      </w:hyperlink>
    </w:p>
    <w:p w14:paraId="776511C8" w14:textId="1E8606E9"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38" w:history="1">
        <w:r w:rsidR="009B6045" w:rsidRPr="00141C41">
          <w:rPr>
            <w:rStyle w:val="Hyperlink"/>
          </w:rPr>
          <w:t>Modified Reporting</w:t>
        </w:r>
        <w:r w:rsidR="009B6045">
          <w:rPr>
            <w:webHidden/>
          </w:rPr>
          <w:tab/>
        </w:r>
        <w:r w:rsidR="009B6045">
          <w:rPr>
            <w:webHidden/>
          </w:rPr>
          <w:fldChar w:fldCharType="begin"/>
        </w:r>
        <w:r w:rsidR="009B6045">
          <w:rPr>
            <w:webHidden/>
          </w:rPr>
          <w:instrText xml:space="preserve"> PAGEREF _Toc184822238 \h </w:instrText>
        </w:r>
        <w:r w:rsidR="009B6045">
          <w:rPr>
            <w:webHidden/>
          </w:rPr>
        </w:r>
        <w:r w:rsidR="009B6045">
          <w:rPr>
            <w:webHidden/>
          </w:rPr>
          <w:fldChar w:fldCharType="separate"/>
        </w:r>
        <w:r w:rsidR="009B6045">
          <w:rPr>
            <w:webHidden/>
          </w:rPr>
          <w:t>47</w:t>
        </w:r>
        <w:r w:rsidR="009B6045">
          <w:rPr>
            <w:webHidden/>
          </w:rPr>
          <w:fldChar w:fldCharType="end"/>
        </w:r>
      </w:hyperlink>
    </w:p>
    <w:p w14:paraId="7B682781" w14:textId="561B1A89"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39" w:history="1">
        <w:r w:rsidR="009B6045" w:rsidRPr="00141C41">
          <w:rPr>
            <w:rStyle w:val="Hyperlink"/>
          </w:rPr>
          <w:t>Reporting entities in external administration</w:t>
        </w:r>
        <w:r w:rsidR="009B6045">
          <w:rPr>
            <w:webHidden/>
          </w:rPr>
          <w:tab/>
        </w:r>
        <w:r w:rsidR="009B6045">
          <w:rPr>
            <w:webHidden/>
          </w:rPr>
          <w:fldChar w:fldCharType="begin"/>
        </w:r>
        <w:r w:rsidR="009B6045">
          <w:rPr>
            <w:webHidden/>
          </w:rPr>
          <w:instrText xml:space="preserve"> PAGEREF _Toc184822239 \h </w:instrText>
        </w:r>
        <w:r w:rsidR="009B6045">
          <w:rPr>
            <w:webHidden/>
          </w:rPr>
        </w:r>
        <w:r w:rsidR="009B6045">
          <w:rPr>
            <w:webHidden/>
          </w:rPr>
          <w:fldChar w:fldCharType="separate"/>
        </w:r>
        <w:r w:rsidR="009B6045">
          <w:rPr>
            <w:webHidden/>
          </w:rPr>
          <w:t>47</w:t>
        </w:r>
        <w:r w:rsidR="009B6045">
          <w:rPr>
            <w:webHidden/>
          </w:rPr>
          <w:fldChar w:fldCharType="end"/>
        </w:r>
      </w:hyperlink>
    </w:p>
    <w:p w14:paraId="65C077D2" w14:textId="5FE79AC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0" w:history="1">
        <w:r w:rsidR="009B6045" w:rsidRPr="00141C41">
          <w:rPr>
            <w:rStyle w:val="Hyperlink"/>
          </w:rPr>
          <w:t>Reporting entities that have a reporting nominee</w:t>
        </w:r>
        <w:r w:rsidR="009B6045">
          <w:rPr>
            <w:webHidden/>
          </w:rPr>
          <w:tab/>
        </w:r>
        <w:r w:rsidR="009B6045">
          <w:rPr>
            <w:webHidden/>
          </w:rPr>
          <w:fldChar w:fldCharType="begin"/>
        </w:r>
        <w:r w:rsidR="009B6045">
          <w:rPr>
            <w:webHidden/>
          </w:rPr>
          <w:instrText xml:space="preserve"> PAGEREF _Toc184822240 \h </w:instrText>
        </w:r>
        <w:r w:rsidR="009B6045">
          <w:rPr>
            <w:webHidden/>
          </w:rPr>
        </w:r>
        <w:r w:rsidR="009B6045">
          <w:rPr>
            <w:webHidden/>
          </w:rPr>
          <w:fldChar w:fldCharType="separate"/>
        </w:r>
        <w:r w:rsidR="009B6045">
          <w:rPr>
            <w:webHidden/>
          </w:rPr>
          <w:t>47</w:t>
        </w:r>
        <w:r w:rsidR="009B6045">
          <w:rPr>
            <w:webHidden/>
          </w:rPr>
          <w:fldChar w:fldCharType="end"/>
        </w:r>
      </w:hyperlink>
    </w:p>
    <w:p w14:paraId="23C1AC27" w14:textId="31A07273"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1" w:history="1">
        <w:r w:rsidR="009B6045" w:rsidRPr="00141C41">
          <w:rPr>
            <w:rStyle w:val="Hyperlink"/>
          </w:rPr>
          <w:t>Reporting entities that do not pay small businesses</w:t>
        </w:r>
        <w:r w:rsidR="009B6045">
          <w:rPr>
            <w:webHidden/>
          </w:rPr>
          <w:tab/>
        </w:r>
        <w:r w:rsidR="009B6045">
          <w:rPr>
            <w:webHidden/>
          </w:rPr>
          <w:fldChar w:fldCharType="begin"/>
        </w:r>
        <w:r w:rsidR="009B6045">
          <w:rPr>
            <w:webHidden/>
          </w:rPr>
          <w:instrText xml:space="preserve"> PAGEREF _Toc184822241 \h </w:instrText>
        </w:r>
        <w:r w:rsidR="009B6045">
          <w:rPr>
            <w:webHidden/>
          </w:rPr>
        </w:r>
        <w:r w:rsidR="009B6045">
          <w:rPr>
            <w:webHidden/>
          </w:rPr>
          <w:fldChar w:fldCharType="separate"/>
        </w:r>
        <w:r w:rsidR="009B6045">
          <w:rPr>
            <w:webHidden/>
          </w:rPr>
          <w:t>47</w:t>
        </w:r>
        <w:r w:rsidR="009B6045">
          <w:rPr>
            <w:webHidden/>
          </w:rPr>
          <w:fldChar w:fldCharType="end"/>
        </w:r>
      </w:hyperlink>
    </w:p>
    <w:p w14:paraId="57F6071E" w14:textId="66561925"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42" w:history="1">
        <w:r w:rsidR="009B6045" w:rsidRPr="00141C41">
          <w:rPr>
            <w:rStyle w:val="Hyperlink"/>
          </w:rPr>
          <w:t>Record keeping</w:t>
        </w:r>
        <w:r w:rsidR="009B6045">
          <w:rPr>
            <w:webHidden/>
          </w:rPr>
          <w:tab/>
        </w:r>
        <w:r w:rsidR="009B6045">
          <w:rPr>
            <w:webHidden/>
          </w:rPr>
          <w:fldChar w:fldCharType="begin"/>
        </w:r>
        <w:r w:rsidR="009B6045">
          <w:rPr>
            <w:webHidden/>
          </w:rPr>
          <w:instrText xml:space="preserve"> PAGEREF _Toc184822242 \h </w:instrText>
        </w:r>
        <w:r w:rsidR="009B6045">
          <w:rPr>
            <w:webHidden/>
          </w:rPr>
        </w:r>
        <w:r w:rsidR="009B6045">
          <w:rPr>
            <w:webHidden/>
          </w:rPr>
          <w:fldChar w:fldCharType="separate"/>
        </w:r>
        <w:r w:rsidR="009B6045">
          <w:rPr>
            <w:webHidden/>
          </w:rPr>
          <w:t>48</w:t>
        </w:r>
        <w:r w:rsidR="009B6045">
          <w:rPr>
            <w:webHidden/>
          </w:rPr>
          <w:fldChar w:fldCharType="end"/>
        </w:r>
      </w:hyperlink>
    </w:p>
    <w:p w14:paraId="147BF786" w14:textId="2467E274" w:rsidR="009B6045" w:rsidRDefault="005C74C4">
      <w:pPr>
        <w:pStyle w:val="TOC1"/>
        <w:rPr>
          <w:rFonts w:asciiTheme="minorHAnsi" w:eastAsiaTheme="minorEastAsia" w:hAnsiTheme="minorHAnsi" w:cstheme="minorBidi"/>
          <w:b w:val="0"/>
          <w:color w:val="auto"/>
          <w:kern w:val="2"/>
          <w14:ligatures w14:val="standardContextual"/>
        </w:rPr>
      </w:pPr>
      <w:hyperlink w:anchor="_Toc184822243" w:history="1">
        <w:r w:rsidR="009B6045" w:rsidRPr="00141C41">
          <w:rPr>
            <w:rStyle w:val="Hyperlink"/>
          </w:rPr>
          <w:t>Applications</w:t>
        </w:r>
        <w:r w:rsidR="009B6045">
          <w:rPr>
            <w:webHidden/>
          </w:rPr>
          <w:tab/>
        </w:r>
        <w:r w:rsidR="009B6045">
          <w:rPr>
            <w:webHidden/>
          </w:rPr>
          <w:fldChar w:fldCharType="begin"/>
        </w:r>
        <w:r w:rsidR="009B6045">
          <w:rPr>
            <w:webHidden/>
          </w:rPr>
          <w:instrText xml:space="preserve"> PAGEREF _Toc184822243 \h </w:instrText>
        </w:r>
        <w:r w:rsidR="009B6045">
          <w:rPr>
            <w:webHidden/>
          </w:rPr>
        </w:r>
        <w:r w:rsidR="009B6045">
          <w:rPr>
            <w:webHidden/>
          </w:rPr>
          <w:fldChar w:fldCharType="separate"/>
        </w:r>
        <w:r w:rsidR="009B6045">
          <w:rPr>
            <w:webHidden/>
          </w:rPr>
          <w:t>49</w:t>
        </w:r>
        <w:r w:rsidR="009B6045">
          <w:rPr>
            <w:webHidden/>
          </w:rPr>
          <w:fldChar w:fldCharType="end"/>
        </w:r>
      </w:hyperlink>
    </w:p>
    <w:p w14:paraId="72D37930" w14:textId="21361823"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44" w:history="1">
        <w:r w:rsidR="009B6045" w:rsidRPr="00141C41">
          <w:rPr>
            <w:rStyle w:val="Hyperlink"/>
          </w:rPr>
          <w:t>General application requirements</w:t>
        </w:r>
        <w:r w:rsidR="009B6045">
          <w:rPr>
            <w:webHidden/>
          </w:rPr>
          <w:tab/>
        </w:r>
        <w:r w:rsidR="009B6045">
          <w:rPr>
            <w:webHidden/>
          </w:rPr>
          <w:fldChar w:fldCharType="begin"/>
        </w:r>
        <w:r w:rsidR="009B6045">
          <w:rPr>
            <w:webHidden/>
          </w:rPr>
          <w:instrText xml:space="preserve"> PAGEREF _Toc184822244 \h </w:instrText>
        </w:r>
        <w:r w:rsidR="009B6045">
          <w:rPr>
            <w:webHidden/>
          </w:rPr>
        </w:r>
        <w:r w:rsidR="009B6045">
          <w:rPr>
            <w:webHidden/>
          </w:rPr>
          <w:fldChar w:fldCharType="separate"/>
        </w:r>
        <w:r w:rsidR="009B6045">
          <w:rPr>
            <w:webHidden/>
          </w:rPr>
          <w:t>49</w:t>
        </w:r>
        <w:r w:rsidR="009B6045">
          <w:rPr>
            <w:webHidden/>
          </w:rPr>
          <w:fldChar w:fldCharType="end"/>
        </w:r>
      </w:hyperlink>
    </w:p>
    <w:p w14:paraId="35DD1868" w14:textId="63C7A83F"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5" w:history="1">
        <w:r w:rsidR="009B6045" w:rsidRPr="00141C41">
          <w:rPr>
            <w:rStyle w:val="Hyperlink"/>
          </w:rPr>
          <w:t>Form, content and approval requirements</w:t>
        </w:r>
        <w:r w:rsidR="009B6045">
          <w:rPr>
            <w:webHidden/>
          </w:rPr>
          <w:tab/>
        </w:r>
        <w:r w:rsidR="009B6045">
          <w:rPr>
            <w:webHidden/>
          </w:rPr>
          <w:fldChar w:fldCharType="begin"/>
        </w:r>
        <w:r w:rsidR="009B6045">
          <w:rPr>
            <w:webHidden/>
          </w:rPr>
          <w:instrText xml:space="preserve"> PAGEREF _Toc184822245 \h </w:instrText>
        </w:r>
        <w:r w:rsidR="009B6045">
          <w:rPr>
            <w:webHidden/>
          </w:rPr>
        </w:r>
        <w:r w:rsidR="009B6045">
          <w:rPr>
            <w:webHidden/>
          </w:rPr>
          <w:fldChar w:fldCharType="separate"/>
        </w:r>
        <w:r w:rsidR="009B6045">
          <w:rPr>
            <w:webHidden/>
          </w:rPr>
          <w:t>49</w:t>
        </w:r>
        <w:r w:rsidR="009B6045">
          <w:rPr>
            <w:webHidden/>
          </w:rPr>
          <w:fldChar w:fldCharType="end"/>
        </w:r>
      </w:hyperlink>
    </w:p>
    <w:p w14:paraId="7DFE0BE5" w14:textId="0194AB54"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6" w:history="1">
        <w:r w:rsidR="009B6045" w:rsidRPr="00141C41">
          <w:rPr>
            <w:rStyle w:val="Hyperlink"/>
          </w:rPr>
          <w:t>Providing Additional Information</w:t>
        </w:r>
        <w:r w:rsidR="009B6045">
          <w:rPr>
            <w:webHidden/>
          </w:rPr>
          <w:tab/>
        </w:r>
        <w:r w:rsidR="009B6045">
          <w:rPr>
            <w:webHidden/>
          </w:rPr>
          <w:fldChar w:fldCharType="begin"/>
        </w:r>
        <w:r w:rsidR="009B6045">
          <w:rPr>
            <w:webHidden/>
          </w:rPr>
          <w:instrText xml:space="preserve"> PAGEREF _Toc184822246 \h </w:instrText>
        </w:r>
        <w:r w:rsidR="009B6045">
          <w:rPr>
            <w:webHidden/>
          </w:rPr>
        </w:r>
        <w:r w:rsidR="009B6045">
          <w:rPr>
            <w:webHidden/>
          </w:rPr>
          <w:fldChar w:fldCharType="separate"/>
        </w:r>
        <w:r w:rsidR="009B6045">
          <w:rPr>
            <w:webHidden/>
          </w:rPr>
          <w:t>49</w:t>
        </w:r>
        <w:r w:rsidR="009B6045">
          <w:rPr>
            <w:webHidden/>
          </w:rPr>
          <w:fldChar w:fldCharType="end"/>
        </w:r>
      </w:hyperlink>
    </w:p>
    <w:p w14:paraId="161B4049" w14:textId="0DA2E2C0"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7" w:history="1">
        <w:r w:rsidR="009B6045" w:rsidRPr="00141C41">
          <w:rPr>
            <w:rStyle w:val="Hyperlink"/>
          </w:rPr>
          <w:t>Fees</w:t>
        </w:r>
        <w:r w:rsidR="009B6045">
          <w:rPr>
            <w:webHidden/>
          </w:rPr>
          <w:tab/>
        </w:r>
        <w:r w:rsidR="009B6045">
          <w:rPr>
            <w:webHidden/>
          </w:rPr>
          <w:fldChar w:fldCharType="begin"/>
        </w:r>
        <w:r w:rsidR="009B6045">
          <w:rPr>
            <w:webHidden/>
          </w:rPr>
          <w:instrText xml:space="preserve"> PAGEREF _Toc184822247 \h </w:instrText>
        </w:r>
        <w:r w:rsidR="009B6045">
          <w:rPr>
            <w:webHidden/>
          </w:rPr>
        </w:r>
        <w:r w:rsidR="009B6045">
          <w:rPr>
            <w:webHidden/>
          </w:rPr>
          <w:fldChar w:fldCharType="separate"/>
        </w:r>
        <w:r w:rsidR="009B6045">
          <w:rPr>
            <w:webHidden/>
          </w:rPr>
          <w:t>49</w:t>
        </w:r>
        <w:r w:rsidR="009B6045">
          <w:rPr>
            <w:webHidden/>
          </w:rPr>
          <w:fldChar w:fldCharType="end"/>
        </w:r>
      </w:hyperlink>
    </w:p>
    <w:p w14:paraId="2E7E002B" w14:textId="5216D0F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8" w:history="1">
        <w:r w:rsidR="009B6045" w:rsidRPr="00141C41">
          <w:rPr>
            <w:rStyle w:val="Hyperlink"/>
          </w:rPr>
          <w:t>Timing of Decisions</w:t>
        </w:r>
        <w:r w:rsidR="009B6045">
          <w:rPr>
            <w:webHidden/>
          </w:rPr>
          <w:tab/>
        </w:r>
        <w:r w:rsidR="009B6045">
          <w:rPr>
            <w:webHidden/>
          </w:rPr>
          <w:fldChar w:fldCharType="begin"/>
        </w:r>
        <w:r w:rsidR="009B6045">
          <w:rPr>
            <w:webHidden/>
          </w:rPr>
          <w:instrText xml:space="preserve"> PAGEREF _Toc184822248 \h </w:instrText>
        </w:r>
        <w:r w:rsidR="009B6045">
          <w:rPr>
            <w:webHidden/>
          </w:rPr>
        </w:r>
        <w:r w:rsidR="009B6045">
          <w:rPr>
            <w:webHidden/>
          </w:rPr>
          <w:fldChar w:fldCharType="separate"/>
        </w:r>
        <w:r w:rsidR="009B6045">
          <w:rPr>
            <w:webHidden/>
          </w:rPr>
          <w:t>49</w:t>
        </w:r>
        <w:r w:rsidR="009B6045">
          <w:rPr>
            <w:webHidden/>
          </w:rPr>
          <w:fldChar w:fldCharType="end"/>
        </w:r>
      </w:hyperlink>
    </w:p>
    <w:p w14:paraId="32D94EAF" w14:textId="747DF97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49" w:history="1">
        <w:r w:rsidR="009B6045" w:rsidRPr="00141C41">
          <w:rPr>
            <w:rStyle w:val="Hyperlink"/>
          </w:rPr>
          <w:t>Publication of Application Decision</w:t>
        </w:r>
        <w:r w:rsidR="009B6045">
          <w:rPr>
            <w:webHidden/>
          </w:rPr>
          <w:tab/>
        </w:r>
        <w:r w:rsidR="009B6045">
          <w:rPr>
            <w:webHidden/>
          </w:rPr>
          <w:fldChar w:fldCharType="begin"/>
        </w:r>
        <w:r w:rsidR="009B6045">
          <w:rPr>
            <w:webHidden/>
          </w:rPr>
          <w:instrText xml:space="preserve"> PAGEREF _Toc184822249 \h </w:instrText>
        </w:r>
        <w:r w:rsidR="009B6045">
          <w:rPr>
            <w:webHidden/>
          </w:rPr>
        </w:r>
        <w:r w:rsidR="009B6045">
          <w:rPr>
            <w:webHidden/>
          </w:rPr>
          <w:fldChar w:fldCharType="separate"/>
        </w:r>
        <w:r w:rsidR="009B6045">
          <w:rPr>
            <w:webHidden/>
          </w:rPr>
          <w:t>50</w:t>
        </w:r>
        <w:r w:rsidR="009B6045">
          <w:rPr>
            <w:webHidden/>
          </w:rPr>
          <w:fldChar w:fldCharType="end"/>
        </w:r>
      </w:hyperlink>
    </w:p>
    <w:p w14:paraId="55AC59FA" w14:textId="15422A14"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50" w:history="1">
        <w:r w:rsidR="009B6045" w:rsidRPr="00141C41">
          <w:rPr>
            <w:rStyle w:val="Hyperlink"/>
          </w:rPr>
          <w:t>Refusal of applications</w:t>
        </w:r>
        <w:r w:rsidR="009B6045">
          <w:rPr>
            <w:webHidden/>
          </w:rPr>
          <w:tab/>
        </w:r>
        <w:r w:rsidR="009B6045">
          <w:rPr>
            <w:webHidden/>
          </w:rPr>
          <w:fldChar w:fldCharType="begin"/>
        </w:r>
        <w:r w:rsidR="009B6045">
          <w:rPr>
            <w:webHidden/>
          </w:rPr>
          <w:instrText xml:space="preserve"> PAGEREF _Toc184822250 \h </w:instrText>
        </w:r>
        <w:r w:rsidR="009B6045">
          <w:rPr>
            <w:webHidden/>
          </w:rPr>
        </w:r>
        <w:r w:rsidR="009B6045">
          <w:rPr>
            <w:webHidden/>
          </w:rPr>
          <w:fldChar w:fldCharType="separate"/>
        </w:r>
        <w:r w:rsidR="009B6045">
          <w:rPr>
            <w:webHidden/>
          </w:rPr>
          <w:t>50</w:t>
        </w:r>
        <w:r w:rsidR="009B6045">
          <w:rPr>
            <w:webHidden/>
          </w:rPr>
          <w:fldChar w:fldCharType="end"/>
        </w:r>
      </w:hyperlink>
    </w:p>
    <w:p w14:paraId="5004B3D2" w14:textId="439600AF"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1" w:history="1">
        <w:r w:rsidR="009B6045" w:rsidRPr="00141C41">
          <w:rPr>
            <w:rStyle w:val="Hyperlink"/>
          </w:rPr>
          <w:t>Procedural Fairness and Review of Decisions</w:t>
        </w:r>
        <w:r w:rsidR="009B6045">
          <w:rPr>
            <w:webHidden/>
          </w:rPr>
          <w:tab/>
        </w:r>
        <w:r w:rsidR="009B6045">
          <w:rPr>
            <w:webHidden/>
          </w:rPr>
          <w:fldChar w:fldCharType="begin"/>
        </w:r>
        <w:r w:rsidR="009B6045">
          <w:rPr>
            <w:webHidden/>
          </w:rPr>
          <w:instrText xml:space="preserve"> PAGEREF _Toc184822251 \h </w:instrText>
        </w:r>
        <w:r w:rsidR="009B6045">
          <w:rPr>
            <w:webHidden/>
          </w:rPr>
        </w:r>
        <w:r w:rsidR="009B6045">
          <w:rPr>
            <w:webHidden/>
          </w:rPr>
          <w:fldChar w:fldCharType="separate"/>
        </w:r>
        <w:r w:rsidR="009B6045">
          <w:rPr>
            <w:webHidden/>
          </w:rPr>
          <w:t>50</w:t>
        </w:r>
        <w:r w:rsidR="009B6045">
          <w:rPr>
            <w:webHidden/>
          </w:rPr>
          <w:fldChar w:fldCharType="end"/>
        </w:r>
      </w:hyperlink>
    </w:p>
    <w:p w14:paraId="5F735D9F" w14:textId="3E6D3F40"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52" w:history="1">
        <w:r w:rsidR="009B6045" w:rsidRPr="00141C41">
          <w:rPr>
            <w:rStyle w:val="Hyperlink"/>
          </w:rPr>
          <w:t>Reporting entity applications</w:t>
        </w:r>
        <w:r w:rsidR="009B6045">
          <w:rPr>
            <w:webHidden/>
          </w:rPr>
          <w:tab/>
        </w:r>
        <w:r w:rsidR="009B6045">
          <w:rPr>
            <w:webHidden/>
          </w:rPr>
          <w:fldChar w:fldCharType="begin"/>
        </w:r>
        <w:r w:rsidR="009B6045">
          <w:rPr>
            <w:webHidden/>
          </w:rPr>
          <w:instrText xml:space="preserve"> PAGEREF _Toc184822252 \h </w:instrText>
        </w:r>
        <w:r w:rsidR="009B6045">
          <w:rPr>
            <w:webHidden/>
          </w:rPr>
        </w:r>
        <w:r w:rsidR="009B6045">
          <w:rPr>
            <w:webHidden/>
          </w:rPr>
          <w:fldChar w:fldCharType="separate"/>
        </w:r>
        <w:r w:rsidR="009B6045">
          <w:rPr>
            <w:webHidden/>
          </w:rPr>
          <w:t>51</w:t>
        </w:r>
        <w:r w:rsidR="009B6045">
          <w:rPr>
            <w:webHidden/>
          </w:rPr>
          <w:fldChar w:fldCharType="end"/>
        </w:r>
      </w:hyperlink>
    </w:p>
    <w:p w14:paraId="67DB90E6" w14:textId="3910AB1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3" w:history="1">
        <w:r w:rsidR="009B6045" w:rsidRPr="00141C41">
          <w:rPr>
            <w:rStyle w:val="Hyperlink"/>
          </w:rPr>
          <w:t>Volunteer Reporting Entity Applications</w:t>
        </w:r>
        <w:r w:rsidR="009B6045">
          <w:rPr>
            <w:webHidden/>
          </w:rPr>
          <w:tab/>
        </w:r>
        <w:r w:rsidR="009B6045">
          <w:rPr>
            <w:webHidden/>
          </w:rPr>
          <w:fldChar w:fldCharType="begin"/>
        </w:r>
        <w:r w:rsidR="009B6045">
          <w:rPr>
            <w:webHidden/>
          </w:rPr>
          <w:instrText xml:space="preserve"> PAGEREF _Toc184822253 \h </w:instrText>
        </w:r>
        <w:r w:rsidR="009B6045">
          <w:rPr>
            <w:webHidden/>
          </w:rPr>
        </w:r>
        <w:r w:rsidR="009B6045">
          <w:rPr>
            <w:webHidden/>
          </w:rPr>
          <w:fldChar w:fldCharType="separate"/>
        </w:r>
        <w:r w:rsidR="009B6045">
          <w:rPr>
            <w:webHidden/>
          </w:rPr>
          <w:t>51</w:t>
        </w:r>
        <w:r w:rsidR="009B6045">
          <w:rPr>
            <w:webHidden/>
          </w:rPr>
          <w:fldChar w:fldCharType="end"/>
        </w:r>
      </w:hyperlink>
    </w:p>
    <w:p w14:paraId="6D52B639" w14:textId="52A3A0F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4" w:history="1">
        <w:r w:rsidR="009B6045" w:rsidRPr="00141C41">
          <w:rPr>
            <w:rStyle w:val="Hyperlink"/>
          </w:rPr>
          <w:t>Nominee &amp; Subsidiary Reporting Entity Applications</w:t>
        </w:r>
        <w:r w:rsidR="009B6045">
          <w:rPr>
            <w:webHidden/>
          </w:rPr>
          <w:tab/>
        </w:r>
        <w:r w:rsidR="009B6045">
          <w:rPr>
            <w:webHidden/>
          </w:rPr>
          <w:fldChar w:fldCharType="begin"/>
        </w:r>
        <w:r w:rsidR="009B6045">
          <w:rPr>
            <w:webHidden/>
          </w:rPr>
          <w:instrText xml:space="preserve"> PAGEREF _Toc184822254 \h </w:instrText>
        </w:r>
        <w:r w:rsidR="009B6045">
          <w:rPr>
            <w:webHidden/>
          </w:rPr>
        </w:r>
        <w:r w:rsidR="009B6045">
          <w:rPr>
            <w:webHidden/>
          </w:rPr>
          <w:fldChar w:fldCharType="separate"/>
        </w:r>
        <w:r w:rsidR="009B6045">
          <w:rPr>
            <w:webHidden/>
          </w:rPr>
          <w:t>52</w:t>
        </w:r>
        <w:r w:rsidR="009B6045">
          <w:rPr>
            <w:webHidden/>
          </w:rPr>
          <w:fldChar w:fldCharType="end"/>
        </w:r>
      </w:hyperlink>
    </w:p>
    <w:p w14:paraId="19258D6A" w14:textId="7B98688B"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55" w:history="1">
        <w:r w:rsidR="009B6045" w:rsidRPr="00141C41">
          <w:rPr>
            <w:rStyle w:val="Hyperlink"/>
          </w:rPr>
          <w:t>Relief applications</w:t>
        </w:r>
        <w:r w:rsidR="009B6045">
          <w:rPr>
            <w:webHidden/>
          </w:rPr>
          <w:tab/>
        </w:r>
        <w:r w:rsidR="009B6045">
          <w:rPr>
            <w:webHidden/>
          </w:rPr>
          <w:fldChar w:fldCharType="begin"/>
        </w:r>
        <w:r w:rsidR="009B6045">
          <w:rPr>
            <w:webHidden/>
          </w:rPr>
          <w:instrText xml:space="preserve"> PAGEREF _Toc184822255 \h </w:instrText>
        </w:r>
        <w:r w:rsidR="009B6045">
          <w:rPr>
            <w:webHidden/>
          </w:rPr>
        </w:r>
        <w:r w:rsidR="009B6045">
          <w:rPr>
            <w:webHidden/>
          </w:rPr>
          <w:fldChar w:fldCharType="separate"/>
        </w:r>
        <w:r w:rsidR="009B6045">
          <w:rPr>
            <w:webHidden/>
          </w:rPr>
          <w:t>53</w:t>
        </w:r>
        <w:r w:rsidR="009B6045">
          <w:rPr>
            <w:webHidden/>
          </w:rPr>
          <w:fldChar w:fldCharType="end"/>
        </w:r>
      </w:hyperlink>
    </w:p>
    <w:p w14:paraId="50AED3C7" w14:textId="46B2851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6" w:history="1">
        <w:r w:rsidR="009B6045" w:rsidRPr="00141C41">
          <w:rPr>
            <w:rStyle w:val="Hyperlink"/>
          </w:rPr>
          <w:t>Short extension of time to give a report</w:t>
        </w:r>
        <w:r w:rsidR="009B6045">
          <w:rPr>
            <w:webHidden/>
          </w:rPr>
          <w:tab/>
        </w:r>
        <w:r w:rsidR="009B6045">
          <w:rPr>
            <w:webHidden/>
          </w:rPr>
          <w:fldChar w:fldCharType="begin"/>
        </w:r>
        <w:r w:rsidR="009B6045">
          <w:rPr>
            <w:webHidden/>
          </w:rPr>
          <w:instrText xml:space="preserve"> PAGEREF _Toc184822256 \h </w:instrText>
        </w:r>
        <w:r w:rsidR="009B6045">
          <w:rPr>
            <w:webHidden/>
          </w:rPr>
        </w:r>
        <w:r w:rsidR="009B6045">
          <w:rPr>
            <w:webHidden/>
          </w:rPr>
          <w:fldChar w:fldCharType="separate"/>
        </w:r>
        <w:r w:rsidR="009B6045">
          <w:rPr>
            <w:webHidden/>
          </w:rPr>
          <w:t>53</w:t>
        </w:r>
        <w:r w:rsidR="009B6045">
          <w:rPr>
            <w:webHidden/>
          </w:rPr>
          <w:fldChar w:fldCharType="end"/>
        </w:r>
      </w:hyperlink>
    </w:p>
    <w:p w14:paraId="5DFF62F1" w14:textId="75B7EA2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7" w:history="1">
        <w:r w:rsidR="009B6045" w:rsidRPr="00141C41">
          <w:rPr>
            <w:rStyle w:val="Hyperlink"/>
          </w:rPr>
          <w:t>Modifiable extension of time to give a report</w:t>
        </w:r>
        <w:r w:rsidR="009B6045">
          <w:rPr>
            <w:webHidden/>
          </w:rPr>
          <w:tab/>
        </w:r>
        <w:r w:rsidR="009B6045">
          <w:rPr>
            <w:webHidden/>
          </w:rPr>
          <w:fldChar w:fldCharType="begin"/>
        </w:r>
        <w:r w:rsidR="009B6045">
          <w:rPr>
            <w:webHidden/>
          </w:rPr>
          <w:instrText xml:space="preserve"> PAGEREF _Toc184822257 \h </w:instrText>
        </w:r>
        <w:r w:rsidR="009B6045">
          <w:rPr>
            <w:webHidden/>
          </w:rPr>
        </w:r>
        <w:r w:rsidR="009B6045">
          <w:rPr>
            <w:webHidden/>
          </w:rPr>
          <w:fldChar w:fldCharType="separate"/>
        </w:r>
        <w:r w:rsidR="009B6045">
          <w:rPr>
            <w:webHidden/>
          </w:rPr>
          <w:t>54</w:t>
        </w:r>
        <w:r w:rsidR="009B6045">
          <w:rPr>
            <w:webHidden/>
          </w:rPr>
          <w:fldChar w:fldCharType="end"/>
        </w:r>
      </w:hyperlink>
    </w:p>
    <w:p w14:paraId="298395BD" w14:textId="36667A5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8" w:history="1">
        <w:r w:rsidR="009B6045" w:rsidRPr="00141C41">
          <w:rPr>
            <w:rStyle w:val="Hyperlink"/>
          </w:rPr>
          <w:t>Modifying an Extension</w:t>
        </w:r>
        <w:r w:rsidR="009B6045">
          <w:rPr>
            <w:webHidden/>
          </w:rPr>
          <w:tab/>
        </w:r>
        <w:r w:rsidR="009B6045">
          <w:rPr>
            <w:webHidden/>
          </w:rPr>
          <w:fldChar w:fldCharType="begin"/>
        </w:r>
        <w:r w:rsidR="009B6045">
          <w:rPr>
            <w:webHidden/>
          </w:rPr>
          <w:instrText xml:space="preserve"> PAGEREF _Toc184822258 \h </w:instrText>
        </w:r>
        <w:r w:rsidR="009B6045">
          <w:rPr>
            <w:webHidden/>
          </w:rPr>
        </w:r>
        <w:r w:rsidR="009B6045">
          <w:rPr>
            <w:webHidden/>
          </w:rPr>
          <w:fldChar w:fldCharType="separate"/>
        </w:r>
        <w:r w:rsidR="009B6045">
          <w:rPr>
            <w:webHidden/>
          </w:rPr>
          <w:t>55</w:t>
        </w:r>
        <w:r w:rsidR="009B6045">
          <w:rPr>
            <w:webHidden/>
          </w:rPr>
          <w:fldChar w:fldCharType="end"/>
        </w:r>
      </w:hyperlink>
    </w:p>
    <w:p w14:paraId="38143380" w14:textId="38374EC9"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59" w:history="1">
        <w:r w:rsidR="009B6045" w:rsidRPr="00141C41">
          <w:rPr>
            <w:rStyle w:val="Hyperlink"/>
          </w:rPr>
          <w:t>Exemption from Reporting</w:t>
        </w:r>
        <w:r w:rsidR="009B6045">
          <w:rPr>
            <w:webHidden/>
          </w:rPr>
          <w:tab/>
        </w:r>
        <w:r w:rsidR="009B6045">
          <w:rPr>
            <w:webHidden/>
          </w:rPr>
          <w:fldChar w:fldCharType="begin"/>
        </w:r>
        <w:r w:rsidR="009B6045">
          <w:rPr>
            <w:webHidden/>
          </w:rPr>
          <w:instrText xml:space="preserve"> PAGEREF _Toc184822259 \h </w:instrText>
        </w:r>
        <w:r w:rsidR="009B6045">
          <w:rPr>
            <w:webHidden/>
          </w:rPr>
        </w:r>
        <w:r w:rsidR="009B6045">
          <w:rPr>
            <w:webHidden/>
          </w:rPr>
          <w:fldChar w:fldCharType="separate"/>
        </w:r>
        <w:r w:rsidR="009B6045">
          <w:rPr>
            <w:webHidden/>
          </w:rPr>
          <w:t>55</w:t>
        </w:r>
        <w:r w:rsidR="009B6045">
          <w:rPr>
            <w:webHidden/>
          </w:rPr>
          <w:fldChar w:fldCharType="end"/>
        </w:r>
      </w:hyperlink>
    </w:p>
    <w:p w14:paraId="7A08860B" w14:textId="4EFBB638"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60" w:history="1">
        <w:r w:rsidR="009B6045" w:rsidRPr="00141C41">
          <w:rPr>
            <w:rStyle w:val="Hyperlink"/>
          </w:rPr>
          <w:t>Review of decisions</w:t>
        </w:r>
        <w:r w:rsidR="009B6045">
          <w:rPr>
            <w:webHidden/>
          </w:rPr>
          <w:tab/>
        </w:r>
        <w:r w:rsidR="009B6045">
          <w:rPr>
            <w:webHidden/>
          </w:rPr>
          <w:fldChar w:fldCharType="begin"/>
        </w:r>
        <w:r w:rsidR="009B6045">
          <w:rPr>
            <w:webHidden/>
          </w:rPr>
          <w:instrText xml:space="preserve"> PAGEREF _Toc184822260 \h </w:instrText>
        </w:r>
        <w:r w:rsidR="009B6045">
          <w:rPr>
            <w:webHidden/>
          </w:rPr>
        </w:r>
        <w:r w:rsidR="009B6045">
          <w:rPr>
            <w:webHidden/>
          </w:rPr>
          <w:fldChar w:fldCharType="separate"/>
        </w:r>
        <w:r w:rsidR="009B6045">
          <w:rPr>
            <w:webHidden/>
          </w:rPr>
          <w:t>56</w:t>
        </w:r>
        <w:r w:rsidR="009B6045">
          <w:rPr>
            <w:webHidden/>
          </w:rPr>
          <w:fldChar w:fldCharType="end"/>
        </w:r>
      </w:hyperlink>
    </w:p>
    <w:p w14:paraId="340B5E51" w14:textId="4B96A0C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1" w:history="1">
        <w:r w:rsidR="009B6045" w:rsidRPr="00141C41">
          <w:rPr>
            <w:rStyle w:val="Hyperlink"/>
          </w:rPr>
          <w:t>Reconsideration of decision</w:t>
        </w:r>
        <w:r w:rsidR="009B6045">
          <w:rPr>
            <w:webHidden/>
          </w:rPr>
          <w:tab/>
        </w:r>
        <w:r w:rsidR="009B6045">
          <w:rPr>
            <w:webHidden/>
          </w:rPr>
          <w:fldChar w:fldCharType="begin"/>
        </w:r>
        <w:r w:rsidR="009B6045">
          <w:rPr>
            <w:webHidden/>
          </w:rPr>
          <w:instrText xml:space="preserve"> PAGEREF _Toc184822261 \h </w:instrText>
        </w:r>
        <w:r w:rsidR="009B6045">
          <w:rPr>
            <w:webHidden/>
          </w:rPr>
        </w:r>
        <w:r w:rsidR="009B6045">
          <w:rPr>
            <w:webHidden/>
          </w:rPr>
          <w:fldChar w:fldCharType="separate"/>
        </w:r>
        <w:r w:rsidR="009B6045">
          <w:rPr>
            <w:webHidden/>
          </w:rPr>
          <w:t>57</w:t>
        </w:r>
        <w:r w:rsidR="009B6045">
          <w:rPr>
            <w:webHidden/>
          </w:rPr>
          <w:fldChar w:fldCharType="end"/>
        </w:r>
      </w:hyperlink>
    </w:p>
    <w:p w14:paraId="332E08E4" w14:textId="0517D09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2" w:history="1">
        <w:r w:rsidR="009B6045" w:rsidRPr="00141C41">
          <w:rPr>
            <w:rStyle w:val="Hyperlink"/>
          </w:rPr>
          <w:t>Review by the ART</w:t>
        </w:r>
        <w:r w:rsidR="009B6045">
          <w:rPr>
            <w:webHidden/>
          </w:rPr>
          <w:tab/>
        </w:r>
        <w:r w:rsidR="009B6045">
          <w:rPr>
            <w:webHidden/>
          </w:rPr>
          <w:fldChar w:fldCharType="begin"/>
        </w:r>
        <w:r w:rsidR="009B6045">
          <w:rPr>
            <w:webHidden/>
          </w:rPr>
          <w:instrText xml:space="preserve"> PAGEREF _Toc184822262 \h </w:instrText>
        </w:r>
        <w:r w:rsidR="009B6045">
          <w:rPr>
            <w:webHidden/>
          </w:rPr>
        </w:r>
        <w:r w:rsidR="009B6045">
          <w:rPr>
            <w:webHidden/>
          </w:rPr>
          <w:fldChar w:fldCharType="separate"/>
        </w:r>
        <w:r w:rsidR="009B6045">
          <w:rPr>
            <w:webHidden/>
          </w:rPr>
          <w:t>57</w:t>
        </w:r>
        <w:r w:rsidR="009B6045">
          <w:rPr>
            <w:webHidden/>
          </w:rPr>
          <w:fldChar w:fldCharType="end"/>
        </w:r>
      </w:hyperlink>
    </w:p>
    <w:p w14:paraId="0817E6E7" w14:textId="0C79B644" w:rsidR="009B6045" w:rsidRDefault="005C74C4">
      <w:pPr>
        <w:pStyle w:val="TOC1"/>
        <w:rPr>
          <w:rFonts w:asciiTheme="minorHAnsi" w:eastAsiaTheme="minorEastAsia" w:hAnsiTheme="minorHAnsi" w:cstheme="minorBidi"/>
          <w:b w:val="0"/>
          <w:color w:val="auto"/>
          <w:kern w:val="2"/>
          <w14:ligatures w14:val="standardContextual"/>
        </w:rPr>
      </w:pPr>
      <w:hyperlink w:anchor="_Toc184822263" w:history="1">
        <w:r w:rsidR="009B6045" w:rsidRPr="00141C41">
          <w:rPr>
            <w:rStyle w:val="Hyperlink"/>
          </w:rPr>
          <w:t>Fast and Slow Small Business Payers</w:t>
        </w:r>
        <w:r w:rsidR="009B6045">
          <w:rPr>
            <w:webHidden/>
          </w:rPr>
          <w:tab/>
        </w:r>
        <w:r w:rsidR="009B6045">
          <w:rPr>
            <w:webHidden/>
          </w:rPr>
          <w:fldChar w:fldCharType="begin"/>
        </w:r>
        <w:r w:rsidR="009B6045">
          <w:rPr>
            <w:webHidden/>
          </w:rPr>
          <w:instrText xml:space="preserve"> PAGEREF _Toc184822263 \h </w:instrText>
        </w:r>
        <w:r w:rsidR="009B6045">
          <w:rPr>
            <w:webHidden/>
          </w:rPr>
        </w:r>
        <w:r w:rsidR="009B6045">
          <w:rPr>
            <w:webHidden/>
          </w:rPr>
          <w:fldChar w:fldCharType="separate"/>
        </w:r>
        <w:r w:rsidR="009B6045">
          <w:rPr>
            <w:webHidden/>
          </w:rPr>
          <w:t>58</w:t>
        </w:r>
        <w:r w:rsidR="009B6045">
          <w:rPr>
            <w:webHidden/>
          </w:rPr>
          <w:fldChar w:fldCharType="end"/>
        </w:r>
      </w:hyperlink>
    </w:p>
    <w:p w14:paraId="1801D7C1" w14:textId="7256FFA6"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64" w:history="1">
        <w:r w:rsidR="009B6045" w:rsidRPr="00141C41">
          <w:rPr>
            <w:rStyle w:val="Hyperlink"/>
          </w:rPr>
          <w:t>Slow Small Business Payers</w:t>
        </w:r>
        <w:r w:rsidR="009B6045">
          <w:rPr>
            <w:webHidden/>
          </w:rPr>
          <w:tab/>
        </w:r>
        <w:r w:rsidR="009B6045">
          <w:rPr>
            <w:webHidden/>
          </w:rPr>
          <w:fldChar w:fldCharType="begin"/>
        </w:r>
        <w:r w:rsidR="009B6045">
          <w:rPr>
            <w:webHidden/>
          </w:rPr>
          <w:instrText xml:space="preserve"> PAGEREF _Toc184822264 \h </w:instrText>
        </w:r>
        <w:r w:rsidR="009B6045">
          <w:rPr>
            <w:webHidden/>
          </w:rPr>
        </w:r>
        <w:r w:rsidR="009B6045">
          <w:rPr>
            <w:webHidden/>
          </w:rPr>
          <w:fldChar w:fldCharType="separate"/>
        </w:r>
        <w:r w:rsidR="009B6045">
          <w:rPr>
            <w:webHidden/>
          </w:rPr>
          <w:t>58</w:t>
        </w:r>
        <w:r w:rsidR="009B6045">
          <w:rPr>
            <w:webHidden/>
          </w:rPr>
          <w:fldChar w:fldCharType="end"/>
        </w:r>
      </w:hyperlink>
    </w:p>
    <w:p w14:paraId="19BEC48F" w14:textId="3E27F8A8"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5" w:history="1">
        <w:r w:rsidR="009B6045" w:rsidRPr="00141C41">
          <w:rPr>
            <w:rStyle w:val="Hyperlink"/>
          </w:rPr>
          <w:t>Reporting cycles</w:t>
        </w:r>
        <w:r w:rsidR="009B6045">
          <w:rPr>
            <w:webHidden/>
          </w:rPr>
          <w:tab/>
        </w:r>
        <w:r w:rsidR="009B6045">
          <w:rPr>
            <w:webHidden/>
          </w:rPr>
          <w:fldChar w:fldCharType="begin"/>
        </w:r>
        <w:r w:rsidR="009B6045">
          <w:rPr>
            <w:webHidden/>
          </w:rPr>
          <w:instrText xml:space="preserve"> PAGEREF _Toc184822265 \h </w:instrText>
        </w:r>
        <w:r w:rsidR="009B6045">
          <w:rPr>
            <w:webHidden/>
          </w:rPr>
        </w:r>
        <w:r w:rsidR="009B6045">
          <w:rPr>
            <w:webHidden/>
          </w:rPr>
          <w:fldChar w:fldCharType="separate"/>
        </w:r>
        <w:r w:rsidR="009B6045">
          <w:rPr>
            <w:webHidden/>
          </w:rPr>
          <w:t>58</w:t>
        </w:r>
        <w:r w:rsidR="009B6045">
          <w:rPr>
            <w:webHidden/>
          </w:rPr>
          <w:fldChar w:fldCharType="end"/>
        </w:r>
      </w:hyperlink>
    </w:p>
    <w:p w14:paraId="46875354" w14:textId="279C24DD"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66" w:history="1">
        <w:r w:rsidR="009B6045" w:rsidRPr="00141C41">
          <w:rPr>
            <w:rStyle w:val="Hyperlink"/>
          </w:rPr>
          <w:t>Slow Small Business Payer Directions</w:t>
        </w:r>
        <w:r w:rsidR="009B6045">
          <w:rPr>
            <w:webHidden/>
          </w:rPr>
          <w:tab/>
        </w:r>
        <w:r w:rsidR="009B6045">
          <w:rPr>
            <w:webHidden/>
          </w:rPr>
          <w:fldChar w:fldCharType="begin"/>
        </w:r>
        <w:r w:rsidR="009B6045">
          <w:rPr>
            <w:webHidden/>
          </w:rPr>
          <w:instrText xml:space="preserve"> PAGEREF _Toc184822266 \h </w:instrText>
        </w:r>
        <w:r w:rsidR="009B6045">
          <w:rPr>
            <w:webHidden/>
          </w:rPr>
        </w:r>
        <w:r w:rsidR="009B6045">
          <w:rPr>
            <w:webHidden/>
          </w:rPr>
          <w:fldChar w:fldCharType="separate"/>
        </w:r>
        <w:r w:rsidR="009B6045">
          <w:rPr>
            <w:webHidden/>
          </w:rPr>
          <w:t>59</w:t>
        </w:r>
        <w:r w:rsidR="009B6045">
          <w:rPr>
            <w:webHidden/>
          </w:rPr>
          <w:fldChar w:fldCharType="end"/>
        </w:r>
      </w:hyperlink>
    </w:p>
    <w:p w14:paraId="50948BE4" w14:textId="10282660"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7" w:history="1">
        <w:r w:rsidR="009B6045" w:rsidRPr="00141C41">
          <w:rPr>
            <w:rStyle w:val="Hyperlink"/>
          </w:rPr>
          <w:t>Authority to issue a direction</w:t>
        </w:r>
        <w:r w:rsidR="009B6045">
          <w:rPr>
            <w:webHidden/>
          </w:rPr>
          <w:tab/>
        </w:r>
        <w:r w:rsidR="009B6045">
          <w:rPr>
            <w:webHidden/>
          </w:rPr>
          <w:fldChar w:fldCharType="begin"/>
        </w:r>
        <w:r w:rsidR="009B6045">
          <w:rPr>
            <w:webHidden/>
          </w:rPr>
          <w:instrText xml:space="preserve"> PAGEREF _Toc184822267 \h </w:instrText>
        </w:r>
        <w:r w:rsidR="009B6045">
          <w:rPr>
            <w:webHidden/>
          </w:rPr>
        </w:r>
        <w:r w:rsidR="009B6045">
          <w:rPr>
            <w:webHidden/>
          </w:rPr>
          <w:fldChar w:fldCharType="separate"/>
        </w:r>
        <w:r w:rsidR="009B6045">
          <w:rPr>
            <w:webHidden/>
          </w:rPr>
          <w:t>59</w:t>
        </w:r>
        <w:r w:rsidR="009B6045">
          <w:rPr>
            <w:webHidden/>
          </w:rPr>
          <w:fldChar w:fldCharType="end"/>
        </w:r>
      </w:hyperlink>
    </w:p>
    <w:p w14:paraId="6DC78384" w14:textId="2E673A73"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8" w:history="1">
        <w:r w:rsidR="009B6045" w:rsidRPr="00141C41">
          <w:rPr>
            <w:rStyle w:val="Hyperlink"/>
          </w:rPr>
          <w:t>Deciding to make a direction</w:t>
        </w:r>
        <w:r w:rsidR="009B6045">
          <w:rPr>
            <w:webHidden/>
          </w:rPr>
          <w:tab/>
        </w:r>
        <w:r w:rsidR="009B6045">
          <w:rPr>
            <w:webHidden/>
          </w:rPr>
          <w:fldChar w:fldCharType="begin"/>
        </w:r>
        <w:r w:rsidR="009B6045">
          <w:rPr>
            <w:webHidden/>
          </w:rPr>
          <w:instrText xml:space="preserve"> PAGEREF _Toc184822268 \h </w:instrText>
        </w:r>
        <w:r w:rsidR="009B6045">
          <w:rPr>
            <w:webHidden/>
          </w:rPr>
        </w:r>
        <w:r w:rsidR="009B6045">
          <w:rPr>
            <w:webHidden/>
          </w:rPr>
          <w:fldChar w:fldCharType="separate"/>
        </w:r>
        <w:r w:rsidR="009B6045">
          <w:rPr>
            <w:webHidden/>
          </w:rPr>
          <w:t>60</w:t>
        </w:r>
        <w:r w:rsidR="009B6045">
          <w:rPr>
            <w:webHidden/>
          </w:rPr>
          <w:fldChar w:fldCharType="end"/>
        </w:r>
      </w:hyperlink>
    </w:p>
    <w:p w14:paraId="1A0D490E" w14:textId="3FD4CCD7"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69" w:history="1">
        <w:r w:rsidR="009B6045" w:rsidRPr="00141C41">
          <w:rPr>
            <w:rStyle w:val="Hyperlink"/>
          </w:rPr>
          <w:t>Considering the Circumstances</w:t>
        </w:r>
        <w:r w:rsidR="009B6045">
          <w:rPr>
            <w:webHidden/>
          </w:rPr>
          <w:tab/>
        </w:r>
        <w:r w:rsidR="009B6045">
          <w:rPr>
            <w:webHidden/>
          </w:rPr>
          <w:fldChar w:fldCharType="begin"/>
        </w:r>
        <w:r w:rsidR="009B6045">
          <w:rPr>
            <w:webHidden/>
          </w:rPr>
          <w:instrText xml:space="preserve"> PAGEREF _Toc184822269 \h </w:instrText>
        </w:r>
        <w:r w:rsidR="009B6045">
          <w:rPr>
            <w:webHidden/>
          </w:rPr>
        </w:r>
        <w:r w:rsidR="009B6045">
          <w:rPr>
            <w:webHidden/>
          </w:rPr>
          <w:fldChar w:fldCharType="separate"/>
        </w:r>
        <w:r w:rsidR="009B6045">
          <w:rPr>
            <w:webHidden/>
          </w:rPr>
          <w:t>60</w:t>
        </w:r>
        <w:r w:rsidR="009B6045">
          <w:rPr>
            <w:webHidden/>
          </w:rPr>
          <w:fldChar w:fldCharType="end"/>
        </w:r>
      </w:hyperlink>
    </w:p>
    <w:p w14:paraId="0AB8595C" w14:textId="4871FF70"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0" w:history="1">
        <w:r w:rsidR="009B6045" w:rsidRPr="00141C41">
          <w:rPr>
            <w:rStyle w:val="Hyperlink"/>
          </w:rPr>
          <w:t>Notice of Proposed Decision &amp; Procedural Fairness</w:t>
        </w:r>
        <w:r w:rsidR="009B6045">
          <w:rPr>
            <w:webHidden/>
          </w:rPr>
          <w:tab/>
        </w:r>
        <w:r w:rsidR="009B6045">
          <w:rPr>
            <w:webHidden/>
          </w:rPr>
          <w:fldChar w:fldCharType="begin"/>
        </w:r>
        <w:r w:rsidR="009B6045">
          <w:rPr>
            <w:webHidden/>
          </w:rPr>
          <w:instrText xml:space="preserve"> PAGEREF _Toc184822270 \h </w:instrText>
        </w:r>
        <w:r w:rsidR="009B6045">
          <w:rPr>
            <w:webHidden/>
          </w:rPr>
        </w:r>
        <w:r w:rsidR="009B6045">
          <w:rPr>
            <w:webHidden/>
          </w:rPr>
          <w:fldChar w:fldCharType="separate"/>
        </w:r>
        <w:r w:rsidR="009B6045">
          <w:rPr>
            <w:webHidden/>
          </w:rPr>
          <w:t>60</w:t>
        </w:r>
        <w:r w:rsidR="009B6045">
          <w:rPr>
            <w:webHidden/>
          </w:rPr>
          <w:fldChar w:fldCharType="end"/>
        </w:r>
      </w:hyperlink>
    </w:p>
    <w:p w14:paraId="5D48C588" w14:textId="4FBECDA5"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1" w:history="1">
        <w:r w:rsidR="009B6045" w:rsidRPr="00141C41">
          <w:rPr>
            <w:rStyle w:val="Hyperlink"/>
          </w:rPr>
          <w:t>What Can a Slow Small Business Payer Be Directed to Do?</w:t>
        </w:r>
        <w:r w:rsidR="009B6045">
          <w:rPr>
            <w:webHidden/>
          </w:rPr>
          <w:tab/>
        </w:r>
        <w:r w:rsidR="009B6045">
          <w:rPr>
            <w:webHidden/>
          </w:rPr>
          <w:fldChar w:fldCharType="begin"/>
        </w:r>
        <w:r w:rsidR="009B6045">
          <w:rPr>
            <w:webHidden/>
          </w:rPr>
          <w:instrText xml:space="preserve"> PAGEREF _Toc184822271 \h </w:instrText>
        </w:r>
        <w:r w:rsidR="009B6045">
          <w:rPr>
            <w:webHidden/>
          </w:rPr>
        </w:r>
        <w:r w:rsidR="009B6045">
          <w:rPr>
            <w:webHidden/>
          </w:rPr>
          <w:fldChar w:fldCharType="separate"/>
        </w:r>
        <w:r w:rsidR="009B6045">
          <w:rPr>
            <w:webHidden/>
          </w:rPr>
          <w:t>61</w:t>
        </w:r>
        <w:r w:rsidR="009B6045">
          <w:rPr>
            <w:webHidden/>
          </w:rPr>
          <w:fldChar w:fldCharType="end"/>
        </w:r>
      </w:hyperlink>
    </w:p>
    <w:p w14:paraId="4BCEEB91" w14:textId="12B18AB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2" w:history="1">
        <w:r w:rsidR="009B6045" w:rsidRPr="00141C41">
          <w:rPr>
            <w:rStyle w:val="Hyperlink"/>
          </w:rPr>
          <w:t>Reconsideration of a Slow Small Business Payer Direction</w:t>
        </w:r>
        <w:r w:rsidR="009B6045">
          <w:rPr>
            <w:webHidden/>
          </w:rPr>
          <w:tab/>
        </w:r>
        <w:r w:rsidR="009B6045">
          <w:rPr>
            <w:webHidden/>
          </w:rPr>
          <w:fldChar w:fldCharType="begin"/>
        </w:r>
        <w:r w:rsidR="009B6045">
          <w:rPr>
            <w:webHidden/>
          </w:rPr>
          <w:instrText xml:space="preserve"> PAGEREF _Toc184822272 \h </w:instrText>
        </w:r>
        <w:r w:rsidR="009B6045">
          <w:rPr>
            <w:webHidden/>
          </w:rPr>
        </w:r>
        <w:r w:rsidR="009B6045">
          <w:rPr>
            <w:webHidden/>
          </w:rPr>
          <w:fldChar w:fldCharType="separate"/>
        </w:r>
        <w:r w:rsidR="009B6045">
          <w:rPr>
            <w:webHidden/>
          </w:rPr>
          <w:t>61</w:t>
        </w:r>
        <w:r w:rsidR="009B6045">
          <w:rPr>
            <w:webHidden/>
          </w:rPr>
          <w:fldChar w:fldCharType="end"/>
        </w:r>
      </w:hyperlink>
    </w:p>
    <w:p w14:paraId="5C2FE880" w14:textId="3B7253E1"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3" w:history="1">
        <w:r w:rsidR="009B6045" w:rsidRPr="00141C41">
          <w:rPr>
            <w:rStyle w:val="Hyperlink"/>
          </w:rPr>
          <w:t>Duration of Slow Small Business Payer Direction</w:t>
        </w:r>
        <w:r w:rsidR="009B6045">
          <w:rPr>
            <w:webHidden/>
          </w:rPr>
          <w:tab/>
        </w:r>
        <w:r w:rsidR="009B6045">
          <w:rPr>
            <w:webHidden/>
          </w:rPr>
          <w:fldChar w:fldCharType="begin"/>
        </w:r>
        <w:r w:rsidR="009B6045">
          <w:rPr>
            <w:webHidden/>
          </w:rPr>
          <w:instrText xml:space="preserve"> PAGEREF _Toc184822273 \h </w:instrText>
        </w:r>
        <w:r w:rsidR="009B6045">
          <w:rPr>
            <w:webHidden/>
          </w:rPr>
        </w:r>
        <w:r w:rsidR="009B6045">
          <w:rPr>
            <w:webHidden/>
          </w:rPr>
          <w:fldChar w:fldCharType="separate"/>
        </w:r>
        <w:r w:rsidR="009B6045">
          <w:rPr>
            <w:webHidden/>
          </w:rPr>
          <w:t>62</w:t>
        </w:r>
        <w:r w:rsidR="009B6045">
          <w:rPr>
            <w:webHidden/>
          </w:rPr>
          <w:fldChar w:fldCharType="end"/>
        </w:r>
      </w:hyperlink>
    </w:p>
    <w:p w14:paraId="34F753A3" w14:textId="2A938811" w:rsidR="009B6045" w:rsidRDefault="005C74C4">
      <w:pPr>
        <w:pStyle w:val="TOC2"/>
        <w:rPr>
          <w:rFonts w:asciiTheme="minorHAnsi" w:eastAsiaTheme="minorEastAsia" w:hAnsiTheme="minorHAnsi" w:cstheme="minorBidi"/>
          <w:color w:val="auto"/>
          <w:kern w:val="2"/>
          <w:szCs w:val="22"/>
          <w14:ligatures w14:val="standardContextual"/>
        </w:rPr>
      </w:pPr>
      <w:hyperlink w:anchor="_Toc184822274" w:history="1">
        <w:r w:rsidR="009B6045" w:rsidRPr="00141C41">
          <w:rPr>
            <w:rStyle w:val="Hyperlink"/>
            <w:bCs/>
          </w:rPr>
          <w:t>Fast Small Business Payers</w:t>
        </w:r>
        <w:r w:rsidR="009B6045">
          <w:rPr>
            <w:webHidden/>
          </w:rPr>
          <w:tab/>
        </w:r>
        <w:r w:rsidR="009B6045">
          <w:rPr>
            <w:webHidden/>
          </w:rPr>
          <w:fldChar w:fldCharType="begin"/>
        </w:r>
        <w:r w:rsidR="009B6045">
          <w:rPr>
            <w:webHidden/>
          </w:rPr>
          <w:instrText xml:space="preserve"> PAGEREF _Toc184822274 \h </w:instrText>
        </w:r>
        <w:r w:rsidR="009B6045">
          <w:rPr>
            <w:webHidden/>
          </w:rPr>
        </w:r>
        <w:r w:rsidR="009B6045">
          <w:rPr>
            <w:webHidden/>
          </w:rPr>
          <w:fldChar w:fldCharType="separate"/>
        </w:r>
        <w:r w:rsidR="009B6045">
          <w:rPr>
            <w:webHidden/>
          </w:rPr>
          <w:t>62</w:t>
        </w:r>
        <w:r w:rsidR="009B6045">
          <w:rPr>
            <w:webHidden/>
          </w:rPr>
          <w:fldChar w:fldCharType="end"/>
        </w:r>
      </w:hyperlink>
    </w:p>
    <w:p w14:paraId="0F506597" w14:textId="7505A759"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5" w:history="1">
        <w:r w:rsidR="009B6045" w:rsidRPr="00141C41">
          <w:rPr>
            <w:rStyle w:val="Hyperlink"/>
          </w:rPr>
          <w:t>What is a Fast Small Business Payer?</w:t>
        </w:r>
        <w:r w:rsidR="009B6045">
          <w:rPr>
            <w:webHidden/>
          </w:rPr>
          <w:tab/>
        </w:r>
        <w:r w:rsidR="009B6045">
          <w:rPr>
            <w:webHidden/>
          </w:rPr>
          <w:fldChar w:fldCharType="begin"/>
        </w:r>
        <w:r w:rsidR="009B6045">
          <w:rPr>
            <w:webHidden/>
          </w:rPr>
          <w:instrText xml:space="preserve"> PAGEREF _Toc184822275 \h </w:instrText>
        </w:r>
        <w:r w:rsidR="009B6045">
          <w:rPr>
            <w:webHidden/>
          </w:rPr>
        </w:r>
        <w:r w:rsidR="009B6045">
          <w:rPr>
            <w:webHidden/>
          </w:rPr>
          <w:fldChar w:fldCharType="separate"/>
        </w:r>
        <w:r w:rsidR="009B6045">
          <w:rPr>
            <w:webHidden/>
          </w:rPr>
          <w:t>62</w:t>
        </w:r>
        <w:r w:rsidR="009B6045">
          <w:rPr>
            <w:webHidden/>
          </w:rPr>
          <w:fldChar w:fldCharType="end"/>
        </w:r>
      </w:hyperlink>
    </w:p>
    <w:p w14:paraId="1A560F60" w14:textId="2555C35E" w:rsidR="009B6045" w:rsidRDefault="005C74C4">
      <w:pPr>
        <w:pStyle w:val="TOC3"/>
        <w:rPr>
          <w:rFonts w:asciiTheme="minorHAnsi" w:eastAsiaTheme="minorEastAsia" w:hAnsiTheme="minorHAnsi" w:cstheme="minorBidi"/>
          <w:color w:val="auto"/>
          <w:kern w:val="2"/>
          <w:szCs w:val="22"/>
          <w14:ligatures w14:val="standardContextual"/>
        </w:rPr>
      </w:pPr>
      <w:hyperlink w:anchor="_Toc184822276" w:history="1">
        <w:r w:rsidR="009B6045" w:rsidRPr="00141C41">
          <w:rPr>
            <w:rStyle w:val="Hyperlink"/>
          </w:rPr>
          <w:t>Fast Small Business Payer List</w:t>
        </w:r>
        <w:r w:rsidR="009B6045">
          <w:rPr>
            <w:webHidden/>
          </w:rPr>
          <w:tab/>
        </w:r>
        <w:r w:rsidR="009B6045">
          <w:rPr>
            <w:webHidden/>
          </w:rPr>
          <w:fldChar w:fldCharType="begin"/>
        </w:r>
        <w:r w:rsidR="009B6045">
          <w:rPr>
            <w:webHidden/>
          </w:rPr>
          <w:instrText xml:space="preserve"> PAGEREF _Toc184822276 \h </w:instrText>
        </w:r>
        <w:r w:rsidR="009B6045">
          <w:rPr>
            <w:webHidden/>
          </w:rPr>
        </w:r>
        <w:r w:rsidR="009B6045">
          <w:rPr>
            <w:webHidden/>
          </w:rPr>
          <w:fldChar w:fldCharType="separate"/>
        </w:r>
        <w:r w:rsidR="009B6045">
          <w:rPr>
            <w:webHidden/>
          </w:rPr>
          <w:t>63</w:t>
        </w:r>
        <w:r w:rsidR="009B6045">
          <w:rPr>
            <w:webHidden/>
          </w:rPr>
          <w:fldChar w:fldCharType="end"/>
        </w:r>
      </w:hyperlink>
    </w:p>
    <w:p w14:paraId="1AA21F53" w14:textId="72988E38" w:rsidR="00F836F9" w:rsidRDefault="000E0B74" w:rsidP="0056582C">
      <w:pPr>
        <w:pStyle w:val="SingleParagraph"/>
        <w:ind w:right="-2"/>
        <w:sectPr w:rsidR="00F836F9" w:rsidSect="003C24B4">
          <w:headerReference w:type="even" r:id="rId15"/>
          <w:headerReference w:type="default" r:id="rId16"/>
          <w:footerReference w:type="even" r:id="rId17"/>
          <w:headerReference w:type="first" r:id="rId18"/>
          <w:footerReference w:type="first" r:id="rId19"/>
          <w:pgSz w:w="11906" w:h="16838" w:code="9"/>
          <w:pgMar w:top="1418" w:right="1418" w:bottom="1418" w:left="1418" w:header="709" w:footer="709" w:gutter="0"/>
          <w:pgNumType w:fmt="lowerRoman"/>
          <w:cols w:space="708"/>
          <w:docGrid w:linePitch="360"/>
        </w:sectPr>
      </w:pPr>
      <w:r>
        <w:fldChar w:fldCharType="end"/>
      </w:r>
      <w:bookmarkStart w:id="1" w:name="_Toc432067103"/>
      <w:bookmarkStart w:id="2" w:name="_Toc452635030"/>
    </w:p>
    <w:p w14:paraId="63391E95" w14:textId="212E9747" w:rsidR="00431CBA" w:rsidRDefault="0075362A" w:rsidP="00916BB6">
      <w:pPr>
        <w:pStyle w:val="Heading1"/>
        <w:spacing w:before="0"/>
      </w:pPr>
      <w:bookmarkStart w:id="3" w:name="_Toc184822178"/>
      <w:bookmarkStart w:id="4" w:name="_Toc180688100"/>
      <w:bookmarkEnd w:id="1"/>
      <w:bookmarkEnd w:id="2"/>
      <w:r>
        <w:lastRenderedPageBreak/>
        <w:t>Abbreviations</w:t>
      </w:r>
      <w:bookmarkEnd w:id="3"/>
    </w:p>
    <w:tbl>
      <w:tblPr>
        <w:tblStyle w:val="GridTable1Light"/>
        <w:tblW w:w="9923" w:type="dxa"/>
        <w:tblLayout w:type="fixed"/>
        <w:tblLook w:val="04A0" w:firstRow="1" w:lastRow="0" w:firstColumn="1" w:lastColumn="0" w:noHBand="0" w:noVBand="1"/>
      </w:tblPr>
      <w:tblGrid>
        <w:gridCol w:w="2830"/>
        <w:gridCol w:w="7093"/>
      </w:tblGrid>
      <w:tr w:rsidR="008C4130" w14:paraId="7715CBB5" w14:textId="77777777" w:rsidTr="00DE5333">
        <w:trPr>
          <w:cnfStyle w:val="100000000000" w:firstRow="1" w:lastRow="0" w:firstColumn="0" w:lastColumn="0" w:oddVBand="0" w:evenVBand="0" w:oddHBand="0" w:evenHBand="0" w:firstRowFirstColumn="0" w:firstRowLastColumn="0" w:lastRowFirstColumn="0" w:lastRowLastColumn="0"/>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shd w:val="clear" w:color="auto" w:fill="2B5282" w:themeFill="accent3" w:themeFillShade="BF"/>
            <w:vAlign w:val="center"/>
          </w:tcPr>
          <w:p w14:paraId="149BF95A" w14:textId="47EBC871" w:rsidR="008C4130" w:rsidRPr="00DE5333" w:rsidRDefault="00F34F1B" w:rsidP="00DE5333">
            <w:pPr>
              <w:spacing w:before="40" w:after="40"/>
              <w:rPr>
                <w:color w:val="FFFFFF" w:themeColor="background1"/>
              </w:rPr>
            </w:pPr>
            <w:r w:rsidRPr="00DE5333">
              <w:rPr>
                <w:color w:val="FFFFFF" w:themeColor="background1"/>
              </w:rPr>
              <w:t>Abbreviations</w:t>
            </w:r>
          </w:p>
        </w:tc>
        <w:tc>
          <w:tcPr>
            <w:tcW w:w="7093" w:type="dxa"/>
            <w:shd w:val="clear" w:color="auto" w:fill="2B5282" w:themeFill="accent3" w:themeFillShade="BF"/>
            <w:vAlign w:val="center"/>
          </w:tcPr>
          <w:p w14:paraId="3EB9C05F" w14:textId="22CB09D2" w:rsidR="008C4130" w:rsidRPr="00DE5333" w:rsidRDefault="00F34F1B" w:rsidP="00DE5333">
            <w:pPr>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DE5333">
              <w:rPr>
                <w:color w:val="FFFFFF" w:themeColor="background1"/>
              </w:rPr>
              <w:t>Full Reference</w:t>
            </w:r>
          </w:p>
        </w:tc>
      </w:tr>
      <w:tr w:rsidR="00EE72E9" w14:paraId="48EA3E91"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A34DEBC" w14:textId="26D3C315" w:rsidR="00EE72E9" w:rsidRDefault="00EE72E9" w:rsidP="00DE5333">
            <w:pPr>
              <w:spacing w:before="40" w:after="40"/>
            </w:pPr>
            <w:r>
              <w:rPr>
                <w:rFonts w:cs="Calibri"/>
                <w:b w:val="0"/>
                <w:bCs w:val="0"/>
                <w:color w:val="000000"/>
                <w:szCs w:val="22"/>
              </w:rPr>
              <w:t>ABN</w:t>
            </w:r>
          </w:p>
        </w:tc>
        <w:tc>
          <w:tcPr>
            <w:tcW w:w="7093" w:type="dxa"/>
            <w:vAlign w:val="center"/>
          </w:tcPr>
          <w:p w14:paraId="79518F10" w14:textId="573C6712" w:rsidR="00EE72E9" w:rsidRDefault="00AC3900" w:rsidP="00DE5333">
            <w:pPr>
              <w:spacing w:before="40" w:after="40"/>
              <w:cnfStyle w:val="000000000000" w:firstRow="0" w:lastRow="0" w:firstColumn="0" w:lastColumn="0" w:oddVBand="0" w:evenVBand="0" w:oddHBand="0" w:evenHBand="0" w:firstRowFirstColumn="0" w:firstRowLastColumn="0" w:lastRowFirstColumn="0" w:lastRowLastColumn="0"/>
            </w:pPr>
            <w:r>
              <w:t>Australian Business Number</w:t>
            </w:r>
          </w:p>
        </w:tc>
      </w:tr>
      <w:tr w:rsidR="00EE72E9" w14:paraId="36EA54E2"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D6F0DED" w14:textId="1BBC5C8B" w:rsidR="00EE72E9" w:rsidRDefault="00EE72E9" w:rsidP="00DE5333">
            <w:pPr>
              <w:spacing w:before="40" w:after="40"/>
            </w:pPr>
            <w:r>
              <w:rPr>
                <w:rFonts w:cs="Calibri"/>
                <w:b w:val="0"/>
                <w:bCs w:val="0"/>
                <w:color w:val="000000"/>
                <w:szCs w:val="22"/>
              </w:rPr>
              <w:t>AASB</w:t>
            </w:r>
          </w:p>
        </w:tc>
        <w:tc>
          <w:tcPr>
            <w:tcW w:w="7093" w:type="dxa"/>
            <w:vAlign w:val="center"/>
          </w:tcPr>
          <w:p w14:paraId="0876215B" w14:textId="7F7EEE08" w:rsidR="00EE72E9" w:rsidRDefault="005E794B" w:rsidP="00DE5333">
            <w:pPr>
              <w:spacing w:before="40" w:after="40"/>
              <w:cnfStyle w:val="000000000000" w:firstRow="0" w:lastRow="0" w:firstColumn="0" w:lastColumn="0" w:oddVBand="0" w:evenVBand="0" w:oddHBand="0" w:evenHBand="0" w:firstRowFirstColumn="0" w:firstRowLastColumn="0" w:lastRowFirstColumn="0" w:lastRowLastColumn="0"/>
            </w:pPr>
            <w:r>
              <w:t>Australian Accounting Standards Board</w:t>
            </w:r>
          </w:p>
        </w:tc>
      </w:tr>
      <w:tr w:rsidR="00EE72E9" w14:paraId="4406E48D"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5BD997" w14:textId="6ABECEB0" w:rsidR="00EE72E9" w:rsidRDefault="00EE72E9" w:rsidP="00DE5333">
            <w:pPr>
              <w:spacing w:before="40" w:after="40"/>
            </w:pPr>
            <w:r>
              <w:rPr>
                <w:rFonts w:cs="Calibri"/>
                <w:b w:val="0"/>
                <w:bCs w:val="0"/>
                <w:color w:val="000000"/>
                <w:szCs w:val="22"/>
              </w:rPr>
              <w:t>ACN</w:t>
            </w:r>
          </w:p>
        </w:tc>
        <w:tc>
          <w:tcPr>
            <w:tcW w:w="7093" w:type="dxa"/>
            <w:vAlign w:val="center"/>
          </w:tcPr>
          <w:p w14:paraId="39B73206" w14:textId="4A1B6897" w:rsidR="00EE72E9" w:rsidRDefault="005E794B" w:rsidP="00DE5333">
            <w:pPr>
              <w:spacing w:before="40" w:after="40"/>
              <w:cnfStyle w:val="000000000000" w:firstRow="0" w:lastRow="0" w:firstColumn="0" w:lastColumn="0" w:oddVBand="0" w:evenVBand="0" w:oddHBand="0" w:evenHBand="0" w:firstRowFirstColumn="0" w:firstRowLastColumn="0" w:lastRowFirstColumn="0" w:lastRowLastColumn="0"/>
            </w:pPr>
            <w:r>
              <w:t>A</w:t>
            </w:r>
            <w:r w:rsidR="004D140A">
              <w:t>ustralian Company Number</w:t>
            </w:r>
          </w:p>
        </w:tc>
      </w:tr>
      <w:tr w:rsidR="00EE72E9" w14:paraId="06D8B1FE"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9726A60" w14:textId="1EE8205A" w:rsidR="00EE72E9" w:rsidRDefault="00EE72E9" w:rsidP="00DE5333">
            <w:pPr>
              <w:spacing w:before="40" w:after="40"/>
            </w:pPr>
            <w:r>
              <w:rPr>
                <w:rFonts w:cs="Calibri"/>
                <w:b w:val="0"/>
                <w:bCs w:val="0"/>
                <w:color w:val="000000"/>
                <w:szCs w:val="22"/>
              </w:rPr>
              <w:t>ACN</w:t>
            </w:r>
            <w:r w:rsidR="00BA077A">
              <w:rPr>
                <w:rFonts w:cs="Calibri"/>
                <w:b w:val="0"/>
                <w:bCs w:val="0"/>
                <w:color w:val="000000"/>
                <w:szCs w:val="22"/>
              </w:rPr>
              <w:t>C</w:t>
            </w:r>
          </w:p>
        </w:tc>
        <w:tc>
          <w:tcPr>
            <w:tcW w:w="7093" w:type="dxa"/>
            <w:vAlign w:val="center"/>
          </w:tcPr>
          <w:p w14:paraId="5567B6B2" w14:textId="04A8A2B8" w:rsidR="00EE72E9" w:rsidRDefault="004D140A" w:rsidP="00DE5333">
            <w:pPr>
              <w:spacing w:before="40" w:after="40"/>
              <w:cnfStyle w:val="000000000000" w:firstRow="0" w:lastRow="0" w:firstColumn="0" w:lastColumn="0" w:oddVBand="0" w:evenVBand="0" w:oddHBand="0" w:evenHBand="0" w:firstRowFirstColumn="0" w:firstRowLastColumn="0" w:lastRowFirstColumn="0" w:lastRowLastColumn="0"/>
            </w:pPr>
            <w:r>
              <w:t xml:space="preserve">Australian Charities </w:t>
            </w:r>
            <w:r w:rsidR="00997DD8">
              <w:t>and Not-for-profits Commission</w:t>
            </w:r>
          </w:p>
        </w:tc>
      </w:tr>
      <w:tr w:rsidR="00EE72E9" w14:paraId="17017440"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E321BC" w14:textId="2277718D" w:rsidR="00EE72E9" w:rsidRDefault="00EE72E9" w:rsidP="00DE5333">
            <w:pPr>
              <w:spacing w:before="40" w:after="40"/>
            </w:pPr>
            <w:r>
              <w:rPr>
                <w:rFonts w:cs="Calibri"/>
                <w:b w:val="0"/>
                <w:bCs w:val="0"/>
                <w:color w:val="000000"/>
                <w:szCs w:val="22"/>
              </w:rPr>
              <w:t>ACNC Act</w:t>
            </w:r>
          </w:p>
        </w:tc>
        <w:tc>
          <w:tcPr>
            <w:tcW w:w="7093" w:type="dxa"/>
            <w:vAlign w:val="center"/>
          </w:tcPr>
          <w:p w14:paraId="0E9220D0" w14:textId="496EB080" w:rsidR="00EE72E9" w:rsidRDefault="00997DD8" w:rsidP="00DE5333">
            <w:pPr>
              <w:spacing w:before="40" w:after="40"/>
              <w:cnfStyle w:val="000000000000" w:firstRow="0" w:lastRow="0" w:firstColumn="0" w:lastColumn="0" w:oddVBand="0" w:evenVBand="0" w:oddHBand="0" w:evenHBand="0" w:firstRowFirstColumn="0" w:firstRowLastColumn="0" w:lastRowFirstColumn="0" w:lastRowLastColumn="0"/>
            </w:pPr>
            <w:r w:rsidRPr="00EA0A6E">
              <w:rPr>
                <w:i/>
                <w:iCs/>
              </w:rPr>
              <w:t>Australian Charities and Not-for-profits Commission Act 2012</w:t>
            </w:r>
            <w:r w:rsidR="00DE5333">
              <w:rPr>
                <w:i/>
                <w:iCs/>
              </w:rPr>
              <w:t xml:space="preserve"> (Cth)</w:t>
            </w:r>
          </w:p>
        </w:tc>
      </w:tr>
      <w:tr w:rsidR="00C8543E" w14:paraId="4A283410"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B0A67E8" w14:textId="77777777" w:rsidR="00C8543E" w:rsidRDefault="00C8543E" w:rsidP="00DE5333">
            <w:pPr>
              <w:spacing w:before="40" w:after="40"/>
            </w:pPr>
            <w:r>
              <w:rPr>
                <w:rFonts w:cs="Calibri"/>
                <w:b w:val="0"/>
                <w:bCs w:val="0"/>
                <w:color w:val="000000"/>
                <w:szCs w:val="22"/>
              </w:rPr>
              <w:t>the Act</w:t>
            </w:r>
          </w:p>
        </w:tc>
        <w:tc>
          <w:tcPr>
            <w:tcW w:w="7093" w:type="dxa"/>
            <w:vAlign w:val="center"/>
          </w:tcPr>
          <w:p w14:paraId="7940E899" w14:textId="4E9B5A81" w:rsidR="00C8543E" w:rsidRPr="005A6E66" w:rsidRDefault="005A6E66" w:rsidP="00DE5333">
            <w:pPr>
              <w:spacing w:before="40" w:after="40"/>
              <w:cnfStyle w:val="000000000000" w:firstRow="0" w:lastRow="0" w:firstColumn="0" w:lastColumn="0" w:oddVBand="0" w:evenVBand="0" w:oddHBand="0" w:evenHBand="0" w:firstRowFirstColumn="0" w:firstRowLastColumn="0" w:lastRowFirstColumn="0" w:lastRowLastColumn="0"/>
              <w:rPr>
                <w:i/>
                <w:iCs/>
              </w:rPr>
            </w:pPr>
            <w:r>
              <w:rPr>
                <w:i/>
                <w:iCs/>
              </w:rPr>
              <w:t>Payment Times Reporting Act 2020</w:t>
            </w:r>
            <w:r w:rsidR="00DE5333">
              <w:rPr>
                <w:i/>
                <w:iCs/>
              </w:rPr>
              <w:t xml:space="preserve"> (Cth)</w:t>
            </w:r>
          </w:p>
        </w:tc>
      </w:tr>
      <w:tr w:rsidR="00EE72E9" w14:paraId="752FA35A"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E1845C" w14:textId="0999FC24" w:rsidR="00EE72E9" w:rsidRDefault="00EE72E9" w:rsidP="00DE5333">
            <w:pPr>
              <w:spacing w:before="40" w:after="40"/>
            </w:pPr>
            <w:r>
              <w:rPr>
                <w:rFonts w:cs="Calibri"/>
                <w:b w:val="0"/>
                <w:bCs w:val="0"/>
                <w:color w:val="000000"/>
                <w:szCs w:val="22"/>
              </w:rPr>
              <w:t>ANZSIC</w:t>
            </w:r>
          </w:p>
        </w:tc>
        <w:tc>
          <w:tcPr>
            <w:tcW w:w="7093" w:type="dxa"/>
            <w:vAlign w:val="center"/>
          </w:tcPr>
          <w:p w14:paraId="469FA2A6" w14:textId="56A9005A" w:rsidR="00EE72E9" w:rsidRDefault="006F1EF5" w:rsidP="00DE5333">
            <w:pPr>
              <w:spacing w:before="40" w:after="40"/>
              <w:cnfStyle w:val="000000000000" w:firstRow="0" w:lastRow="0" w:firstColumn="0" w:lastColumn="0" w:oddVBand="0" w:evenVBand="0" w:oddHBand="0" w:evenHBand="0" w:firstRowFirstColumn="0" w:firstRowLastColumn="0" w:lastRowFirstColumn="0" w:lastRowLastColumn="0"/>
            </w:pPr>
            <w:r>
              <w:rPr>
                <w:rFonts w:cstheme="minorHAnsi"/>
                <w:szCs w:val="22"/>
              </w:rPr>
              <w:t>Australian and New Zealand Standard Industrial Classification</w:t>
            </w:r>
          </w:p>
        </w:tc>
      </w:tr>
      <w:tr w:rsidR="00EE72E9" w14:paraId="28F6386A"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749D17F" w14:textId="5F56F4D0" w:rsidR="00EE72E9" w:rsidRDefault="00EE72E9" w:rsidP="00DE5333">
            <w:pPr>
              <w:spacing w:before="40" w:after="40"/>
            </w:pPr>
            <w:r>
              <w:rPr>
                <w:rFonts w:cs="Calibri"/>
                <w:b w:val="0"/>
                <w:bCs w:val="0"/>
                <w:color w:val="000000"/>
                <w:szCs w:val="22"/>
              </w:rPr>
              <w:t>ARBN</w:t>
            </w:r>
          </w:p>
        </w:tc>
        <w:tc>
          <w:tcPr>
            <w:tcW w:w="7093" w:type="dxa"/>
            <w:vAlign w:val="center"/>
          </w:tcPr>
          <w:p w14:paraId="45F6D27F" w14:textId="47466E1A" w:rsidR="00EE72E9" w:rsidRDefault="003F158F" w:rsidP="00DE5333">
            <w:pPr>
              <w:spacing w:before="40" w:after="40"/>
              <w:cnfStyle w:val="000000000000" w:firstRow="0" w:lastRow="0" w:firstColumn="0" w:lastColumn="0" w:oddVBand="0" w:evenVBand="0" w:oddHBand="0" w:evenHBand="0" w:firstRowFirstColumn="0" w:firstRowLastColumn="0" w:lastRowFirstColumn="0" w:lastRowLastColumn="0"/>
            </w:pPr>
            <w:r>
              <w:rPr>
                <w:rFonts w:cstheme="minorHAnsi"/>
                <w:szCs w:val="22"/>
              </w:rPr>
              <w:t>Australian Registered Body Number</w:t>
            </w:r>
          </w:p>
        </w:tc>
      </w:tr>
      <w:tr w:rsidR="00EE72E9" w14:paraId="598653C4"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9C1498C" w14:textId="20357892" w:rsidR="00EE72E9" w:rsidRDefault="00EE72E9" w:rsidP="00DE5333">
            <w:pPr>
              <w:spacing w:before="40" w:after="40"/>
            </w:pPr>
            <w:r>
              <w:rPr>
                <w:rFonts w:cs="Calibri"/>
                <w:b w:val="0"/>
                <w:bCs w:val="0"/>
                <w:color w:val="000000"/>
                <w:szCs w:val="22"/>
              </w:rPr>
              <w:t>ART</w:t>
            </w:r>
          </w:p>
        </w:tc>
        <w:tc>
          <w:tcPr>
            <w:tcW w:w="7093" w:type="dxa"/>
            <w:vAlign w:val="center"/>
          </w:tcPr>
          <w:p w14:paraId="272F380F" w14:textId="4A81117D" w:rsidR="00EE72E9" w:rsidRDefault="00632B1A" w:rsidP="00DE5333">
            <w:pPr>
              <w:spacing w:before="40" w:after="40"/>
              <w:cnfStyle w:val="000000000000" w:firstRow="0" w:lastRow="0" w:firstColumn="0" w:lastColumn="0" w:oddVBand="0" w:evenVBand="0" w:oddHBand="0" w:evenHBand="0" w:firstRowFirstColumn="0" w:firstRowLastColumn="0" w:lastRowFirstColumn="0" w:lastRowLastColumn="0"/>
            </w:pPr>
            <w:r>
              <w:t>Administrative Review Tribunal</w:t>
            </w:r>
          </w:p>
        </w:tc>
      </w:tr>
      <w:tr w:rsidR="00EE72E9" w14:paraId="475C4343"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DF26277" w14:textId="653E49FC" w:rsidR="00EE72E9" w:rsidRDefault="00EE72E9" w:rsidP="00DE5333">
            <w:pPr>
              <w:spacing w:before="40" w:after="40"/>
            </w:pPr>
            <w:r>
              <w:rPr>
                <w:rFonts w:cs="Calibri"/>
                <w:b w:val="0"/>
                <w:bCs w:val="0"/>
                <w:color w:val="000000"/>
                <w:szCs w:val="22"/>
              </w:rPr>
              <w:t>ASIC</w:t>
            </w:r>
          </w:p>
        </w:tc>
        <w:tc>
          <w:tcPr>
            <w:tcW w:w="7093" w:type="dxa"/>
            <w:vAlign w:val="center"/>
          </w:tcPr>
          <w:p w14:paraId="66B84C84" w14:textId="2A09E427" w:rsidR="00EE72E9" w:rsidRDefault="00632B1A" w:rsidP="00DE5333">
            <w:pPr>
              <w:spacing w:before="40" w:after="40"/>
              <w:cnfStyle w:val="000000000000" w:firstRow="0" w:lastRow="0" w:firstColumn="0" w:lastColumn="0" w:oddVBand="0" w:evenVBand="0" w:oddHBand="0" w:evenHBand="0" w:firstRowFirstColumn="0" w:firstRowLastColumn="0" w:lastRowFirstColumn="0" w:lastRowLastColumn="0"/>
            </w:pPr>
            <w:r>
              <w:t>Australian Securities and Investment</w:t>
            </w:r>
            <w:r w:rsidR="00132C89">
              <w:t>s</w:t>
            </w:r>
            <w:r>
              <w:t xml:space="preserve"> Commission</w:t>
            </w:r>
          </w:p>
        </w:tc>
      </w:tr>
      <w:tr w:rsidR="00EE72E9" w14:paraId="74C671FD"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ED10AF5" w14:textId="72706C6D" w:rsidR="00EE72E9" w:rsidRDefault="00EE72E9" w:rsidP="00DE5333">
            <w:pPr>
              <w:spacing w:before="40" w:after="40"/>
            </w:pPr>
            <w:r>
              <w:rPr>
                <w:rFonts w:cs="Calibri"/>
                <w:b w:val="0"/>
                <w:bCs w:val="0"/>
                <w:color w:val="000000"/>
                <w:szCs w:val="22"/>
              </w:rPr>
              <w:t>CCE</w:t>
            </w:r>
          </w:p>
        </w:tc>
        <w:tc>
          <w:tcPr>
            <w:tcW w:w="7093" w:type="dxa"/>
            <w:vAlign w:val="center"/>
          </w:tcPr>
          <w:p w14:paraId="749E378F" w14:textId="36D1E770" w:rsidR="00EE72E9" w:rsidRDefault="006201C5" w:rsidP="00DE5333">
            <w:pPr>
              <w:spacing w:before="40" w:after="40"/>
              <w:cnfStyle w:val="000000000000" w:firstRow="0" w:lastRow="0" w:firstColumn="0" w:lastColumn="0" w:oddVBand="0" w:evenVBand="0" w:oddHBand="0" w:evenHBand="0" w:firstRowFirstColumn="0" w:firstRowLastColumn="0" w:lastRowFirstColumn="0" w:lastRowLastColumn="0"/>
            </w:pPr>
            <w:r w:rsidRPr="00EA0A6E">
              <w:t>constitutionally covered entity</w:t>
            </w:r>
          </w:p>
        </w:tc>
      </w:tr>
      <w:tr w:rsidR="00D9337F" w14:paraId="30A4F477"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80A9B2" w14:textId="198DA5F6" w:rsidR="00D9337F" w:rsidRPr="007E19D9" w:rsidRDefault="00D9337F" w:rsidP="00DE5333">
            <w:pPr>
              <w:spacing w:before="40" w:after="40"/>
              <w:rPr>
                <w:rFonts w:cs="Calibri"/>
                <w:b w:val="0"/>
                <w:color w:val="000000"/>
                <w:szCs w:val="22"/>
              </w:rPr>
            </w:pPr>
            <w:r>
              <w:rPr>
                <w:rFonts w:cs="Calibri"/>
                <w:b w:val="0"/>
                <w:bCs w:val="0"/>
                <w:color w:val="000000"/>
                <w:szCs w:val="22"/>
              </w:rPr>
              <w:t>Corporations Act</w:t>
            </w:r>
          </w:p>
        </w:tc>
        <w:tc>
          <w:tcPr>
            <w:tcW w:w="7093" w:type="dxa"/>
            <w:vAlign w:val="center"/>
          </w:tcPr>
          <w:p w14:paraId="42FAF565" w14:textId="2CD69C39" w:rsidR="00D9337F" w:rsidRPr="00EA0A6E" w:rsidRDefault="00A51D8A" w:rsidP="00DE5333">
            <w:pPr>
              <w:spacing w:before="40" w:after="40"/>
              <w:cnfStyle w:val="000000000000" w:firstRow="0" w:lastRow="0" w:firstColumn="0" w:lastColumn="0" w:oddVBand="0" w:evenVBand="0" w:oddHBand="0" w:evenHBand="0" w:firstRowFirstColumn="0" w:firstRowLastColumn="0" w:lastRowFirstColumn="0" w:lastRowLastColumn="0"/>
            </w:pPr>
            <w:r w:rsidRPr="00DF21B9">
              <w:rPr>
                <w:i/>
                <w:iCs/>
              </w:rPr>
              <w:t>Corporations Act 2001</w:t>
            </w:r>
            <w:r w:rsidR="007C18E4">
              <w:rPr>
                <w:i/>
                <w:iCs/>
              </w:rPr>
              <w:t xml:space="preserve"> (Cth)</w:t>
            </w:r>
          </w:p>
        </w:tc>
      </w:tr>
      <w:tr w:rsidR="00EE72E9" w14:paraId="1A7789EB"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F8AB2C3" w14:textId="0E44C535" w:rsidR="00EE72E9" w:rsidRDefault="00EE72E9" w:rsidP="00DE5333">
            <w:pPr>
              <w:spacing w:before="40" w:after="40"/>
            </w:pPr>
            <w:r>
              <w:rPr>
                <w:rFonts w:cs="Calibri"/>
                <w:b w:val="0"/>
                <w:bCs w:val="0"/>
                <w:color w:val="000000"/>
                <w:szCs w:val="22"/>
              </w:rPr>
              <w:t>ESG</w:t>
            </w:r>
          </w:p>
        </w:tc>
        <w:tc>
          <w:tcPr>
            <w:tcW w:w="7093" w:type="dxa"/>
            <w:vAlign w:val="center"/>
          </w:tcPr>
          <w:p w14:paraId="56F89BA2" w14:textId="4940898A" w:rsidR="00EE72E9" w:rsidRDefault="00393F88" w:rsidP="00DE5333">
            <w:pPr>
              <w:spacing w:before="40" w:after="40"/>
              <w:cnfStyle w:val="000000000000" w:firstRow="0" w:lastRow="0" w:firstColumn="0" w:lastColumn="0" w:oddVBand="0" w:evenVBand="0" w:oddHBand="0" w:evenHBand="0" w:firstRowFirstColumn="0" w:firstRowLastColumn="0" w:lastRowFirstColumn="0" w:lastRowLastColumn="0"/>
            </w:pPr>
            <w:r w:rsidRPr="00EA0A6E">
              <w:t>environmental, social, and governance</w:t>
            </w:r>
          </w:p>
        </w:tc>
      </w:tr>
      <w:tr w:rsidR="00EE72E9" w14:paraId="19D534CE"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37673ED" w14:textId="77982B48" w:rsidR="00EE72E9" w:rsidRDefault="00EE72E9" w:rsidP="00DE5333">
            <w:pPr>
              <w:spacing w:before="40" w:after="40"/>
            </w:pPr>
            <w:r>
              <w:rPr>
                <w:rFonts w:cs="Calibri"/>
                <w:b w:val="0"/>
                <w:bCs w:val="0"/>
                <w:color w:val="000000"/>
                <w:szCs w:val="22"/>
              </w:rPr>
              <w:t>IFRS</w:t>
            </w:r>
          </w:p>
        </w:tc>
        <w:tc>
          <w:tcPr>
            <w:tcW w:w="7093" w:type="dxa"/>
            <w:vAlign w:val="center"/>
          </w:tcPr>
          <w:p w14:paraId="7249F1FC" w14:textId="19C0C01D" w:rsidR="00EE72E9" w:rsidRDefault="0001682C" w:rsidP="00DE5333">
            <w:pPr>
              <w:spacing w:before="40" w:after="40"/>
              <w:cnfStyle w:val="000000000000" w:firstRow="0" w:lastRow="0" w:firstColumn="0" w:lastColumn="0" w:oddVBand="0" w:evenVBand="0" w:oddHBand="0" w:evenHBand="0" w:firstRowFirstColumn="0" w:firstRowLastColumn="0" w:lastRowFirstColumn="0" w:lastRowLastColumn="0"/>
            </w:pPr>
            <w:r>
              <w:t xml:space="preserve">International Financial Reporting </w:t>
            </w:r>
            <w:r w:rsidR="00827B74">
              <w:t>Standards</w:t>
            </w:r>
          </w:p>
        </w:tc>
      </w:tr>
      <w:tr w:rsidR="00EE72E9" w14:paraId="5BF6CAB1"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6C8A3F4" w14:textId="73F19C42" w:rsidR="00EE72E9" w:rsidRDefault="00EE72E9" w:rsidP="00DE5333">
            <w:pPr>
              <w:spacing w:before="40" w:after="40"/>
            </w:pPr>
            <w:r>
              <w:rPr>
                <w:rFonts w:cs="Calibri"/>
                <w:b w:val="0"/>
                <w:bCs w:val="0"/>
                <w:color w:val="000000"/>
                <w:szCs w:val="22"/>
              </w:rPr>
              <w:t xml:space="preserve">MEC </w:t>
            </w:r>
            <w:r w:rsidR="00576A40">
              <w:rPr>
                <w:rFonts w:cs="Calibri"/>
                <w:b w:val="0"/>
                <w:bCs w:val="0"/>
                <w:color w:val="000000"/>
                <w:szCs w:val="22"/>
              </w:rPr>
              <w:t>group</w:t>
            </w:r>
          </w:p>
        </w:tc>
        <w:tc>
          <w:tcPr>
            <w:tcW w:w="7093" w:type="dxa"/>
            <w:vAlign w:val="center"/>
          </w:tcPr>
          <w:p w14:paraId="5A4674AC" w14:textId="265B182E" w:rsidR="00EE72E9" w:rsidRDefault="009379D4" w:rsidP="00DE5333">
            <w:pPr>
              <w:spacing w:before="40" w:after="40"/>
              <w:cnfStyle w:val="000000000000" w:firstRow="0" w:lastRow="0" w:firstColumn="0" w:lastColumn="0" w:oddVBand="0" w:evenVBand="0" w:oddHBand="0" w:evenHBand="0" w:firstRowFirstColumn="0" w:firstRowLastColumn="0" w:lastRowFirstColumn="0" w:lastRowLastColumn="0"/>
            </w:pPr>
            <w:r>
              <w:t>Multiple</w:t>
            </w:r>
            <w:r w:rsidR="00576A40">
              <w:t xml:space="preserve"> </w:t>
            </w:r>
            <w:r>
              <w:t>entry consolidated</w:t>
            </w:r>
            <w:r w:rsidR="00572E37">
              <w:t xml:space="preserve"> </w:t>
            </w:r>
            <w:r w:rsidR="00576A40">
              <w:t>group</w:t>
            </w:r>
          </w:p>
        </w:tc>
      </w:tr>
      <w:tr w:rsidR="00512357" w14:paraId="594EA7BB"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BB61A56" w14:textId="77777777" w:rsidR="00512357" w:rsidRDefault="00512357" w:rsidP="00DE5333">
            <w:pPr>
              <w:spacing w:before="40" w:after="40"/>
            </w:pPr>
            <w:r>
              <w:rPr>
                <w:rFonts w:cs="Calibri"/>
                <w:b w:val="0"/>
                <w:bCs w:val="0"/>
                <w:color w:val="000000"/>
                <w:szCs w:val="22"/>
              </w:rPr>
              <w:t>the Minister</w:t>
            </w:r>
          </w:p>
        </w:tc>
        <w:tc>
          <w:tcPr>
            <w:tcW w:w="7093" w:type="dxa"/>
            <w:vAlign w:val="center"/>
          </w:tcPr>
          <w:p w14:paraId="341D0B7E" w14:textId="77777777" w:rsidR="00512357" w:rsidRDefault="00512357" w:rsidP="00DE5333">
            <w:pPr>
              <w:spacing w:before="40" w:after="40"/>
              <w:cnfStyle w:val="000000000000" w:firstRow="0" w:lastRow="0" w:firstColumn="0" w:lastColumn="0" w:oddVBand="0" w:evenVBand="0" w:oddHBand="0" w:evenHBand="0" w:firstRowFirstColumn="0" w:firstRowLastColumn="0" w:lastRowFirstColumn="0" w:lastRowLastColumn="0"/>
            </w:pPr>
            <w:r>
              <w:t>the Minister for Small Business</w:t>
            </w:r>
          </w:p>
        </w:tc>
      </w:tr>
      <w:tr w:rsidR="00EE72E9" w14:paraId="79CA1A42"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ADB870" w14:textId="3B0AAC95" w:rsidR="00EE72E9" w:rsidRDefault="00EE72E9" w:rsidP="00DE5333">
            <w:pPr>
              <w:spacing w:before="40" w:after="40"/>
            </w:pPr>
            <w:r>
              <w:rPr>
                <w:rFonts w:cs="Calibri"/>
                <w:b w:val="0"/>
                <w:bCs w:val="0"/>
                <w:color w:val="000000"/>
                <w:szCs w:val="22"/>
              </w:rPr>
              <w:t>myID</w:t>
            </w:r>
          </w:p>
        </w:tc>
        <w:tc>
          <w:tcPr>
            <w:tcW w:w="7093" w:type="dxa"/>
            <w:vAlign w:val="center"/>
          </w:tcPr>
          <w:p w14:paraId="73896A90" w14:textId="32EED621" w:rsidR="00EE72E9" w:rsidRDefault="00777CB8" w:rsidP="00DE5333">
            <w:pPr>
              <w:spacing w:before="40" w:after="40"/>
              <w:cnfStyle w:val="000000000000" w:firstRow="0" w:lastRow="0" w:firstColumn="0" w:lastColumn="0" w:oddVBand="0" w:evenVBand="0" w:oddHBand="0" w:evenHBand="0" w:firstRowFirstColumn="0" w:firstRowLastColumn="0" w:lastRowFirstColumn="0" w:lastRowLastColumn="0"/>
            </w:pPr>
            <w:r>
              <w:t>Digital Identity</w:t>
            </w:r>
          </w:p>
        </w:tc>
      </w:tr>
      <w:tr w:rsidR="003E1E15" w14:paraId="55905064" w14:textId="77777777" w:rsidTr="00DE5333">
        <w:trPr>
          <w:cantSplit/>
          <w:trHeight w:hRule="exact" w:val="674"/>
        </w:trPr>
        <w:tc>
          <w:tcPr>
            <w:cnfStyle w:val="001000000000" w:firstRow="0" w:lastRow="0" w:firstColumn="1" w:lastColumn="0" w:oddVBand="0" w:evenVBand="0" w:oddHBand="0" w:evenHBand="0" w:firstRowFirstColumn="0" w:firstRowLastColumn="0" w:lastRowFirstColumn="0" w:lastRowLastColumn="0"/>
            <w:tcW w:w="0" w:type="dxa"/>
            <w:vAlign w:val="center"/>
          </w:tcPr>
          <w:p w14:paraId="29E3BC63" w14:textId="0839E389" w:rsidR="003E1E15" w:rsidRPr="008328C3" w:rsidRDefault="00130440" w:rsidP="00DE5333">
            <w:pPr>
              <w:spacing w:before="40" w:after="40"/>
              <w:rPr>
                <w:rFonts w:cs="Calibri"/>
                <w:b w:val="0"/>
                <w:bCs w:val="0"/>
                <w:color w:val="000000"/>
                <w:szCs w:val="22"/>
              </w:rPr>
            </w:pPr>
            <w:r w:rsidRPr="008328C3">
              <w:rPr>
                <w:rFonts w:cs="Calibri"/>
                <w:b w:val="0"/>
                <w:bCs w:val="0"/>
                <w:color w:val="000000"/>
                <w:szCs w:val="22"/>
              </w:rPr>
              <w:t>n</w:t>
            </w:r>
            <w:r w:rsidR="003E1E15" w:rsidRPr="008328C3">
              <w:rPr>
                <w:rFonts w:cs="Calibri"/>
                <w:b w:val="0"/>
                <w:bCs w:val="0"/>
                <w:color w:val="000000"/>
                <w:szCs w:val="22"/>
              </w:rPr>
              <w:t>omin</w:t>
            </w:r>
            <w:r w:rsidR="0000164F" w:rsidRPr="008328C3">
              <w:rPr>
                <w:rFonts w:cs="Calibri"/>
                <w:b w:val="0"/>
                <w:bCs w:val="0"/>
                <w:color w:val="000000"/>
                <w:szCs w:val="22"/>
              </w:rPr>
              <w:t>ated</w:t>
            </w:r>
            <w:r w:rsidR="003E1E15" w:rsidRPr="008328C3">
              <w:rPr>
                <w:rFonts w:cs="Calibri"/>
                <w:b w:val="0"/>
                <w:bCs w:val="0"/>
                <w:color w:val="000000"/>
                <w:szCs w:val="22"/>
              </w:rPr>
              <w:t xml:space="preserve"> entity</w:t>
            </w:r>
          </w:p>
        </w:tc>
        <w:tc>
          <w:tcPr>
            <w:tcW w:w="0" w:type="dxa"/>
            <w:vAlign w:val="center"/>
          </w:tcPr>
          <w:p w14:paraId="20BEDF7C" w14:textId="7016C68C" w:rsidR="003E1E15" w:rsidRDefault="003E1E15" w:rsidP="00DE5333">
            <w:pPr>
              <w:spacing w:before="40" w:after="40"/>
              <w:cnfStyle w:val="000000000000" w:firstRow="0" w:lastRow="0" w:firstColumn="0" w:lastColumn="0" w:oddVBand="0" w:evenVBand="0" w:oddHBand="0" w:evenHBand="0" w:firstRowFirstColumn="0" w:firstRowLastColumn="0" w:lastRowFirstColumn="0" w:lastRowLastColumn="0"/>
            </w:pPr>
            <w:r>
              <w:t>controlled entities that are specified in</w:t>
            </w:r>
            <w:r w:rsidR="0000164F">
              <w:t xml:space="preserve"> </w:t>
            </w:r>
            <w:r w:rsidR="00762B90">
              <w:t xml:space="preserve">a </w:t>
            </w:r>
            <w:r>
              <w:t>reporting nominee determination</w:t>
            </w:r>
            <w:r w:rsidR="007C2533">
              <w:t xml:space="preserve"> granted by the Regulator</w:t>
            </w:r>
          </w:p>
        </w:tc>
      </w:tr>
      <w:tr w:rsidR="00EE72E9" w14:paraId="5A6B6775"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9612E1B" w14:textId="39124B08" w:rsidR="00EE72E9" w:rsidRDefault="00EE72E9" w:rsidP="00DE5333">
            <w:pPr>
              <w:spacing w:before="40" w:after="40"/>
            </w:pPr>
            <w:r>
              <w:rPr>
                <w:rFonts w:cs="Calibri"/>
                <w:b w:val="0"/>
                <w:bCs w:val="0"/>
                <w:color w:val="000000"/>
                <w:szCs w:val="22"/>
              </w:rPr>
              <w:t>PGPA Act</w:t>
            </w:r>
          </w:p>
        </w:tc>
        <w:tc>
          <w:tcPr>
            <w:tcW w:w="7093" w:type="dxa"/>
            <w:vAlign w:val="center"/>
          </w:tcPr>
          <w:p w14:paraId="703272CF" w14:textId="38234E31" w:rsidR="00EE72E9" w:rsidRDefault="00FD2EF1" w:rsidP="00DE5333">
            <w:pPr>
              <w:spacing w:before="40" w:after="40"/>
              <w:cnfStyle w:val="000000000000" w:firstRow="0" w:lastRow="0" w:firstColumn="0" w:lastColumn="0" w:oddVBand="0" w:evenVBand="0" w:oddHBand="0" w:evenHBand="0" w:firstRowFirstColumn="0" w:firstRowLastColumn="0" w:lastRowFirstColumn="0" w:lastRowLastColumn="0"/>
            </w:pPr>
            <w:r w:rsidRPr="00DF21B9">
              <w:rPr>
                <w:i/>
                <w:iCs/>
              </w:rPr>
              <w:t>Public Governance Performance and Accountability Act 2013</w:t>
            </w:r>
            <w:r w:rsidRPr="00DF21B9">
              <w:t xml:space="preserve"> </w:t>
            </w:r>
            <w:r w:rsidRPr="00DE5333">
              <w:rPr>
                <w:i/>
                <w:iCs/>
              </w:rPr>
              <w:t>(Cth)</w:t>
            </w:r>
          </w:p>
        </w:tc>
      </w:tr>
      <w:tr w:rsidR="00512357" w14:paraId="48E50639"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B3E98DF" w14:textId="77777777" w:rsidR="00512357" w:rsidRDefault="00512357" w:rsidP="00DE5333">
            <w:pPr>
              <w:spacing w:before="40" w:after="40"/>
            </w:pPr>
            <w:r>
              <w:rPr>
                <w:rFonts w:cs="Calibri"/>
                <w:b w:val="0"/>
                <w:bCs w:val="0"/>
                <w:color w:val="000000"/>
                <w:szCs w:val="22"/>
              </w:rPr>
              <w:t>the Portal</w:t>
            </w:r>
          </w:p>
        </w:tc>
        <w:tc>
          <w:tcPr>
            <w:tcW w:w="7093" w:type="dxa"/>
            <w:vAlign w:val="center"/>
          </w:tcPr>
          <w:p w14:paraId="7B7B6BD7" w14:textId="77777777" w:rsidR="00512357" w:rsidRDefault="00512357" w:rsidP="00DE5333">
            <w:pPr>
              <w:spacing w:before="40" w:after="40"/>
              <w:cnfStyle w:val="000000000000" w:firstRow="0" w:lastRow="0" w:firstColumn="0" w:lastColumn="0" w:oddVBand="0" w:evenVBand="0" w:oddHBand="0" w:evenHBand="0" w:firstRowFirstColumn="0" w:firstRowLastColumn="0" w:lastRowFirstColumn="0" w:lastRowLastColumn="0"/>
            </w:pPr>
            <w:r>
              <w:t>Payment Times Reporting Portal</w:t>
            </w:r>
          </w:p>
        </w:tc>
      </w:tr>
      <w:tr w:rsidR="00EE72E9" w14:paraId="6A6DCA7C"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A67AA5D" w14:textId="47CDF254" w:rsidR="00EE72E9" w:rsidRDefault="00EE72E9" w:rsidP="00DE5333">
            <w:pPr>
              <w:spacing w:before="40" w:after="40"/>
            </w:pPr>
            <w:r>
              <w:rPr>
                <w:rFonts w:cs="Calibri"/>
                <w:b w:val="0"/>
                <w:bCs w:val="0"/>
                <w:color w:val="000000"/>
                <w:szCs w:val="22"/>
              </w:rPr>
              <w:t>RAM</w:t>
            </w:r>
          </w:p>
        </w:tc>
        <w:tc>
          <w:tcPr>
            <w:tcW w:w="7093" w:type="dxa"/>
            <w:vAlign w:val="center"/>
          </w:tcPr>
          <w:p w14:paraId="75FF9E6E" w14:textId="7F188C31" w:rsidR="00EE72E9" w:rsidRDefault="00FD2EF1" w:rsidP="00DE5333">
            <w:pPr>
              <w:spacing w:before="40" w:after="40"/>
              <w:cnfStyle w:val="000000000000" w:firstRow="0" w:lastRow="0" w:firstColumn="0" w:lastColumn="0" w:oddVBand="0" w:evenVBand="0" w:oddHBand="0" w:evenHBand="0" w:firstRowFirstColumn="0" w:firstRowLastColumn="0" w:lastRowFirstColumn="0" w:lastRowLastColumn="0"/>
            </w:pPr>
            <w:r>
              <w:t>Relationship Authorisation Manager</w:t>
            </w:r>
          </w:p>
        </w:tc>
      </w:tr>
      <w:tr w:rsidR="00EE72E9" w14:paraId="37754F58"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8478288" w14:textId="36F2E899" w:rsidR="00EE72E9" w:rsidRDefault="00EE72E9" w:rsidP="00DE5333">
            <w:pPr>
              <w:spacing w:before="40" w:after="40"/>
            </w:pPr>
            <w:r>
              <w:rPr>
                <w:rFonts w:cs="Calibri"/>
                <w:b w:val="0"/>
                <w:bCs w:val="0"/>
                <w:color w:val="000000"/>
                <w:szCs w:val="22"/>
              </w:rPr>
              <w:t>RCTIs</w:t>
            </w:r>
          </w:p>
        </w:tc>
        <w:tc>
          <w:tcPr>
            <w:tcW w:w="7093" w:type="dxa"/>
            <w:vAlign w:val="center"/>
          </w:tcPr>
          <w:p w14:paraId="0A674957" w14:textId="2A1E1A91" w:rsidR="00EE72E9" w:rsidRDefault="009437F0" w:rsidP="00DE5333">
            <w:pPr>
              <w:spacing w:before="40" w:after="40"/>
              <w:cnfStyle w:val="000000000000" w:firstRow="0" w:lastRow="0" w:firstColumn="0" w:lastColumn="0" w:oddVBand="0" w:evenVBand="0" w:oddHBand="0" w:evenHBand="0" w:firstRowFirstColumn="0" w:firstRowLastColumn="0" w:lastRowFirstColumn="0" w:lastRowLastColumn="0"/>
            </w:pPr>
            <w:r>
              <w:t>Recipient-created tax invoice</w:t>
            </w:r>
          </w:p>
        </w:tc>
      </w:tr>
      <w:tr w:rsidR="00EE72E9" w14:paraId="10DF2286"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E447648" w14:textId="586A169F" w:rsidR="00EE72E9" w:rsidRDefault="00EE72E9" w:rsidP="00DE5333">
            <w:pPr>
              <w:spacing w:before="40" w:after="40"/>
            </w:pPr>
            <w:r>
              <w:rPr>
                <w:rFonts w:cs="Calibri"/>
                <w:b w:val="0"/>
                <w:bCs w:val="0"/>
                <w:color w:val="000000"/>
                <w:szCs w:val="22"/>
              </w:rPr>
              <w:t>Register</w:t>
            </w:r>
          </w:p>
        </w:tc>
        <w:tc>
          <w:tcPr>
            <w:tcW w:w="7093" w:type="dxa"/>
            <w:vAlign w:val="center"/>
          </w:tcPr>
          <w:p w14:paraId="037A9628" w14:textId="6A0B8CC9" w:rsidR="00EE72E9" w:rsidRDefault="00E53E65" w:rsidP="00DE5333">
            <w:pPr>
              <w:spacing w:before="40" w:after="40"/>
              <w:cnfStyle w:val="000000000000" w:firstRow="0" w:lastRow="0" w:firstColumn="0" w:lastColumn="0" w:oddVBand="0" w:evenVBand="0" w:oddHBand="0" w:evenHBand="0" w:firstRowFirstColumn="0" w:firstRowLastColumn="0" w:lastRowFirstColumn="0" w:lastRowLastColumn="0"/>
            </w:pPr>
            <w:r>
              <w:t>Payment Times Reports Register</w:t>
            </w:r>
          </w:p>
        </w:tc>
      </w:tr>
      <w:tr w:rsidR="00EE72E9" w14:paraId="660331CC"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C1AAE82" w14:textId="12155474" w:rsidR="00EE72E9" w:rsidRDefault="00EE72E9" w:rsidP="00DE5333">
            <w:pPr>
              <w:spacing w:before="40" w:after="40"/>
            </w:pPr>
            <w:r>
              <w:rPr>
                <w:rFonts w:cs="Calibri"/>
                <w:b w:val="0"/>
                <w:bCs w:val="0"/>
                <w:color w:val="000000"/>
                <w:szCs w:val="22"/>
              </w:rPr>
              <w:t>Regulator</w:t>
            </w:r>
          </w:p>
        </w:tc>
        <w:tc>
          <w:tcPr>
            <w:tcW w:w="7093" w:type="dxa"/>
            <w:vAlign w:val="center"/>
          </w:tcPr>
          <w:p w14:paraId="16A57EEE" w14:textId="7C07700B" w:rsidR="00EE72E9" w:rsidRDefault="00E53E65" w:rsidP="00DE5333">
            <w:pPr>
              <w:spacing w:before="40" w:after="40"/>
              <w:cnfStyle w:val="000000000000" w:firstRow="0" w:lastRow="0" w:firstColumn="0" w:lastColumn="0" w:oddVBand="0" w:evenVBand="0" w:oddHBand="0" w:evenHBand="0" w:firstRowFirstColumn="0" w:firstRowLastColumn="0" w:lastRowFirstColumn="0" w:lastRowLastColumn="0"/>
            </w:pPr>
            <w:r>
              <w:t>Payment Times Reporting Regulator</w:t>
            </w:r>
          </w:p>
        </w:tc>
      </w:tr>
      <w:tr w:rsidR="00512357" w14:paraId="2B4DE66F"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1BCA22" w14:textId="77777777" w:rsidR="00512357" w:rsidRDefault="00512357" w:rsidP="00DE5333">
            <w:pPr>
              <w:spacing w:before="40" w:after="40"/>
            </w:pPr>
            <w:r>
              <w:rPr>
                <w:rFonts w:cs="Calibri"/>
                <w:b w:val="0"/>
                <w:bCs w:val="0"/>
                <w:color w:val="000000"/>
                <w:szCs w:val="22"/>
              </w:rPr>
              <w:t>the Rules</w:t>
            </w:r>
          </w:p>
        </w:tc>
        <w:tc>
          <w:tcPr>
            <w:tcW w:w="7093" w:type="dxa"/>
            <w:vAlign w:val="center"/>
          </w:tcPr>
          <w:p w14:paraId="642645BA" w14:textId="77777777" w:rsidR="00512357" w:rsidRPr="00DE5333" w:rsidRDefault="00512357" w:rsidP="00DE5333">
            <w:pPr>
              <w:spacing w:before="40" w:after="40"/>
              <w:cnfStyle w:val="000000000000" w:firstRow="0" w:lastRow="0" w:firstColumn="0" w:lastColumn="0" w:oddVBand="0" w:evenVBand="0" w:oddHBand="0" w:evenHBand="0" w:firstRowFirstColumn="0" w:firstRowLastColumn="0" w:lastRowFirstColumn="0" w:lastRowLastColumn="0"/>
            </w:pPr>
            <w:r w:rsidRPr="00DE5333">
              <w:t>Payment Times Reporting Rules 2024</w:t>
            </w:r>
          </w:p>
        </w:tc>
      </w:tr>
      <w:tr w:rsidR="00EE72E9" w14:paraId="02FC201D"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88106B" w14:textId="0D2EEED4" w:rsidR="00EE72E9" w:rsidRDefault="00EE72E9" w:rsidP="00DE5333">
            <w:pPr>
              <w:spacing w:before="40" w:after="40"/>
            </w:pPr>
            <w:r>
              <w:rPr>
                <w:rFonts w:cs="Calibri"/>
                <w:b w:val="0"/>
                <w:bCs w:val="0"/>
                <w:color w:val="000000"/>
                <w:szCs w:val="22"/>
              </w:rPr>
              <w:t xml:space="preserve">SBI Tool </w:t>
            </w:r>
          </w:p>
        </w:tc>
        <w:tc>
          <w:tcPr>
            <w:tcW w:w="7093" w:type="dxa"/>
            <w:vAlign w:val="center"/>
          </w:tcPr>
          <w:p w14:paraId="6CEAB3AF" w14:textId="1B5E1E25" w:rsidR="00EE72E9" w:rsidRDefault="00E53E65" w:rsidP="00DE5333">
            <w:pPr>
              <w:spacing w:before="40" w:after="40"/>
              <w:cnfStyle w:val="000000000000" w:firstRow="0" w:lastRow="0" w:firstColumn="0" w:lastColumn="0" w:oddVBand="0" w:evenVBand="0" w:oddHBand="0" w:evenHBand="0" w:firstRowFirstColumn="0" w:firstRowLastColumn="0" w:lastRowFirstColumn="0" w:lastRowLastColumn="0"/>
            </w:pPr>
            <w:r>
              <w:t>Small Business Identification Tool</w:t>
            </w:r>
          </w:p>
        </w:tc>
      </w:tr>
      <w:tr w:rsidR="00EE72E9" w14:paraId="421DBCC8"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0B40063" w14:textId="226DB85B" w:rsidR="00EE72E9" w:rsidRDefault="00EE72E9" w:rsidP="00DE5333">
            <w:pPr>
              <w:spacing w:before="40" w:after="40"/>
            </w:pPr>
            <w:r>
              <w:rPr>
                <w:rFonts w:cs="Calibri"/>
                <w:b w:val="0"/>
                <w:bCs w:val="0"/>
                <w:color w:val="000000"/>
                <w:szCs w:val="22"/>
              </w:rPr>
              <w:t>SBTCP</w:t>
            </w:r>
            <w:r w:rsidR="00B07F11">
              <w:rPr>
                <w:rFonts w:cs="Calibri"/>
                <w:b w:val="0"/>
                <w:bCs w:val="0"/>
                <w:color w:val="000000"/>
                <w:szCs w:val="22"/>
              </w:rPr>
              <w:t xml:space="preserve"> Dataset</w:t>
            </w:r>
          </w:p>
        </w:tc>
        <w:tc>
          <w:tcPr>
            <w:tcW w:w="7093" w:type="dxa"/>
            <w:vAlign w:val="center"/>
          </w:tcPr>
          <w:p w14:paraId="547FB3B3" w14:textId="1D565D35" w:rsidR="00EE72E9" w:rsidRDefault="00401376" w:rsidP="00DE5333">
            <w:pPr>
              <w:spacing w:before="40" w:after="40"/>
              <w:cnfStyle w:val="000000000000" w:firstRow="0" w:lastRow="0" w:firstColumn="0" w:lastColumn="0" w:oddVBand="0" w:evenVBand="0" w:oddHBand="0" w:evenHBand="0" w:firstRowFirstColumn="0" w:firstRowLastColumn="0" w:lastRowFirstColumn="0" w:lastRowLastColumn="0"/>
            </w:pPr>
            <w:r w:rsidRPr="00EA0A6E">
              <w:t>Small Business Trade Credit Payments Dataset</w:t>
            </w:r>
          </w:p>
        </w:tc>
      </w:tr>
      <w:tr w:rsidR="00EE72E9" w14:paraId="5F926F9F"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857FFFF" w14:textId="0EDA7956" w:rsidR="00EE72E9" w:rsidRDefault="00EE72E9" w:rsidP="00DE5333">
            <w:pPr>
              <w:spacing w:before="40" w:after="40"/>
            </w:pPr>
            <w:r>
              <w:rPr>
                <w:rFonts w:cs="Calibri"/>
                <w:b w:val="0"/>
                <w:bCs w:val="0"/>
                <w:color w:val="000000"/>
                <w:szCs w:val="22"/>
              </w:rPr>
              <w:t>SPE</w:t>
            </w:r>
          </w:p>
        </w:tc>
        <w:tc>
          <w:tcPr>
            <w:tcW w:w="7093" w:type="dxa"/>
            <w:vAlign w:val="center"/>
          </w:tcPr>
          <w:p w14:paraId="030485EC" w14:textId="623EB5F1" w:rsidR="00EE72E9" w:rsidRDefault="007F189E" w:rsidP="00DE5333">
            <w:pPr>
              <w:spacing w:before="40" w:after="40"/>
              <w:cnfStyle w:val="000000000000" w:firstRow="0" w:lastRow="0" w:firstColumn="0" w:lastColumn="0" w:oddVBand="0" w:evenVBand="0" w:oddHBand="0" w:evenHBand="0" w:firstRowFirstColumn="0" w:firstRowLastColumn="0" w:lastRowFirstColumn="0" w:lastRowLastColumn="0"/>
            </w:pPr>
            <w:r>
              <w:t>special purpose entity</w:t>
            </w:r>
          </w:p>
        </w:tc>
      </w:tr>
      <w:tr w:rsidR="00EE72E9" w14:paraId="77653DE7" w14:textId="77777777" w:rsidTr="00DE5333">
        <w:trPr>
          <w:cantSplit/>
          <w:trHeight w:hRule="exact" w:val="39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A4B29F4" w14:textId="7D001338" w:rsidR="00EE72E9" w:rsidRDefault="00EE72E9" w:rsidP="00DE5333">
            <w:pPr>
              <w:spacing w:before="40" w:after="40"/>
            </w:pPr>
            <w:r>
              <w:rPr>
                <w:rFonts w:cs="Calibri"/>
                <w:b w:val="0"/>
                <w:bCs w:val="0"/>
                <w:color w:val="000000"/>
                <w:szCs w:val="22"/>
              </w:rPr>
              <w:t>TCP Dataset</w:t>
            </w:r>
          </w:p>
        </w:tc>
        <w:tc>
          <w:tcPr>
            <w:tcW w:w="7093" w:type="dxa"/>
            <w:vAlign w:val="center"/>
          </w:tcPr>
          <w:p w14:paraId="009536D5" w14:textId="7FABE51E" w:rsidR="00EE72E9" w:rsidRDefault="007F189E" w:rsidP="00DE5333">
            <w:pPr>
              <w:spacing w:before="40" w:after="40"/>
              <w:cnfStyle w:val="000000000000" w:firstRow="0" w:lastRow="0" w:firstColumn="0" w:lastColumn="0" w:oddVBand="0" w:evenVBand="0" w:oddHBand="0" w:evenHBand="0" w:firstRowFirstColumn="0" w:firstRowLastColumn="0" w:lastRowFirstColumn="0" w:lastRowLastColumn="0"/>
            </w:pPr>
            <w:r>
              <w:t>Trade Credit Payments Dataset</w:t>
            </w:r>
          </w:p>
        </w:tc>
      </w:tr>
    </w:tbl>
    <w:p w14:paraId="408C8FF6" w14:textId="4DBBBEE1" w:rsidR="000E0490" w:rsidRPr="00952044" w:rsidRDefault="000E0490" w:rsidP="00B976C4">
      <w:pPr>
        <w:pStyle w:val="Heading1"/>
        <w:spacing w:before="0"/>
      </w:pPr>
      <w:bookmarkStart w:id="5" w:name="_Toc184822179"/>
      <w:r w:rsidRPr="00952044">
        <w:lastRenderedPageBreak/>
        <w:t xml:space="preserve">Important notice about this </w:t>
      </w:r>
      <w:r w:rsidR="00F9656A">
        <w:t>G</w:t>
      </w:r>
      <w:r w:rsidRPr="00952044">
        <w:t>uidance</w:t>
      </w:r>
      <w:bookmarkEnd w:id="4"/>
      <w:bookmarkEnd w:id="5"/>
    </w:p>
    <w:p w14:paraId="6B7BB871" w14:textId="7EF2EF1F" w:rsidR="000E0490" w:rsidRDefault="000E0490" w:rsidP="00DE5333">
      <w:pPr>
        <w:spacing w:line="264" w:lineRule="auto"/>
      </w:pPr>
      <w:r w:rsidRPr="00C85A57">
        <w:t xml:space="preserve">This </w:t>
      </w:r>
      <w:r w:rsidR="00660F71">
        <w:t>document</w:t>
      </w:r>
      <w:r w:rsidRPr="00C85A57">
        <w:t xml:space="preserve"> </w:t>
      </w:r>
      <w:r w:rsidR="005425BD">
        <w:t xml:space="preserve">contains </w:t>
      </w:r>
      <w:r w:rsidR="00FA5961">
        <w:t xml:space="preserve">the </w:t>
      </w:r>
      <w:r w:rsidR="00FA5961" w:rsidRPr="001914DF">
        <w:t>Regulator’s</w:t>
      </w:r>
      <w:r w:rsidR="009B1D25">
        <w:t xml:space="preserve"> practical administration</w:t>
      </w:r>
      <w:r w:rsidR="009F4A0C">
        <w:t xml:space="preserve"> approach </w:t>
      </w:r>
      <w:r w:rsidR="00D77E5B">
        <w:t xml:space="preserve">to assist reporting entities </w:t>
      </w:r>
      <w:r w:rsidR="002355EF">
        <w:t>with</w:t>
      </w:r>
      <w:r w:rsidR="006E5A87">
        <w:t xml:space="preserve"> complying with the </w:t>
      </w:r>
      <w:r w:rsidR="00D45621" w:rsidRPr="001914DF" w:rsidDel="001914DF">
        <w:t>Act</w:t>
      </w:r>
      <w:r w:rsidR="00D45621" w:rsidRPr="007127AE" w:rsidDel="001914DF">
        <w:t xml:space="preserve"> </w:t>
      </w:r>
      <w:r w:rsidR="00D45621">
        <w:t xml:space="preserve">and </w:t>
      </w:r>
      <w:r w:rsidR="006E5A87">
        <w:t xml:space="preserve">relevant </w:t>
      </w:r>
      <w:r w:rsidR="0038222D">
        <w:t>obligations</w:t>
      </w:r>
      <w:r w:rsidRPr="00C85A57">
        <w:t xml:space="preserve">. As this document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w:t>
      </w:r>
      <w:r w:rsidR="00F9656A">
        <w:t>G</w:t>
      </w:r>
      <w:r w:rsidRPr="00C85A57">
        <w:t xml:space="preserve">uidance </w:t>
      </w:r>
      <w:r w:rsidR="00F9656A">
        <w:t>M</w:t>
      </w:r>
      <w:r w:rsidRPr="00C85A57">
        <w:t>aterial</w:t>
      </w:r>
      <w:r w:rsidR="00F9656A">
        <w:t>s</w:t>
      </w:r>
      <w:r w:rsidRPr="00C85A57">
        <w:t xml:space="preserve"> is therefore not a substitute for obtaining your own legal advice.</w:t>
      </w:r>
    </w:p>
    <w:p w14:paraId="045FAC5C" w14:textId="74EDCC43" w:rsidR="000E0490" w:rsidRPr="00F14643" w:rsidRDefault="000E0490" w:rsidP="00DE5333">
      <w:pPr>
        <w:spacing w:line="264" w:lineRule="auto"/>
      </w:pPr>
      <w:r>
        <w:rPr>
          <w:rStyle w:val="ui-provider"/>
        </w:rPr>
        <w:t xml:space="preserve">In this </w:t>
      </w:r>
      <w:r w:rsidR="00903398">
        <w:rPr>
          <w:rStyle w:val="ui-provider"/>
        </w:rPr>
        <w:t>G</w:t>
      </w:r>
      <w:r>
        <w:rPr>
          <w:rStyle w:val="ui-provider"/>
        </w:rPr>
        <w:t xml:space="preserve">uidance, unless otherwise indicated, references to reporting entities includes reporting entities that meet the definition of </w:t>
      </w:r>
      <w:r w:rsidR="00215C89">
        <w:rPr>
          <w:rStyle w:val="ui-provider"/>
        </w:rPr>
        <w:t xml:space="preserve">a </w:t>
      </w:r>
      <w:r>
        <w:rPr>
          <w:rStyle w:val="ui-provider"/>
        </w:rPr>
        <w:t xml:space="preserve">reporting entity under section 7 of the </w:t>
      </w:r>
      <w:r w:rsidR="00B80285" w:rsidRPr="007E19D9">
        <w:rPr>
          <w:rStyle w:val="ui-provider"/>
        </w:rPr>
        <w:t>Act</w:t>
      </w:r>
      <w:r>
        <w:rPr>
          <w:rStyle w:val="ui-provider"/>
        </w:rPr>
        <w:t xml:space="preserve"> and volunteering entities, subsidiary reporting entities and reporting nominees, as determined by the Regulator. </w:t>
      </w:r>
    </w:p>
    <w:p w14:paraId="6563E8B6" w14:textId="23E0C3E2" w:rsidR="000E0490" w:rsidRDefault="00DB305F" w:rsidP="00DE5333">
      <w:pPr>
        <w:spacing w:line="264" w:lineRule="auto"/>
      </w:pPr>
      <w:r>
        <w:t>If you are uncertain about any part of th</w:t>
      </w:r>
      <w:r w:rsidR="00903398">
        <w:t>is</w:t>
      </w:r>
      <w:r>
        <w:t xml:space="preserve"> </w:t>
      </w:r>
      <w:r w:rsidR="00903398">
        <w:t>G</w:t>
      </w:r>
      <w:r>
        <w:t xml:space="preserve">uidance, please contact </w:t>
      </w:r>
      <w:hyperlink r:id="rId20" w:history="1">
        <w:r w:rsidRPr="000D7ECC">
          <w:rPr>
            <w:rStyle w:val="Hyperlink"/>
          </w:rPr>
          <w:t>support@paymenttimes.gov.au</w:t>
        </w:r>
      </w:hyperlink>
    </w:p>
    <w:sdt>
      <w:sdtPr>
        <w:id w:val="-1200707750"/>
        <w:docPartObj>
          <w:docPartGallery w:val="Cover Pages"/>
          <w:docPartUnique/>
        </w:docPartObj>
      </w:sdtPr>
      <w:sdtEndPr/>
      <w:sdtContent>
        <w:p w14:paraId="44E37D29" w14:textId="77777777" w:rsidR="000E0490" w:rsidRDefault="000E0490" w:rsidP="00DE5333">
          <w:pPr>
            <w:spacing w:line="264" w:lineRule="auto"/>
          </w:pPr>
        </w:p>
        <w:p w14:paraId="66456F13" w14:textId="77777777" w:rsidR="000E0490" w:rsidRDefault="000E0490" w:rsidP="000E0490">
          <w:pPr>
            <w:spacing w:before="0" w:after="160" w:line="259" w:lineRule="auto"/>
          </w:pPr>
        </w:p>
        <w:p w14:paraId="10C31C4C" w14:textId="77777777" w:rsidR="000E0490" w:rsidRPr="00102577" w:rsidRDefault="005C74C4" w:rsidP="000E0490">
          <w:pPr>
            <w:rPr>
              <w:color w:val="000000" w:themeColor="text1"/>
              <w:szCs w:val="22"/>
            </w:rPr>
            <w:sectPr w:rsidR="000E0490" w:rsidRPr="00102577" w:rsidSect="000E0490">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1440" w:left="1080" w:header="454" w:footer="0" w:gutter="0"/>
              <w:cols w:space="708"/>
              <w:titlePg/>
              <w:docGrid w:linePitch="360"/>
            </w:sectPr>
          </w:pPr>
        </w:p>
      </w:sdtContent>
    </w:sdt>
    <w:p w14:paraId="282154C5" w14:textId="77777777" w:rsidR="000E0490" w:rsidRPr="00952044" w:rsidRDefault="000E0490" w:rsidP="00984D23">
      <w:pPr>
        <w:pStyle w:val="Heading1"/>
        <w:spacing w:before="120"/>
      </w:pPr>
      <w:bookmarkStart w:id="6" w:name="_Toc180688101"/>
      <w:bookmarkStart w:id="7" w:name="_Toc184822180"/>
      <w:r w:rsidRPr="00952044">
        <w:lastRenderedPageBreak/>
        <w:t>Entities that must report</w:t>
      </w:r>
      <w:bookmarkEnd w:id="6"/>
      <w:bookmarkEnd w:id="7"/>
    </w:p>
    <w:p w14:paraId="21BDD625" w14:textId="44B2BB65" w:rsidR="000E0490" w:rsidRDefault="000E0490" w:rsidP="009B39F5">
      <w:pPr>
        <w:pStyle w:val="OutlineNumbered1"/>
        <w:spacing w:before="120"/>
        <w:ind w:left="567" w:hanging="567"/>
      </w:pPr>
      <w:r w:rsidRPr="007127AE">
        <w:t xml:space="preserve">Entities that meet relevant criteria in the </w:t>
      </w:r>
      <w:r w:rsidRPr="007127AE" w:rsidDel="00272C54">
        <w:t xml:space="preserve">Act </w:t>
      </w:r>
      <w:r w:rsidRPr="007127AE">
        <w:t>are required</w:t>
      </w:r>
      <w:r w:rsidRPr="765484C2">
        <w:t xml:space="preserve"> </w:t>
      </w:r>
      <w:r w:rsidRPr="00B1676D">
        <w:t xml:space="preserve">to report. An entity </w:t>
      </w:r>
      <w:r w:rsidR="00767C74">
        <w:t>should consider the following</w:t>
      </w:r>
      <w:r w:rsidRPr="00B1676D">
        <w:t xml:space="preserve"> at the start of its financial year to determine</w:t>
      </w:r>
      <w:r>
        <w:t xml:space="preserve"> whether it has met the criteria to become a reporting entity under the Act:</w:t>
      </w:r>
    </w:p>
    <w:p w14:paraId="6FFA1A59" w14:textId="392619B8" w:rsidR="005F7418" w:rsidRDefault="000E0490" w:rsidP="009B39F5">
      <w:pPr>
        <w:pStyle w:val="OutlineNumberedDot"/>
        <w:spacing w:before="120"/>
        <w:ind w:left="851" w:hanging="284"/>
      </w:pPr>
      <w:r w:rsidRPr="00EA0A6E">
        <w:t xml:space="preserve">Is the entity a </w:t>
      </w:r>
      <w:r w:rsidRPr="007E19D9">
        <w:t>CCE</w:t>
      </w:r>
      <w:r w:rsidRPr="00EA0A6E">
        <w:t>?</w:t>
      </w:r>
    </w:p>
    <w:p w14:paraId="1CA176EB" w14:textId="1F81E525" w:rsidR="005F7418" w:rsidRDefault="000E0490" w:rsidP="009B39F5">
      <w:pPr>
        <w:pStyle w:val="OutlineNumberedDot"/>
        <w:spacing w:before="120"/>
        <w:ind w:left="851" w:hanging="284"/>
      </w:pPr>
      <w:r w:rsidRPr="00EA0A6E">
        <w:t>Does the entity have a connection to Australia?</w:t>
      </w:r>
    </w:p>
    <w:p w14:paraId="4B33D446" w14:textId="266E00E3" w:rsidR="005F7418" w:rsidRDefault="000E0490" w:rsidP="009B39F5">
      <w:pPr>
        <w:pStyle w:val="OutlineNumberedDot"/>
        <w:spacing w:before="120"/>
        <w:ind w:left="851" w:hanging="284"/>
      </w:pPr>
      <w:r>
        <w:t>Was the entity’s consolidated revenue more than $100 million in its previous financial year</w:t>
      </w:r>
      <w:r w:rsidRPr="00EA0A6E">
        <w:t>?</w:t>
      </w:r>
    </w:p>
    <w:p w14:paraId="5EA4E65D" w14:textId="6524C86C" w:rsidR="000E0490" w:rsidRPr="00971D86" w:rsidRDefault="000E0490" w:rsidP="009B39F5">
      <w:pPr>
        <w:pStyle w:val="OutlineNumberedDot"/>
        <w:spacing w:before="120"/>
        <w:ind w:left="851" w:hanging="284"/>
      </w:pPr>
      <w:r w:rsidRPr="00EA0A6E">
        <w:t>Is the entity excluded from reporting?</w:t>
      </w:r>
    </w:p>
    <w:p w14:paraId="772679B7" w14:textId="77777777" w:rsidR="000E0490" w:rsidRDefault="000E0490" w:rsidP="009B39F5">
      <w:pPr>
        <w:pStyle w:val="OutlineNumbered1"/>
        <w:spacing w:before="120"/>
        <w:ind w:left="567" w:hanging="567"/>
      </w:pPr>
      <w:r w:rsidRPr="00950D89">
        <w:t>Generally, an entity will be a reporting entity under the Act if it is a CCE, has a connection to Australia, the revenue threshold is met and it is not excluded from reporting. Each of these criteria are explained further below.</w:t>
      </w:r>
    </w:p>
    <w:p w14:paraId="1A184BF5" w14:textId="77777777" w:rsidR="000E0490" w:rsidRDefault="000E0490" w:rsidP="009B39F5">
      <w:pPr>
        <w:pStyle w:val="OutlineNumbered1"/>
        <w:spacing w:before="120"/>
        <w:ind w:left="567" w:hanging="567"/>
      </w:pPr>
      <w:r w:rsidRPr="00EF60CC">
        <w:t xml:space="preserve">Once an entity becomes a reporting entity, it must continue reporting until it </w:t>
      </w:r>
      <w:r w:rsidRPr="7CEC240D">
        <w:t xml:space="preserve">notifies the </w:t>
      </w:r>
      <w:r w:rsidRPr="3EE6407C">
        <w:t xml:space="preserve">Regulator </w:t>
      </w:r>
      <w:r w:rsidRPr="64442E9F">
        <w:t xml:space="preserve">that </w:t>
      </w:r>
      <w:r w:rsidRPr="536403EC">
        <w:t xml:space="preserve">it </w:t>
      </w:r>
      <w:r>
        <w:t xml:space="preserve">has </w:t>
      </w:r>
      <w:r w:rsidRPr="00EF60CC">
        <w:t>me</w:t>
      </w:r>
      <w:r>
        <w:t>t</w:t>
      </w:r>
      <w:r w:rsidRPr="00EF60CC">
        <w:t xml:space="preserve"> </w:t>
      </w:r>
      <w:r>
        <w:t xml:space="preserve">the </w:t>
      </w:r>
      <w:r w:rsidRPr="00EF60CC" w:rsidDel="00084B50">
        <w:t>criteria</w:t>
      </w:r>
      <w:r>
        <w:t xml:space="preserve"> to cease being a reporting entity</w:t>
      </w:r>
      <w:r w:rsidRPr="00EF60CC">
        <w:t xml:space="preserve">. </w:t>
      </w:r>
    </w:p>
    <w:p w14:paraId="3126ADD4" w14:textId="77777777" w:rsidR="000E0490" w:rsidRPr="00EF60CC" w:rsidRDefault="000E0490" w:rsidP="009B39F5">
      <w:pPr>
        <w:pStyle w:val="OutlineNumbered1"/>
        <w:spacing w:before="120"/>
        <w:ind w:left="567" w:hanging="567"/>
      </w:pPr>
      <w:r w:rsidRPr="00EF60CC">
        <w:t xml:space="preserve">For </w:t>
      </w:r>
      <w:r>
        <w:t>more information</w:t>
      </w:r>
      <w:r w:rsidRPr="00EF60CC">
        <w:t xml:space="preserve">, see </w:t>
      </w:r>
      <w:r w:rsidRPr="00CB2EEA">
        <w:rPr>
          <w:rStyle w:val="Hyperlink"/>
          <w:b/>
          <w:bCs/>
          <w:color w:val="00827F" w:themeColor="accent2"/>
        </w:rPr>
        <w:fldChar w:fldCharType="begin"/>
      </w:r>
      <w:r w:rsidRPr="00CB2EEA">
        <w:rPr>
          <w:rStyle w:val="Hyperlink"/>
          <w:b/>
          <w:bCs/>
          <w:color w:val="00827F" w:themeColor="accent2"/>
        </w:rPr>
        <w:instrText xml:space="preserve"> REF _Ref179826454 \h  \* MERGEFORMAT </w:instrText>
      </w:r>
      <w:r w:rsidRPr="00CB2EEA">
        <w:rPr>
          <w:rStyle w:val="Hyperlink"/>
          <w:b/>
          <w:bCs/>
          <w:color w:val="00827F" w:themeColor="accent2"/>
        </w:rPr>
      </w:r>
      <w:r w:rsidRPr="00CB2EEA">
        <w:rPr>
          <w:rStyle w:val="Hyperlink"/>
          <w:b/>
          <w:bCs/>
          <w:color w:val="00827F" w:themeColor="accent2"/>
        </w:rPr>
        <w:fldChar w:fldCharType="separate"/>
      </w:r>
      <w:r w:rsidRPr="00CB2EEA">
        <w:rPr>
          <w:rStyle w:val="Hyperlink"/>
          <w:b/>
          <w:bCs/>
          <w:color w:val="00827F" w:themeColor="accent2"/>
        </w:rPr>
        <w:t>Ceasing to be a reporting entity</w:t>
      </w:r>
      <w:r w:rsidRPr="00CB2EEA">
        <w:rPr>
          <w:rStyle w:val="Hyperlink"/>
          <w:b/>
          <w:bCs/>
          <w:color w:val="00827F" w:themeColor="accent2"/>
        </w:rPr>
        <w:fldChar w:fldCharType="end"/>
      </w:r>
      <w:r w:rsidRPr="00CB2EEA">
        <w:rPr>
          <w:b/>
          <w:bCs/>
        </w:rPr>
        <w:t>.</w:t>
      </w:r>
    </w:p>
    <w:p w14:paraId="33E75DDB" w14:textId="77777777" w:rsidR="000E0490" w:rsidRPr="00952044" w:rsidRDefault="000E0490" w:rsidP="00952044">
      <w:pPr>
        <w:pStyle w:val="Heading2"/>
      </w:pPr>
      <w:bookmarkStart w:id="8" w:name="_Toc180688102"/>
      <w:bookmarkStart w:id="9" w:name="_Toc184822181"/>
      <w:r w:rsidRPr="00952044">
        <w:t>Constitutionally covered entities (CCE)</w:t>
      </w:r>
      <w:bookmarkEnd w:id="8"/>
      <w:bookmarkEnd w:id="9"/>
    </w:p>
    <w:p w14:paraId="4E086B1B" w14:textId="77777777" w:rsidR="0084783A" w:rsidRDefault="000E0490" w:rsidP="009B39F5">
      <w:pPr>
        <w:pStyle w:val="OutlineNumbered1"/>
        <w:spacing w:before="120"/>
        <w:ind w:left="567" w:hanging="567"/>
      </w:pPr>
      <w:r>
        <w:t>W</w:t>
      </w:r>
      <w:r w:rsidRPr="00104305">
        <w:t xml:space="preserve">hether </w:t>
      </w:r>
      <w:r>
        <w:t xml:space="preserve">an </w:t>
      </w:r>
      <w:r w:rsidRPr="00104305">
        <w:t xml:space="preserve">entity is a CCE depends on its structure and operations. </w:t>
      </w:r>
    </w:p>
    <w:p w14:paraId="3401CEC4" w14:textId="1E7815CC" w:rsidR="000E0490" w:rsidRPr="00104305" w:rsidRDefault="000E0490" w:rsidP="009B39F5">
      <w:pPr>
        <w:pStyle w:val="OutlineNumbered1"/>
        <w:spacing w:before="120"/>
        <w:ind w:left="567" w:hanging="567"/>
      </w:pPr>
      <w:r w:rsidRPr="00104305">
        <w:t xml:space="preserve">This </w:t>
      </w:r>
      <w:r w:rsidR="00903398">
        <w:t>G</w:t>
      </w:r>
      <w:r w:rsidRPr="00104305">
        <w:t>uid</w:t>
      </w:r>
      <w:r w:rsidRPr="0C70B7AC">
        <w:t>anc</w:t>
      </w:r>
      <w:r w:rsidRPr="00104305">
        <w:t xml:space="preserve">e helps </w:t>
      </w:r>
      <w:r w:rsidRPr="0C70B7AC">
        <w:t xml:space="preserve">entities </w:t>
      </w:r>
      <w:r w:rsidRPr="59599081">
        <w:t xml:space="preserve">with </w:t>
      </w:r>
      <w:r w:rsidRPr="00104305">
        <w:t xml:space="preserve">common situations, but if </w:t>
      </w:r>
      <w:r>
        <w:t>an entity’s</w:t>
      </w:r>
      <w:r w:rsidRPr="00104305">
        <w:t xml:space="preserve"> CCE status is unclear, </w:t>
      </w:r>
      <w:r>
        <w:t>it</w:t>
      </w:r>
      <w:r w:rsidRPr="00104305">
        <w:t xml:space="preserve"> may need to seek legal advice</w:t>
      </w:r>
      <w:r w:rsidRPr="0084783A">
        <w:rPr>
          <w:color w:val="001523" w:themeColor="accent1" w:themeShade="80"/>
        </w:rPr>
        <w:t>. The Regulator will not give legal advice regarding an entity’s status as a CCE.</w:t>
      </w:r>
    </w:p>
    <w:p w14:paraId="4465F485" w14:textId="77777777" w:rsidR="000E0490" w:rsidRPr="00DF21B9" w:rsidRDefault="000E0490" w:rsidP="000E0490">
      <w:pPr>
        <w:pStyle w:val="Heading3"/>
      </w:pPr>
      <w:bookmarkStart w:id="10" w:name="_Toc180688103"/>
      <w:bookmarkStart w:id="11" w:name="_Toc184822182"/>
      <w:r w:rsidRPr="00DF21B9">
        <w:t>Australian Corporations</w:t>
      </w:r>
      <w:bookmarkEnd w:id="10"/>
      <w:bookmarkEnd w:id="11"/>
    </w:p>
    <w:p w14:paraId="16625874" w14:textId="77777777" w:rsidR="000E0490" w:rsidRPr="00DF21B9" w:rsidRDefault="000E0490" w:rsidP="00FF01AE">
      <w:pPr>
        <w:pStyle w:val="OutlineNumbered1"/>
        <w:ind w:left="567" w:hanging="567"/>
      </w:pPr>
      <w:r>
        <w:t xml:space="preserve">An </w:t>
      </w:r>
      <w:r w:rsidRPr="00DF21B9">
        <w:t>Australian corporation</w:t>
      </w:r>
      <w:r>
        <w:t xml:space="preserve"> is a CCE</w:t>
      </w:r>
      <w:r w:rsidRPr="00DF21B9">
        <w:t xml:space="preserve"> if </w:t>
      </w:r>
      <w:r>
        <w:t>it is</w:t>
      </w:r>
      <w:r w:rsidRPr="00DF21B9">
        <w:t>:</w:t>
      </w:r>
    </w:p>
    <w:p w14:paraId="55E80E37" w14:textId="77777777" w:rsidR="000E0490" w:rsidRPr="00DF21B9" w:rsidRDefault="000E0490" w:rsidP="00FF01AE">
      <w:pPr>
        <w:pStyle w:val="OutlineNumberedDot"/>
        <w:ind w:left="851" w:hanging="284"/>
      </w:pPr>
      <w:r w:rsidRPr="00DF21B9">
        <w:t>incorporated or registered in an Australian Territory, or</w:t>
      </w:r>
    </w:p>
    <w:p w14:paraId="42763709" w14:textId="77777777" w:rsidR="000E0490" w:rsidRPr="00DF21B9" w:rsidRDefault="000E0490" w:rsidP="00FF01AE">
      <w:pPr>
        <w:pStyle w:val="OutlineNumberedDot"/>
        <w:ind w:left="851" w:hanging="284"/>
      </w:pPr>
      <w:r>
        <w:t xml:space="preserve">a </w:t>
      </w:r>
      <w:r w:rsidRPr="00DF21B9">
        <w:t xml:space="preserve">constitutional </w:t>
      </w:r>
      <w:r w:rsidRPr="00950D89">
        <w:t>corporation</w:t>
      </w:r>
      <w:r w:rsidRPr="00F23AC4">
        <w:t>.</w:t>
      </w:r>
    </w:p>
    <w:p w14:paraId="4C2A330E" w14:textId="3CD107EB" w:rsidR="000E0490" w:rsidRPr="00DF21B9" w:rsidRDefault="000E0490" w:rsidP="00FF01AE">
      <w:pPr>
        <w:pStyle w:val="OutlineNumbered1"/>
        <w:ind w:left="567" w:hanging="567"/>
      </w:pPr>
      <w:r>
        <w:t>A c</w:t>
      </w:r>
      <w:r w:rsidRPr="00DF21B9">
        <w:t>orporation</w:t>
      </w:r>
      <w:r>
        <w:t xml:space="preserve"> that is</w:t>
      </w:r>
      <w:r w:rsidRPr="00DF21B9">
        <w:t xml:space="preserve"> incorporated in </w:t>
      </w:r>
      <w:r>
        <w:t xml:space="preserve">an </w:t>
      </w:r>
      <w:r w:rsidRPr="00DF21B9">
        <w:t>Australian Territor</w:t>
      </w:r>
      <w:r>
        <w:t>y</w:t>
      </w:r>
      <w:r w:rsidRPr="00DF21B9">
        <w:t xml:space="preserve"> </w:t>
      </w:r>
      <w:r>
        <w:t xml:space="preserve">or is taken to be registered in an Australian Territory under </w:t>
      </w:r>
      <w:r w:rsidRPr="00DF21B9">
        <w:t xml:space="preserve">section 119A of the </w:t>
      </w:r>
      <w:r w:rsidRPr="007E19D9" w:rsidDel="0029105C">
        <w:t>Corporations Act</w:t>
      </w:r>
      <w:r w:rsidRPr="00B234CE">
        <w:t>,</w:t>
      </w:r>
      <w:r w:rsidRPr="00D803C3">
        <w:t xml:space="preserve"> </w:t>
      </w:r>
      <w:r>
        <w:t>is a</w:t>
      </w:r>
      <w:r w:rsidRPr="00D803C3">
        <w:t xml:space="preserve"> CCE</w:t>
      </w:r>
      <w:r w:rsidRPr="44793854">
        <w:t xml:space="preserve">. </w:t>
      </w:r>
    </w:p>
    <w:p w14:paraId="09F57150" w14:textId="3A2986A2" w:rsidR="000E0490" w:rsidRPr="00DF21B9" w:rsidRDefault="000E0490" w:rsidP="00FF01AE">
      <w:pPr>
        <w:pStyle w:val="OutlineNumbered1"/>
        <w:ind w:left="567" w:hanging="567"/>
      </w:pPr>
      <w:r>
        <w:t>A c</w:t>
      </w:r>
      <w:r w:rsidRPr="00DF21B9">
        <w:t>orporation</w:t>
      </w:r>
      <w:r>
        <w:t xml:space="preserve"> formed in Australia is a </w:t>
      </w:r>
      <w:bookmarkStart w:id="12" w:name="_Int_sAQGD9DT"/>
      <w:r>
        <w:t xml:space="preserve">constitutional </w:t>
      </w:r>
      <w:bookmarkEnd w:id="12"/>
      <w:r>
        <w:t>corporation if they engage in substantial trading or financial activities.</w:t>
      </w:r>
    </w:p>
    <w:p w14:paraId="2808B9A5" w14:textId="77777777" w:rsidR="000E0490" w:rsidRPr="00DF21B9" w:rsidRDefault="000E0490" w:rsidP="00FF01AE">
      <w:pPr>
        <w:pStyle w:val="OutlineNumberedDot"/>
        <w:ind w:left="851" w:hanging="284"/>
      </w:pPr>
      <w:r w:rsidRPr="0017267B">
        <w:rPr>
          <w:b/>
        </w:rPr>
        <w:t>Trading</w:t>
      </w:r>
      <w:r w:rsidRPr="00DF21B9">
        <w:t xml:space="preserve"> means providing goods or services for payment, including business activities aimed at earning revenue.</w:t>
      </w:r>
    </w:p>
    <w:p w14:paraId="71C6AF87" w14:textId="77777777" w:rsidR="000E0490" w:rsidRPr="00DF21B9" w:rsidRDefault="000E0490" w:rsidP="00FF01AE">
      <w:pPr>
        <w:pStyle w:val="OutlineNumberedDot"/>
        <w:ind w:left="851" w:hanging="284"/>
      </w:pPr>
      <w:r w:rsidRPr="0017267B">
        <w:rPr>
          <w:b/>
        </w:rPr>
        <w:t>Financial</w:t>
      </w:r>
      <w:r w:rsidRPr="00DF21B9">
        <w:t xml:space="preserve"> activities involve dealing with finance, such as lending or borrowing money.</w:t>
      </w:r>
    </w:p>
    <w:p w14:paraId="6E48BDE9" w14:textId="77777777" w:rsidR="000E0490" w:rsidRPr="00DF21B9" w:rsidRDefault="000E0490" w:rsidP="00FF01AE">
      <w:pPr>
        <w:pStyle w:val="OutlineNumbered1"/>
        <w:ind w:left="567" w:hanging="567"/>
      </w:pPr>
      <w:r w:rsidRPr="00DF21B9">
        <w:t xml:space="preserve">When </w:t>
      </w:r>
      <w:r>
        <w:t>assessing</w:t>
      </w:r>
      <w:r w:rsidRPr="00DF21B9">
        <w:t xml:space="preserve"> if a</w:t>
      </w:r>
      <w:r>
        <w:t>n Australian</w:t>
      </w:r>
      <w:r w:rsidRPr="00DF21B9">
        <w:t xml:space="preserve"> corporation is a CCE, the Regulator may consider:</w:t>
      </w:r>
    </w:p>
    <w:p w14:paraId="77AA74D3" w14:textId="77777777" w:rsidR="000E0490" w:rsidRPr="00DF21B9" w:rsidRDefault="000E0490" w:rsidP="00FF01AE">
      <w:pPr>
        <w:pStyle w:val="OutlineNumberedDot"/>
        <w:ind w:left="851" w:hanging="284"/>
      </w:pPr>
      <w:r w:rsidRPr="00DF21B9">
        <w:t>the laws under which the corporation is incorporated</w:t>
      </w:r>
    </w:p>
    <w:p w14:paraId="6150B31E" w14:textId="77777777" w:rsidR="000E0490" w:rsidRPr="00DF21B9" w:rsidRDefault="000E0490" w:rsidP="00FF01AE">
      <w:pPr>
        <w:pStyle w:val="OutlineNumberedDot"/>
        <w:ind w:left="851" w:hanging="284"/>
      </w:pPr>
      <w:r w:rsidRPr="00DF21B9">
        <w:t xml:space="preserve">whether the corporation </w:t>
      </w:r>
      <w:r w:rsidRPr="3F73D8E1">
        <w:t xml:space="preserve">conducts activities that may </w:t>
      </w:r>
      <w:r w:rsidRPr="00DF21B9">
        <w:t>earn revenue</w:t>
      </w:r>
      <w:r w:rsidRPr="011DD602">
        <w:t xml:space="preserve"> (directly or indirectly)</w:t>
      </w:r>
      <w:r w:rsidRPr="00DF21B9">
        <w:t xml:space="preserve"> or is involved in borrowing or lending money.</w:t>
      </w:r>
    </w:p>
    <w:p w14:paraId="6FF47876" w14:textId="77777777" w:rsidR="000E0490" w:rsidRDefault="000E0490" w:rsidP="00FF01AE">
      <w:pPr>
        <w:pStyle w:val="OutlineNumbered1"/>
        <w:ind w:left="567" w:hanging="567"/>
      </w:pPr>
      <w:r w:rsidRPr="005D03A4">
        <w:t xml:space="preserve">During compliance activities, the Regulator </w:t>
      </w:r>
      <w:r>
        <w:t>may</w:t>
      </w:r>
      <w:r w:rsidRPr="005D03A4">
        <w:t xml:space="preserve"> assume an entity with a business name indicating </w:t>
      </w:r>
      <w:r w:rsidRPr="006131FF">
        <w:t>incorporation</w:t>
      </w:r>
      <w:r w:rsidRPr="005D03A4">
        <w:t xml:space="preserve"> is a constitutional corporation. This include</w:t>
      </w:r>
      <w:r>
        <w:t>s</w:t>
      </w:r>
      <w:r w:rsidRPr="005D03A4">
        <w:t xml:space="preserve"> entities that have Pty Ltd, Ltd, NL or Inc in their name.</w:t>
      </w:r>
    </w:p>
    <w:p w14:paraId="10BE3CA8" w14:textId="77777777" w:rsidR="000E0490" w:rsidRPr="00DF21B9" w:rsidRDefault="000E0490" w:rsidP="00FF01AE">
      <w:pPr>
        <w:pStyle w:val="OutlineNumbered1"/>
        <w:ind w:left="567" w:hanging="567"/>
      </w:pPr>
      <w:r w:rsidRPr="00DF21B9">
        <w:lastRenderedPageBreak/>
        <w:t>If a</w:t>
      </w:r>
      <w:r>
        <w:t>n Australian</w:t>
      </w:r>
      <w:r w:rsidRPr="00DF21B9">
        <w:t xml:space="preserve"> corporation believes it is</w:t>
      </w:r>
      <w:r w:rsidRPr="0B98F977">
        <w:t xml:space="preserve"> not</w:t>
      </w:r>
      <w:r w:rsidRPr="00DF21B9">
        <w:t xml:space="preserve"> a CCE because it does</w:t>
      </w:r>
      <w:r>
        <w:t xml:space="preserve"> not </w:t>
      </w:r>
      <w:r w:rsidRPr="00DF21B9">
        <w:t xml:space="preserve">engage in trading or financial activities, it should seek legal advice. </w:t>
      </w:r>
      <w:r w:rsidRPr="00EA0A6E">
        <w:t>If advice is</w:t>
      </w:r>
      <w:r>
        <w:t xml:space="preserve"> not </w:t>
      </w:r>
      <w:r w:rsidRPr="00EA0A6E">
        <w:t>obtained and the corporation</w:t>
      </w:r>
      <w:r>
        <w:t xml:space="preserve"> is a CCE, it could affect the</w:t>
      </w:r>
      <w:r w:rsidRPr="00EA0A6E">
        <w:t xml:space="preserve"> approach taken by the Regulator to address non-compliance.</w:t>
      </w:r>
    </w:p>
    <w:p w14:paraId="6D29C12F" w14:textId="77777777" w:rsidR="000E0490" w:rsidRPr="00DF21B9" w:rsidRDefault="000E0490" w:rsidP="000E0490">
      <w:pPr>
        <w:pStyle w:val="Heading3"/>
        <w:rPr>
          <w:sz w:val="24"/>
          <w:szCs w:val="24"/>
        </w:rPr>
      </w:pPr>
      <w:bookmarkStart w:id="13" w:name="_Toc180688104"/>
      <w:bookmarkStart w:id="14" w:name="_Toc184822183"/>
      <w:r w:rsidRPr="00DF21B9">
        <w:t xml:space="preserve">Foreign </w:t>
      </w:r>
      <w:r>
        <w:t>e</w:t>
      </w:r>
      <w:r w:rsidRPr="00DF21B9">
        <w:t>ntities</w:t>
      </w:r>
      <w:bookmarkEnd w:id="13"/>
      <w:bookmarkEnd w:id="14"/>
    </w:p>
    <w:p w14:paraId="75E52534" w14:textId="3A500DC4" w:rsidR="000E0490" w:rsidRPr="00DF21B9" w:rsidRDefault="000E0490" w:rsidP="009B39F5">
      <w:pPr>
        <w:pStyle w:val="OutlineNumbered1"/>
        <w:spacing w:before="120"/>
        <w:ind w:left="567" w:hanging="567"/>
      </w:pPr>
      <w:r w:rsidRPr="00DF21B9">
        <w:t xml:space="preserve">Foreign entities are </w:t>
      </w:r>
      <w:r>
        <w:t>CCEs</w:t>
      </w:r>
      <w:r w:rsidRPr="00DF21B9">
        <w:t xml:space="preserve"> under the Act. </w:t>
      </w:r>
      <w:r>
        <w:t>Foreign entity has the same meaning as the</w:t>
      </w:r>
      <w:r w:rsidR="00D84386">
        <w:t xml:space="preserve"> term </w:t>
      </w:r>
      <w:r w:rsidR="00A24454">
        <w:t>‘foreign entity’ under the</w:t>
      </w:r>
      <w:r>
        <w:t xml:space="preserve"> </w:t>
      </w:r>
      <w:r w:rsidRPr="0011512E">
        <w:rPr>
          <w:i/>
          <w:iCs/>
        </w:rPr>
        <w:t>Income Tax Assessment Act 1997</w:t>
      </w:r>
      <w:r>
        <w:t xml:space="preserve"> (Cth). </w:t>
      </w:r>
      <w:r w:rsidRPr="00DF21B9">
        <w:t>A foreign entity may be a corporation formed under foreign laws or a non-corporate entity based outside of Australia.</w:t>
      </w:r>
    </w:p>
    <w:p w14:paraId="72D122EA" w14:textId="77777777" w:rsidR="000E0490" w:rsidRPr="00DF21B9" w:rsidRDefault="000E0490" w:rsidP="009B39F5">
      <w:pPr>
        <w:pStyle w:val="OutlineNumbered1"/>
        <w:spacing w:before="120"/>
        <w:ind w:left="567" w:hanging="567"/>
      </w:pPr>
      <w:r w:rsidRPr="00DF21B9">
        <w:t>When assessing if a</w:t>
      </w:r>
      <w:r>
        <w:t xml:space="preserve">n </w:t>
      </w:r>
      <w:r w:rsidRPr="00DF21B9">
        <w:t xml:space="preserve">entity is a </w:t>
      </w:r>
      <w:r>
        <w:t>foreign entity,</w:t>
      </w:r>
      <w:r w:rsidRPr="00DF21B9">
        <w:t xml:space="preserve"> </w:t>
      </w:r>
      <w:r>
        <w:t>t</w:t>
      </w:r>
      <w:r w:rsidRPr="00DF21B9">
        <w:t xml:space="preserve">he Regulator may </w:t>
      </w:r>
      <w:r w:rsidRPr="7B4EA8FE">
        <w:t>consider</w:t>
      </w:r>
      <w:r w:rsidRPr="00DF21B9">
        <w:t>:</w:t>
      </w:r>
    </w:p>
    <w:p w14:paraId="5C3561EB" w14:textId="77777777" w:rsidR="000E0490" w:rsidRPr="00DF21B9" w:rsidRDefault="000E0490" w:rsidP="009B39F5">
      <w:pPr>
        <w:pStyle w:val="OutlineNumberedDot"/>
        <w:spacing w:before="120"/>
        <w:ind w:left="851" w:hanging="284"/>
      </w:pPr>
      <w:r w:rsidRPr="00DF21B9">
        <w:t>the laws under which the entity was formed or incorporated</w:t>
      </w:r>
    </w:p>
    <w:p w14:paraId="06FA5867" w14:textId="77777777" w:rsidR="000E0490" w:rsidRPr="00DF21B9" w:rsidRDefault="000E0490" w:rsidP="009B39F5">
      <w:pPr>
        <w:pStyle w:val="OutlineNumberedDot"/>
        <w:spacing w:before="120"/>
        <w:ind w:left="851" w:hanging="284"/>
      </w:pPr>
      <w:r w:rsidRPr="00DF21B9">
        <w:t>where the entity is located</w:t>
      </w:r>
      <w:r>
        <w:t xml:space="preserve"> and</w:t>
      </w:r>
      <w:r w:rsidRPr="00DF21B9">
        <w:t xml:space="preserve"> operates.</w:t>
      </w:r>
    </w:p>
    <w:p w14:paraId="4D1E2DB3" w14:textId="77777777" w:rsidR="000E0490" w:rsidRPr="00DF21B9" w:rsidRDefault="000E0490" w:rsidP="000E0490">
      <w:pPr>
        <w:pStyle w:val="Heading3"/>
        <w:rPr>
          <w:sz w:val="24"/>
          <w:szCs w:val="24"/>
        </w:rPr>
      </w:pPr>
      <w:bookmarkStart w:id="15" w:name="_Toc180688105"/>
      <w:bookmarkStart w:id="16" w:name="_Toc184822184"/>
      <w:r w:rsidRPr="00DF21B9">
        <w:t>Non-</w:t>
      </w:r>
      <w:r>
        <w:t>c</w:t>
      </w:r>
      <w:r w:rsidRPr="00DF21B9">
        <w:t xml:space="preserve">orporate </w:t>
      </w:r>
      <w:r>
        <w:t>e</w:t>
      </w:r>
      <w:r w:rsidRPr="00DF21B9">
        <w:t>ntities</w:t>
      </w:r>
      <w:bookmarkEnd w:id="15"/>
      <w:bookmarkEnd w:id="16"/>
    </w:p>
    <w:p w14:paraId="19CC1468" w14:textId="608EF73D" w:rsidR="000E0490" w:rsidRPr="00DF21B9" w:rsidRDefault="000E0490" w:rsidP="00FF01AE">
      <w:pPr>
        <w:pStyle w:val="OutlineNumbered1"/>
        <w:ind w:left="567" w:hanging="567"/>
      </w:pPr>
      <w:r>
        <w:t>A n</w:t>
      </w:r>
      <w:r w:rsidRPr="00DF21B9">
        <w:t>on-corporate entit</w:t>
      </w:r>
      <w:r>
        <w:t xml:space="preserve">y is a </w:t>
      </w:r>
      <w:r w:rsidRPr="00DF21B9">
        <w:t xml:space="preserve">CCE if </w:t>
      </w:r>
      <w:r>
        <w:t>it</w:t>
      </w:r>
      <w:r w:rsidR="00C75EF8">
        <w:t xml:space="preserve"> is not a body politic and it</w:t>
      </w:r>
      <w:r w:rsidRPr="00DF21B9">
        <w:t xml:space="preserve"> </w:t>
      </w:r>
      <w:r>
        <w:t>carries on an enterprise</w:t>
      </w:r>
      <w:r w:rsidRPr="00DF21B9">
        <w:t xml:space="preserve"> in an Australian Territory, including the Northern Territory, the Australian Capital Territory, </w:t>
      </w:r>
      <w:r>
        <w:t>and all other Australian Territories.</w:t>
      </w:r>
    </w:p>
    <w:p w14:paraId="45378E3B" w14:textId="77777777" w:rsidR="000E0490" w:rsidRPr="00DF21B9" w:rsidRDefault="000E0490" w:rsidP="00FF01AE">
      <w:pPr>
        <w:pStyle w:val="OutlineNumbered1"/>
        <w:ind w:left="567" w:hanging="567"/>
      </w:pPr>
      <w:r>
        <w:t>When assessing whether a non-corporate entity is a CCE, t</w:t>
      </w:r>
      <w:r w:rsidRPr="00DF21B9">
        <w:t>he Regulator may consider:</w:t>
      </w:r>
    </w:p>
    <w:p w14:paraId="7F584CF7" w14:textId="77777777" w:rsidR="000E0490" w:rsidRPr="00DF21B9" w:rsidRDefault="000E0490" w:rsidP="00FF01AE">
      <w:pPr>
        <w:pStyle w:val="OutlineNumberedDot"/>
        <w:ind w:left="851" w:hanging="284"/>
      </w:pPr>
      <w:r w:rsidRPr="00DF21B9">
        <w:t>whether the entity is formed, registered, or operates in an Australian Territory</w:t>
      </w:r>
    </w:p>
    <w:p w14:paraId="798D9045" w14:textId="3441F5F1" w:rsidR="000E0490" w:rsidRPr="00DF21B9" w:rsidRDefault="000E0490" w:rsidP="00FF01AE">
      <w:pPr>
        <w:pStyle w:val="OutlineNumberedDot"/>
        <w:ind w:left="851" w:hanging="284"/>
      </w:pPr>
      <w:r w:rsidRPr="00DF21B9">
        <w:t xml:space="preserve">whether it has an </w:t>
      </w:r>
      <w:r w:rsidRPr="007E19D9">
        <w:t>ABN</w:t>
      </w:r>
    </w:p>
    <w:p w14:paraId="46E4A0AD" w14:textId="77777777" w:rsidR="000E0490" w:rsidRPr="00DF21B9" w:rsidRDefault="000E0490" w:rsidP="00FF01AE">
      <w:pPr>
        <w:pStyle w:val="OutlineNumberedDot"/>
        <w:ind w:left="851" w:hanging="284"/>
      </w:pPr>
      <w:r>
        <w:t xml:space="preserve">its activities and </w:t>
      </w:r>
      <w:r w:rsidRPr="00DF21B9">
        <w:t>if it</w:t>
      </w:r>
      <w:r>
        <w:t xml:space="preserve"> i</w:t>
      </w:r>
      <w:r w:rsidRPr="00DF21B9">
        <w:t xml:space="preserve">s </w:t>
      </w:r>
      <w:r>
        <w:t>‘</w:t>
      </w:r>
      <w:r w:rsidRPr="00DF21B9">
        <w:t>carrying on an enterprise</w:t>
      </w:r>
      <w:r>
        <w:t>’</w:t>
      </w:r>
      <w:r w:rsidRPr="00DF21B9">
        <w:t xml:space="preserve"> for tax purposes.</w:t>
      </w:r>
    </w:p>
    <w:p w14:paraId="4BF4DF32" w14:textId="77777777" w:rsidR="000E0490" w:rsidRPr="00DF21B9" w:rsidRDefault="000E0490" w:rsidP="000E0490">
      <w:pPr>
        <w:pStyle w:val="Heading3"/>
        <w:rPr>
          <w:sz w:val="24"/>
          <w:szCs w:val="24"/>
        </w:rPr>
      </w:pPr>
      <w:bookmarkStart w:id="17" w:name="_Toc180688106"/>
      <w:bookmarkStart w:id="18" w:name="_Toc184822185"/>
      <w:r w:rsidRPr="00DF21B9">
        <w:t>Corporate Commonwealth Entities and Companies</w:t>
      </w:r>
      <w:bookmarkEnd w:id="17"/>
      <w:bookmarkEnd w:id="18"/>
    </w:p>
    <w:p w14:paraId="0C234C8C" w14:textId="56BBA220" w:rsidR="000E0490" w:rsidRPr="00DF21B9" w:rsidRDefault="000E0490" w:rsidP="009B39F5">
      <w:pPr>
        <w:pStyle w:val="OutlineNumbered1"/>
        <w:spacing w:before="120"/>
        <w:ind w:left="567" w:hanging="567"/>
      </w:pPr>
      <w:r w:rsidRPr="00DF21B9">
        <w:t xml:space="preserve">Corporate Commonwealth entities and Commonwealth companies under the </w:t>
      </w:r>
      <w:r w:rsidRPr="007E19D9">
        <w:t>PGPA Act</w:t>
      </w:r>
      <w:r>
        <w:t xml:space="preserve"> </w:t>
      </w:r>
      <w:r w:rsidRPr="00DF21B9">
        <w:t xml:space="preserve">are CCEs. Government departments and unincorporated agencies are not considered CCEs </w:t>
      </w:r>
      <w:r>
        <w:t xml:space="preserve">under the Act </w:t>
      </w:r>
      <w:r w:rsidRPr="00DF21B9">
        <w:t>and do not need to report.</w:t>
      </w:r>
    </w:p>
    <w:p w14:paraId="413C3FFF" w14:textId="77777777" w:rsidR="000E0490" w:rsidRPr="00A848E4" w:rsidRDefault="000E0490" w:rsidP="009B39F5">
      <w:pPr>
        <w:pStyle w:val="OutlineNumbered1"/>
        <w:spacing w:before="120"/>
        <w:ind w:left="567" w:hanging="567"/>
      </w:pPr>
      <w:r w:rsidRPr="00232C60">
        <w:t xml:space="preserve">When assessing if an entity is a corporate Commonwealth entity or Commonwealth company, the Regulator may consider </w:t>
      </w:r>
      <w:hyperlink r:id="rId27" w:history="1">
        <w:r>
          <w:rPr>
            <w:rStyle w:val="Hyperlink"/>
          </w:rPr>
          <w:t>resources</w:t>
        </w:r>
      </w:hyperlink>
      <w:r w:rsidRPr="00232C60">
        <w:t xml:space="preserve"> </w:t>
      </w:r>
      <w:r w:rsidRPr="0017267B">
        <w:t>published</w:t>
      </w:r>
      <w:r w:rsidRPr="00232C60">
        <w:t xml:space="preserve"> by the Department of Finance that identif</w:t>
      </w:r>
      <w:r>
        <w:t xml:space="preserve">y and classify </w:t>
      </w:r>
      <w:r w:rsidRPr="00232C60">
        <w:t>PGPA Act entities.</w:t>
      </w:r>
    </w:p>
    <w:p w14:paraId="3F6FE8C3" w14:textId="77777777" w:rsidR="000E0490" w:rsidRDefault="000E0490" w:rsidP="000E0490">
      <w:pPr>
        <w:pStyle w:val="Heading2"/>
      </w:pPr>
      <w:bookmarkStart w:id="19" w:name="_Toc180688107"/>
      <w:bookmarkStart w:id="20" w:name="_Toc184822186"/>
      <w:r w:rsidRPr="0026129B">
        <w:t>Connection to Australia</w:t>
      </w:r>
      <w:bookmarkEnd w:id="19"/>
      <w:bookmarkEnd w:id="20"/>
    </w:p>
    <w:p w14:paraId="4341537C" w14:textId="77777777" w:rsidR="000E0490" w:rsidRPr="0026129B" w:rsidRDefault="000E0490" w:rsidP="00FF01AE">
      <w:pPr>
        <w:pStyle w:val="OutlineNumbered1"/>
        <w:ind w:left="567" w:hanging="567"/>
      </w:pPr>
      <w:r w:rsidRPr="006131FF">
        <w:t>An</w:t>
      </w:r>
      <w:r w:rsidRPr="0026129B">
        <w:t xml:space="preserve"> entity has a connection to Australia if it:</w:t>
      </w:r>
    </w:p>
    <w:p w14:paraId="3C2CA34C" w14:textId="77777777" w:rsidR="000E0490" w:rsidRPr="0026129B" w:rsidRDefault="000E0490" w:rsidP="00A771B7">
      <w:pPr>
        <w:pStyle w:val="OutlineNumberedDot"/>
        <w:ind w:left="851" w:hanging="284"/>
      </w:pPr>
      <w:r>
        <w:t>i</w:t>
      </w:r>
      <w:r w:rsidRPr="0026129B">
        <w:t>s incorporated in Australia</w:t>
      </w:r>
    </w:p>
    <w:p w14:paraId="17817FFD" w14:textId="77777777" w:rsidR="000E0490" w:rsidRPr="0026129B" w:rsidRDefault="000E0490" w:rsidP="00A771B7">
      <w:pPr>
        <w:pStyle w:val="OutlineNumberedDot"/>
        <w:ind w:left="851" w:hanging="284"/>
      </w:pPr>
      <w:r>
        <w:t>c</w:t>
      </w:r>
      <w:r w:rsidRPr="0026129B">
        <w:t xml:space="preserve">arries </w:t>
      </w:r>
      <w:r>
        <w:t>on a</w:t>
      </w:r>
      <w:r w:rsidRPr="0026129B">
        <w:t xml:space="preserve"> business in Australia</w:t>
      </w:r>
    </w:p>
    <w:p w14:paraId="5E17DD88" w14:textId="77777777" w:rsidR="000E0490" w:rsidRDefault="000E0490" w:rsidP="00A771B7">
      <w:pPr>
        <w:pStyle w:val="OutlineNumberedDot"/>
        <w:ind w:left="851" w:hanging="284"/>
      </w:pPr>
      <w:r>
        <w:t>h</w:t>
      </w:r>
      <w:r w:rsidRPr="0026129B">
        <w:t>as its central management and control in Australia, or</w:t>
      </w:r>
      <w:r>
        <w:t xml:space="preserve"> </w:t>
      </w:r>
    </w:p>
    <w:p w14:paraId="549A9554" w14:textId="77777777" w:rsidR="000E0490" w:rsidRPr="0026129B" w:rsidRDefault="000E0490" w:rsidP="00A771B7">
      <w:pPr>
        <w:pStyle w:val="OutlineNumberedDot"/>
        <w:ind w:left="851" w:hanging="284"/>
      </w:pPr>
      <w:r>
        <w:t>has i</w:t>
      </w:r>
      <w:r w:rsidRPr="002C6B71">
        <w:t>ts</w:t>
      </w:r>
      <w:r w:rsidRPr="0026129B">
        <w:t xml:space="preserve"> voting power controlled by Australian </w:t>
      </w:r>
      <w:r>
        <w:t xml:space="preserve">resident </w:t>
      </w:r>
      <w:r w:rsidRPr="0026129B">
        <w:t>shareholders.</w:t>
      </w:r>
    </w:p>
    <w:p w14:paraId="495F9912" w14:textId="4A661B5A" w:rsidR="000E0490" w:rsidRPr="0026129B" w:rsidRDefault="000E0490" w:rsidP="00A771B7">
      <w:pPr>
        <w:pStyle w:val="OutlineNumbered1"/>
        <w:ind w:left="567" w:hanging="567"/>
      </w:pPr>
      <w:r w:rsidRPr="0026129B">
        <w:t xml:space="preserve">Entities incorporated under the </w:t>
      </w:r>
      <w:r w:rsidRPr="00067FB3">
        <w:rPr>
          <w:bCs/>
          <w:iCs/>
        </w:rPr>
        <w:t>Corporations Act</w:t>
      </w:r>
      <w:r w:rsidRPr="00EA0A6E">
        <w:rPr>
          <w:bCs/>
          <w:i/>
        </w:rPr>
        <w:t xml:space="preserve"> </w:t>
      </w:r>
      <w:r w:rsidRPr="0026129B">
        <w:t>and corporate Commonwealth entities meet th</w:t>
      </w:r>
      <w:r>
        <w:t>e connection to Australia</w:t>
      </w:r>
      <w:r w:rsidRPr="0026129B">
        <w:t xml:space="preserve"> requirement</w:t>
      </w:r>
      <w:r>
        <w:t xml:space="preserve">. </w:t>
      </w:r>
    </w:p>
    <w:p w14:paraId="73803468" w14:textId="77777777" w:rsidR="000E0490" w:rsidRPr="00C90F0D" w:rsidRDefault="000E0490" w:rsidP="00A771B7">
      <w:pPr>
        <w:pStyle w:val="OutlineNumbered1"/>
        <w:ind w:left="567" w:hanging="567"/>
      </w:pPr>
      <w:r w:rsidRPr="00C90F0D">
        <w:t>An entity that is not incorporated in Australia may still have a connection to Australia. This connection exists if the entity:</w:t>
      </w:r>
    </w:p>
    <w:p w14:paraId="18677710" w14:textId="2D86EF76" w:rsidR="000E0490" w:rsidRPr="00C90F0D" w:rsidRDefault="000E0490" w:rsidP="00A771B7">
      <w:pPr>
        <w:pStyle w:val="OutlineNumberedDot"/>
        <w:ind w:left="851" w:hanging="284"/>
      </w:pPr>
      <w:r w:rsidRPr="00C90F0D">
        <w:t xml:space="preserve">is carrying on a business in Australia, as defined by the </w:t>
      </w:r>
      <w:r w:rsidRPr="00067FB3">
        <w:t>Corporations Act</w:t>
      </w:r>
      <w:r w:rsidRPr="00C90F0D">
        <w:t>. This includes:</w:t>
      </w:r>
    </w:p>
    <w:p w14:paraId="544F6F43" w14:textId="1F08D207" w:rsidR="000E0490" w:rsidRDefault="000E0490" w:rsidP="00F71867">
      <w:pPr>
        <w:pStyle w:val="OutlineNumberedDash"/>
        <w:numPr>
          <w:ilvl w:val="2"/>
          <w:numId w:val="12"/>
        </w:numPr>
        <w:ind w:left="1134" w:hanging="283"/>
      </w:pPr>
      <w:r w:rsidRPr="00C90F0D">
        <w:t>having a place of business in Australia</w:t>
      </w:r>
    </w:p>
    <w:p w14:paraId="0B5AA6CB" w14:textId="29203A06" w:rsidR="00F71867" w:rsidRDefault="00F71867" w:rsidP="00F71867">
      <w:pPr>
        <w:pStyle w:val="OutlineNumberedDash"/>
        <w:numPr>
          <w:ilvl w:val="2"/>
          <w:numId w:val="12"/>
        </w:numPr>
        <w:ind w:left="1134" w:hanging="283"/>
      </w:pPr>
      <w:r w:rsidRPr="00F71867">
        <w:lastRenderedPageBreak/>
        <w:t>having a share transfer office in Australia</w:t>
      </w:r>
    </w:p>
    <w:p w14:paraId="0193459E" w14:textId="141B0B52" w:rsidR="000E0490" w:rsidRPr="00C90F0D" w:rsidRDefault="000E0490" w:rsidP="007D5745">
      <w:pPr>
        <w:pStyle w:val="OutlineNumberedDash"/>
        <w:numPr>
          <w:ilvl w:val="2"/>
          <w:numId w:val="12"/>
        </w:numPr>
        <w:ind w:left="1134" w:hanging="283"/>
      </w:pPr>
      <w:r w:rsidRPr="00C90F0D">
        <w:t>administering, managing, or dealing with property in Australia (</w:t>
      </w:r>
      <w:r w:rsidR="000B378C">
        <w:t xml:space="preserve">section 21 of the </w:t>
      </w:r>
      <w:r w:rsidRPr="0074266A">
        <w:t>Corporations Act</w:t>
      </w:r>
      <w:r w:rsidRPr="00C90F0D">
        <w:t>), or</w:t>
      </w:r>
    </w:p>
    <w:p w14:paraId="09E27A0C" w14:textId="77777777" w:rsidR="000E0490" w:rsidRPr="00C90F0D" w:rsidRDefault="000E0490" w:rsidP="00A771B7">
      <w:pPr>
        <w:pStyle w:val="OutlineNumberedDot"/>
        <w:ind w:left="851" w:hanging="284"/>
      </w:pPr>
      <w:r w:rsidRPr="00C90F0D">
        <w:t xml:space="preserve">has central management and control in Australia or has its voting power controlled by Australian </w:t>
      </w:r>
      <w:r>
        <w:t xml:space="preserve">resident </w:t>
      </w:r>
      <w:r w:rsidRPr="00C90F0D">
        <w:t>shareholders.</w:t>
      </w:r>
    </w:p>
    <w:p w14:paraId="5070C1F3" w14:textId="77777777" w:rsidR="000E0490" w:rsidRPr="00C90F0D" w:rsidRDefault="000E0490" w:rsidP="00A771B7">
      <w:pPr>
        <w:pStyle w:val="OutlineNumbered1"/>
        <w:ind w:left="567" w:hanging="567"/>
      </w:pPr>
      <w:r w:rsidRPr="00C90F0D">
        <w:t xml:space="preserve">When </w:t>
      </w:r>
      <w:r>
        <w:t>assessing</w:t>
      </w:r>
      <w:r w:rsidRPr="00C90F0D">
        <w:t xml:space="preserve"> if an entity has a connection to Australia, the Regulator may consider:</w:t>
      </w:r>
    </w:p>
    <w:p w14:paraId="10CD7756" w14:textId="77777777" w:rsidR="000E0490" w:rsidRPr="00C90F0D" w:rsidRDefault="000E0490" w:rsidP="00A771B7">
      <w:pPr>
        <w:pStyle w:val="OutlineNumberedDot"/>
        <w:ind w:left="851" w:hanging="284"/>
      </w:pPr>
      <w:r w:rsidRPr="00C90F0D">
        <w:t>if the entity is incorporated under Australian law</w:t>
      </w:r>
      <w:r>
        <w:t>s</w:t>
      </w:r>
    </w:p>
    <w:p w14:paraId="3567D730" w14:textId="77477D37" w:rsidR="000E0490" w:rsidRPr="00C90F0D" w:rsidRDefault="000E0490" w:rsidP="00A771B7">
      <w:pPr>
        <w:pStyle w:val="OutlineNumberedDot"/>
        <w:ind w:left="851" w:hanging="284"/>
      </w:pPr>
      <w:r w:rsidRPr="00C90F0D">
        <w:t>whether the entity holds property</w:t>
      </w:r>
      <w:r w:rsidR="00295F4C">
        <w:t xml:space="preserve"> in Australia</w:t>
      </w:r>
      <w:r w:rsidRPr="00C90F0D">
        <w:t xml:space="preserve">, </w:t>
      </w:r>
      <w:r w:rsidR="00C55D85">
        <w:t xml:space="preserve">has entered into a </w:t>
      </w:r>
      <w:r w:rsidRPr="00C90F0D">
        <w:t>lease</w:t>
      </w:r>
      <w:r w:rsidR="00C55D85">
        <w:t xml:space="preserve"> in Australia</w:t>
      </w:r>
      <w:r w:rsidRPr="00C90F0D">
        <w:t>, or has a registered office in Australia</w:t>
      </w:r>
    </w:p>
    <w:p w14:paraId="6BB72813" w14:textId="77777777" w:rsidR="000E0490" w:rsidRDefault="000E0490" w:rsidP="00A771B7">
      <w:pPr>
        <w:pStyle w:val="OutlineNumberedDot"/>
        <w:ind w:left="851" w:hanging="284"/>
      </w:pPr>
      <w:r>
        <w:t>whether</w:t>
      </w:r>
      <w:r w:rsidRPr="00C90F0D">
        <w:t xml:space="preserve"> the entity is a tax resident in Australia</w:t>
      </w:r>
    </w:p>
    <w:p w14:paraId="6C89405C" w14:textId="77777777" w:rsidR="000E0490" w:rsidRDefault="000E0490" w:rsidP="00A771B7">
      <w:pPr>
        <w:pStyle w:val="OutlineNumberedDot"/>
        <w:ind w:left="851" w:hanging="284"/>
      </w:pPr>
      <w:r w:rsidRPr="00EA0A6E">
        <w:t>how</w:t>
      </w:r>
      <w:r>
        <w:t xml:space="preserve"> tax residency guidelines and</w:t>
      </w:r>
      <w:r w:rsidRPr="00EA0A6E">
        <w:t xml:space="preserve"> the central management and control test </w:t>
      </w:r>
      <w:r>
        <w:t>apply to the entity</w:t>
      </w:r>
      <w:r w:rsidRPr="00EA0A6E">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9064B3" w14:paraId="32B2DC10" w14:textId="77777777">
        <w:tc>
          <w:tcPr>
            <w:tcW w:w="5000" w:type="pct"/>
            <w:shd w:val="clear" w:color="auto" w:fill="EBF1F7"/>
          </w:tcPr>
          <w:p w14:paraId="6ED27BDE" w14:textId="1C293A44" w:rsidR="009064B3" w:rsidRPr="000553FE" w:rsidRDefault="009064B3">
            <w:pPr>
              <w:pStyle w:val="BoxHeading"/>
              <w:rPr>
                <w:b w:val="0"/>
              </w:rPr>
            </w:pPr>
            <w:r w:rsidRPr="009064B3">
              <w:t xml:space="preserve">Example </w:t>
            </w:r>
            <w:r w:rsidR="006638CB">
              <w:t>1</w:t>
            </w:r>
          </w:p>
          <w:p w14:paraId="1BE6DCB3" w14:textId="15AA1187" w:rsidR="009064B3" w:rsidRPr="00247BAC" w:rsidRDefault="009064B3">
            <w:pPr>
              <w:pStyle w:val="BoxHeading2-Blue"/>
            </w:pPr>
            <w:r w:rsidRPr="009064B3">
              <w:rPr>
                <w:rStyle w:val="Strong"/>
              </w:rPr>
              <w:t>Connection to Australia</w:t>
            </w:r>
          </w:p>
          <w:p w14:paraId="02AD8BFC" w14:textId="0F352607" w:rsidR="009064B3" w:rsidRPr="00C6678D" w:rsidRDefault="00E84969">
            <w:pPr>
              <w:pStyle w:val="BoxText"/>
              <w:rPr>
                <w:u w:val="single"/>
              </w:rPr>
            </w:pPr>
            <w:r w:rsidRPr="00C6678D">
              <w:rPr>
                <w:u w:val="single"/>
              </w:rPr>
              <w:t>Scenario 1:</w:t>
            </w:r>
          </w:p>
          <w:p w14:paraId="290631CD" w14:textId="3949CBCC" w:rsidR="00E84969" w:rsidRDefault="00E84969" w:rsidP="00F71867">
            <w:pPr>
              <w:pStyle w:val="BoxBullet"/>
              <w:numPr>
                <w:ilvl w:val="0"/>
                <w:numId w:val="0"/>
              </w:numPr>
            </w:pPr>
            <w:r w:rsidRPr="00E84969">
              <w:t xml:space="preserve">A company is incorporated as a ‘Limited’ company under the Corporations Act. </w:t>
            </w:r>
          </w:p>
          <w:p w14:paraId="56DFE490" w14:textId="5FBB767F" w:rsidR="009064B3" w:rsidRDefault="00E84969" w:rsidP="009064B3">
            <w:pPr>
              <w:pStyle w:val="BoxBullet"/>
              <w:ind w:left="284" w:hanging="284"/>
            </w:pPr>
            <w:r w:rsidRPr="00E84969">
              <w:t>The company has a connection to Australia</w:t>
            </w:r>
            <w:r w:rsidR="00BC2AFD">
              <w:t>.</w:t>
            </w:r>
          </w:p>
          <w:p w14:paraId="4F3FEE30" w14:textId="7E18E1F0" w:rsidR="000C2C73" w:rsidRPr="00C6678D" w:rsidRDefault="000C2C73" w:rsidP="000C2C73">
            <w:pPr>
              <w:pStyle w:val="BoxText"/>
              <w:rPr>
                <w:u w:val="single"/>
              </w:rPr>
            </w:pPr>
            <w:r w:rsidRPr="00C6678D">
              <w:rPr>
                <w:u w:val="single"/>
              </w:rPr>
              <w:t xml:space="preserve">Scenario </w:t>
            </w:r>
            <w:r>
              <w:rPr>
                <w:u w:val="single"/>
              </w:rPr>
              <w:t>2</w:t>
            </w:r>
            <w:r w:rsidRPr="00C6678D">
              <w:rPr>
                <w:u w:val="single"/>
              </w:rPr>
              <w:t>:</w:t>
            </w:r>
          </w:p>
          <w:p w14:paraId="21195DB0" w14:textId="77777777" w:rsidR="000C2C73" w:rsidRDefault="000C2C73" w:rsidP="00F71867">
            <w:pPr>
              <w:pStyle w:val="BoxBullet"/>
              <w:numPr>
                <w:ilvl w:val="0"/>
                <w:numId w:val="0"/>
              </w:numPr>
              <w:ind w:left="283" w:hanging="283"/>
            </w:pPr>
            <w:r w:rsidRPr="000C2C73">
              <w:t xml:space="preserve">A New Zealand incorporated company has an ABN and operating premises in Australia. </w:t>
            </w:r>
          </w:p>
          <w:p w14:paraId="62A17E0E" w14:textId="432A8BAC" w:rsidR="000C2C73" w:rsidRDefault="000C2C73" w:rsidP="000C2C73">
            <w:pPr>
              <w:pStyle w:val="BoxBullet"/>
              <w:ind w:left="284" w:hanging="284"/>
            </w:pPr>
            <w:r w:rsidRPr="000C2C73">
              <w:t>The company has a connection to Australia.</w:t>
            </w:r>
            <w:r w:rsidRPr="00E84969">
              <w:t xml:space="preserve"> </w:t>
            </w:r>
          </w:p>
          <w:p w14:paraId="5D5D14D6" w14:textId="49337647" w:rsidR="000C2C73" w:rsidRPr="00C6678D" w:rsidRDefault="000C2C73" w:rsidP="000C2C73">
            <w:pPr>
              <w:pStyle w:val="BoxText"/>
              <w:rPr>
                <w:u w:val="single"/>
              </w:rPr>
            </w:pPr>
            <w:r w:rsidRPr="00C6678D">
              <w:rPr>
                <w:u w:val="single"/>
              </w:rPr>
              <w:t xml:space="preserve">Scenario </w:t>
            </w:r>
            <w:r>
              <w:rPr>
                <w:u w:val="single"/>
              </w:rPr>
              <w:t>3</w:t>
            </w:r>
            <w:r w:rsidRPr="00C6678D">
              <w:rPr>
                <w:u w:val="single"/>
              </w:rPr>
              <w:t>:</w:t>
            </w:r>
          </w:p>
          <w:p w14:paraId="18FFD2BF" w14:textId="77777777" w:rsidR="000C2C73" w:rsidRDefault="000C2C73" w:rsidP="00F71867">
            <w:pPr>
              <w:pStyle w:val="BoxBullet"/>
              <w:numPr>
                <w:ilvl w:val="0"/>
                <w:numId w:val="0"/>
              </w:numPr>
              <w:ind w:hanging="4"/>
            </w:pPr>
            <w:r w:rsidRPr="000C2C73">
              <w:t xml:space="preserve">A Singapore based company listed on the ASX company has 55% of its voting share capital held by Australian residents. </w:t>
            </w:r>
          </w:p>
          <w:p w14:paraId="665053FC" w14:textId="0F009330" w:rsidR="009064B3" w:rsidRPr="008950C5" w:rsidRDefault="000C2C73" w:rsidP="000C2C73">
            <w:pPr>
              <w:pStyle w:val="BoxBullet"/>
              <w:ind w:left="284" w:hanging="284"/>
            </w:pPr>
            <w:r>
              <w:t>The company has a connection to Australia.</w:t>
            </w:r>
          </w:p>
        </w:tc>
      </w:tr>
    </w:tbl>
    <w:p w14:paraId="113277D4" w14:textId="089DD8C9" w:rsidR="000E0490" w:rsidRPr="00984D23" w:rsidRDefault="000E0490" w:rsidP="003860E3">
      <w:pPr>
        <w:pStyle w:val="Heading2"/>
      </w:pPr>
      <w:bookmarkStart w:id="21" w:name="_Toc180688108"/>
      <w:bookmarkStart w:id="22" w:name="_Toc184822187"/>
      <w:r w:rsidRPr="0026129B">
        <w:t xml:space="preserve">Revenue </w:t>
      </w:r>
      <w:r>
        <w:t>t</w:t>
      </w:r>
      <w:r w:rsidRPr="0026129B">
        <w:t>hreshold</w:t>
      </w:r>
      <w:bookmarkEnd w:id="21"/>
      <w:bookmarkEnd w:id="22"/>
    </w:p>
    <w:tbl>
      <w:tblPr>
        <w:tblpPr w:leftFromText="180" w:rightFromText="180" w:vertAnchor="text" w:horzAnchor="margin" w:tblpY="1487"/>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1867" w14:paraId="18DB7FC8" w14:textId="77777777" w:rsidTr="00F71867">
        <w:tc>
          <w:tcPr>
            <w:tcW w:w="5000" w:type="pct"/>
            <w:shd w:val="clear" w:color="auto" w:fill="FEF2E4" w:themeFill="accent5"/>
          </w:tcPr>
          <w:p w14:paraId="7CFE2E48" w14:textId="77777777" w:rsidR="00F71867" w:rsidRPr="000553FE" w:rsidRDefault="00F71867" w:rsidP="00F71867">
            <w:pPr>
              <w:pStyle w:val="BoxHeading"/>
              <w:spacing w:before="120"/>
              <w:rPr>
                <w:b w:val="0"/>
              </w:rPr>
            </w:pPr>
            <w:r>
              <w:t>Regulator Note</w:t>
            </w:r>
          </w:p>
          <w:p w14:paraId="3E428455" w14:textId="77777777" w:rsidR="00F71867" w:rsidRPr="008950C5" w:rsidRDefault="00F71867" w:rsidP="00F71867">
            <w:pPr>
              <w:pStyle w:val="BoxText"/>
            </w:pPr>
            <w:r w:rsidRPr="00BF4295">
              <w:t>Entities controlled by an entity for the purpose of measuring consolidated revenue are also controlled for the purpose of reporting</w:t>
            </w:r>
            <w:r>
              <w:t>.</w:t>
            </w:r>
          </w:p>
        </w:tc>
      </w:tr>
    </w:tbl>
    <w:p w14:paraId="582BCD91" w14:textId="09C3A63D" w:rsidR="000E0490" w:rsidRDefault="000E0490" w:rsidP="00907B8E">
      <w:pPr>
        <w:pStyle w:val="OutlineNumbered1"/>
        <w:spacing w:after="240"/>
        <w:ind w:left="567" w:hanging="567"/>
      </w:pPr>
      <w:r w:rsidRPr="00F73F72">
        <w:t xml:space="preserve">An entity meets the revenue threshold if it has consolidated revenue over $100 million. Consolidated revenue includes the </w:t>
      </w:r>
      <w:r w:rsidR="00A44AA0">
        <w:t xml:space="preserve">total </w:t>
      </w:r>
      <w:r w:rsidRPr="00F73F72">
        <w:t xml:space="preserve">revenue of the entity and any entities it controls, as per </w:t>
      </w:r>
      <w:r w:rsidRPr="00D51CE8">
        <w:t xml:space="preserve">the </w:t>
      </w:r>
      <w:r w:rsidR="00BF1357" w:rsidRPr="00053329">
        <w:t>AASB</w:t>
      </w:r>
      <w:r w:rsidRPr="00D51CE8">
        <w:t xml:space="preserve"> Accounting Standards published by the </w:t>
      </w:r>
      <w:r w:rsidR="00BF1357">
        <w:t>AASB</w:t>
      </w:r>
      <w:r>
        <w:t>.</w:t>
      </w:r>
    </w:p>
    <w:p w14:paraId="07D933A1" w14:textId="77777777" w:rsidR="000E0490" w:rsidRPr="00F73F72" w:rsidRDefault="000E0490" w:rsidP="000E0490">
      <w:pPr>
        <w:pStyle w:val="Heading3"/>
      </w:pPr>
      <w:bookmarkStart w:id="23" w:name="_Ref179826956"/>
      <w:bookmarkStart w:id="24" w:name="_Toc180688109"/>
      <w:bookmarkStart w:id="25" w:name="_Toc184822188"/>
      <w:r w:rsidRPr="00F73F72">
        <w:lastRenderedPageBreak/>
        <w:t>Identifying controlled entities</w:t>
      </w:r>
      <w:bookmarkEnd w:id="23"/>
      <w:bookmarkEnd w:id="24"/>
      <w:bookmarkEnd w:id="25"/>
    </w:p>
    <w:p w14:paraId="329E4EFA" w14:textId="77777777" w:rsidR="000E0490" w:rsidRPr="00F73F72" w:rsidRDefault="000E0490" w:rsidP="000E0490">
      <w:pPr>
        <w:pStyle w:val="Heading4"/>
      </w:pPr>
      <w:r w:rsidRPr="00F73F72">
        <w:t>AASB 10: Test for control</w:t>
      </w:r>
    </w:p>
    <w:p w14:paraId="4299254D" w14:textId="521E1EC3" w:rsidR="000E0490" w:rsidRDefault="000E0490" w:rsidP="009B39F5">
      <w:pPr>
        <w:pStyle w:val="OutlineNumbered1"/>
        <w:spacing w:before="120" w:after="240"/>
        <w:ind w:left="567" w:hanging="567"/>
      </w:pPr>
      <w:r w:rsidRPr="00F73F72">
        <w:t xml:space="preserve">The test for control under </w:t>
      </w:r>
      <w:r w:rsidRPr="00EA0A6E">
        <w:rPr>
          <w:i/>
        </w:rPr>
        <w:t>AASB 10</w:t>
      </w:r>
      <w:r w:rsidRPr="00EA0A6E">
        <w:rPr>
          <w:i/>
          <w:iCs/>
        </w:rPr>
        <w:t>: Consolidated Financial Statements</w:t>
      </w:r>
      <w:r>
        <w:t xml:space="preserve"> must</w:t>
      </w:r>
      <w:r w:rsidRPr="00F73F72">
        <w:t xml:space="preserve"> be used to identify which entities need </w:t>
      </w:r>
      <w:r>
        <w:t xml:space="preserve">to be </w:t>
      </w:r>
      <w:r w:rsidRPr="00F73F72">
        <w:t>consolidat</w:t>
      </w:r>
      <w:r>
        <w:t>ed to determine whether the entity meets the $100 million revenue threshold.</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C512FD" w14:paraId="5ECC6800" w14:textId="77777777">
        <w:tc>
          <w:tcPr>
            <w:tcW w:w="5000" w:type="pct"/>
            <w:shd w:val="clear" w:color="auto" w:fill="EBF1F7"/>
          </w:tcPr>
          <w:p w14:paraId="214E57AD" w14:textId="47C946BF" w:rsidR="00C512FD" w:rsidRPr="000553FE" w:rsidRDefault="00D10A9B" w:rsidP="00ED5B0B">
            <w:pPr>
              <w:pStyle w:val="BoxHeading"/>
              <w:spacing w:before="120"/>
              <w:rPr>
                <w:b w:val="0"/>
              </w:rPr>
            </w:pPr>
            <w:r>
              <w:t>Example</w:t>
            </w:r>
            <w:r w:rsidR="00E34CC4">
              <w:t xml:space="preserve"> 2</w:t>
            </w:r>
          </w:p>
          <w:p w14:paraId="219795A7" w14:textId="6D492C68" w:rsidR="00511C02" w:rsidRDefault="00511C02" w:rsidP="00511C02">
            <w:pPr>
              <w:pStyle w:val="BoxHeading2-Blue"/>
            </w:pPr>
            <w:r>
              <w:rPr>
                <w:rStyle w:val="Strong"/>
              </w:rPr>
              <w:t>Testing for control and impact on consolidated revenue</w:t>
            </w:r>
          </w:p>
          <w:p w14:paraId="35B56901" w14:textId="22E857F6" w:rsidR="00511C02" w:rsidRPr="00511C02" w:rsidRDefault="00511C02" w:rsidP="009B39F5">
            <w:pPr>
              <w:pStyle w:val="BoxText"/>
              <w:rPr>
                <w:u w:val="single"/>
              </w:rPr>
            </w:pPr>
            <w:r w:rsidRPr="00511C02">
              <w:rPr>
                <w:u w:val="single"/>
              </w:rPr>
              <w:t>Scenario 1</w:t>
            </w:r>
            <w:r>
              <w:rPr>
                <w:u w:val="single"/>
              </w:rPr>
              <w:t>:</w:t>
            </w:r>
          </w:p>
          <w:p w14:paraId="31348B49" w14:textId="77777777" w:rsidR="00D07D75" w:rsidRDefault="00511C02" w:rsidP="009B39F5">
            <w:pPr>
              <w:pStyle w:val="BoxBullet"/>
              <w:numPr>
                <w:ilvl w:val="0"/>
                <w:numId w:val="0"/>
              </w:numPr>
              <w:spacing w:before="120"/>
              <w:ind w:left="283" w:hanging="283"/>
            </w:pPr>
            <w:r>
              <w:t xml:space="preserve">An entity owns 100% of a company. </w:t>
            </w:r>
          </w:p>
          <w:p w14:paraId="424592B1" w14:textId="0DAC9749" w:rsidR="00511C02" w:rsidRDefault="00511C02" w:rsidP="009B39F5">
            <w:pPr>
              <w:pStyle w:val="BoxBullet"/>
              <w:spacing w:before="120"/>
            </w:pPr>
            <w:r>
              <w:t>The entity likely meets the criteria set out in paragraph 7 of AASB 10 and controls the company.</w:t>
            </w:r>
          </w:p>
          <w:p w14:paraId="2AC0E869" w14:textId="77777777" w:rsidR="00511C02" w:rsidRPr="00587CD7" w:rsidRDefault="00511C02" w:rsidP="009B39F5">
            <w:pPr>
              <w:pStyle w:val="BoxText"/>
              <w:rPr>
                <w:u w:val="single"/>
              </w:rPr>
            </w:pPr>
            <w:r w:rsidRPr="00511C02">
              <w:rPr>
                <w:u w:val="single"/>
              </w:rPr>
              <w:t>Scenario 2:</w:t>
            </w:r>
            <w:r w:rsidRPr="00587CD7">
              <w:rPr>
                <w:u w:val="single"/>
              </w:rPr>
              <w:t xml:space="preserve"> </w:t>
            </w:r>
          </w:p>
          <w:p w14:paraId="5E22A4E7" w14:textId="77777777" w:rsidR="00D07D75" w:rsidRDefault="00511C02" w:rsidP="009B39F5">
            <w:pPr>
              <w:pStyle w:val="BoxBullet"/>
              <w:numPr>
                <w:ilvl w:val="0"/>
                <w:numId w:val="0"/>
              </w:numPr>
              <w:spacing w:before="120"/>
              <w:ind w:left="283" w:hanging="283"/>
            </w:pPr>
            <w:r w:rsidRPr="00587CD7">
              <w:t xml:space="preserve">An entity owns 15% of a company with another shareholder holding the other 85%. </w:t>
            </w:r>
          </w:p>
          <w:p w14:paraId="02195F94" w14:textId="7A89B6EF" w:rsidR="00511C02" w:rsidRPr="00587CD7" w:rsidRDefault="00511C02" w:rsidP="009B39F5">
            <w:pPr>
              <w:pStyle w:val="BoxBullet"/>
              <w:spacing w:before="120"/>
            </w:pPr>
            <w:r w:rsidRPr="00587CD7">
              <w:t>It is unlikely the entity meets the criteria set out in paragraph 7 of AASB 10 and</w:t>
            </w:r>
            <w:r w:rsidR="00983CB9">
              <w:t xml:space="preserve"> therefore, is unlikely</w:t>
            </w:r>
            <w:r w:rsidR="00091EB8">
              <w:t xml:space="preserve"> that it</w:t>
            </w:r>
            <w:r w:rsidRPr="00587CD7">
              <w:t xml:space="preserve"> control</w:t>
            </w:r>
            <w:r w:rsidR="00091EB8">
              <w:t>s</w:t>
            </w:r>
            <w:r w:rsidRPr="00587CD7">
              <w:t xml:space="preserve"> the company.</w:t>
            </w:r>
          </w:p>
          <w:p w14:paraId="135FAF6A" w14:textId="77777777" w:rsidR="00587CD7" w:rsidRDefault="00511C02" w:rsidP="009B39F5">
            <w:pPr>
              <w:pStyle w:val="BoxBullet"/>
              <w:numPr>
                <w:ilvl w:val="0"/>
                <w:numId w:val="0"/>
              </w:numPr>
              <w:spacing w:before="120"/>
              <w:ind w:left="283" w:hanging="283"/>
            </w:pPr>
            <w:r w:rsidRPr="00511C02">
              <w:rPr>
                <w:u w:val="single"/>
              </w:rPr>
              <w:t>Scenario 3:</w:t>
            </w:r>
            <w:r>
              <w:t xml:space="preserve"> </w:t>
            </w:r>
          </w:p>
          <w:p w14:paraId="326B4054" w14:textId="77777777" w:rsidR="00D07D75" w:rsidRDefault="00511C02" w:rsidP="009B39F5">
            <w:pPr>
              <w:pStyle w:val="BoxBullet"/>
              <w:numPr>
                <w:ilvl w:val="0"/>
                <w:numId w:val="0"/>
              </w:numPr>
              <w:spacing w:before="120"/>
            </w:pPr>
            <w:r>
              <w:t xml:space="preserve">An entity owns 40% of a company, is the largest shareholder and controls most board seats of that company. </w:t>
            </w:r>
          </w:p>
          <w:p w14:paraId="1BD9421E" w14:textId="77777777" w:rsidR="00C512FD" w:rsidRDefault="00511C02" w:rsidP="009B39F5">
            <w:pPr>
              <w:pStyle w:val="BoxBullet"/>
              <w:spacing w:before="120"/>
            </w:pPr>
            <w:r>
              <w:t>It is likely the entity meets the criteria set out in paragraph 7 of AASB 10 and controls the company.</w:t>
            </w:r>
          </w:p>
          <w:p w14:paraId="3D0C46A3" w14:textId="7F55119E" w:rsidR="00206174" w:rsidRDefault="00206174" w:rsidP="009B39F5">
            <w:pPr>
              <w:pStyle w:val="BoxBullet"/>
              <w:numPr>
                <w:ilvl w:val="0"/>
                <w:numId w:val="0"/>
              </w:numPr>
              <w:spacing w:before="120"/>
              <w:ind w:left="283" w:hanging="283"/>
            </w:pPr>
            <w:r w:rsidRPr="00511C02">
              <w:rPr>
                <w:u w:val="single"/>
              </w:rPr>
              <w:t xml:space="preserve">Scenario </w:t>
            </w:r>
            <w:r>
              <w:rPr>
                <w:u w:val="single"/>
              </w:rPr>
              <w:t>4</w:t>
            </w:r>
            <w:r w:rsidRPr="00511C02">
              <w:rPr>
                <w:u w:val="single"/>
              </w:rPr>
              <w:t>:</w:t>
            </w:r>
            <w:r>
              <w:t xml:space="preserve"> </w:t>
            </w:r>
          </w:p>
          <w:p w14:paraId="1AFEC1F2" w14:textId="73A33B80" w:rsidR="00206174" w:rsidRDefault="00206174" w:rsidP="009B39F5">
            <w:pPr>
              <w:pStyle w:val="BoxBullet"/>
              <w:numPr>
                <w:ilvl w:val="0"/>
                <w:numId w:val="0"/>
              </w:numPr>
              <w:spacing w:before="120"/>
            </w:pPr>
            <w:r>
              <w:t xml:space="preserve">An entity is </w:t>
            </w:r>
            <w:r w:rsidR="0092512E">
              <w:t xml:space="preserve">the Responsible Entity of a Managed Investment </w:t>
            </w:r>
            <w:r w:rsidR="001D1FE0">
              <w:t>Fund</w:t>
            </w:r>
            <w:r w:rsidR="000C7049">
              <w:t>, acting in a fiduciary capacity for the benefit of investors in the fund.</w:t>
            </w:r>
            <w:r w:rsidR="00A13B81">
              <w:t xml:space="preserve"> The entity does not have substantial </w:t>
            </w:r>
            <w:r w:rsidR="002750CF">
              <w:t>exposure to the fund’s variable returns.</w:t>
            </w:r>
          </w:p>
          <w:p w14:paraId="500C1761" w14:textId="4AECD319" w:rsidR="00F71867" w:rsidRDefault="00206174" w:rsidP="009B39F5">
            <w:pPr>
              <w:pStyle w:val="BoxBullet"/>
              <w:spacing w:before="120"/>
            </w:pPr>
            <w:r>
              <w:t xml:space="preserve">It is </w:t>
            </w:r>
            <w:r w:rsidR="000E06A9">
              <w:t xml:space="preserve">unlikely </w:t>
            </w:r>
            <w:r>
              <w:t>the entity meets the criteria set out in paragraph 7 of AASB 10 and</w:t>
            </w:r>
            <w:r w:rsidR="00134F70">
              <w:t xml:space="preserve"> therefore, is unlikely t</w:t>
            </w:r>
            <w:r w:rsidR="00091EB8">
              <w:t>hat it</w:t>
            </w:r>
            <w:r>
              <w:t xml:space="preserve"> control</w:t>
            </w:r>
            <w:r w:rsidR="00091EB8">
              <w:t>s</w:t>
            </w:r>
            <w:r>
              <w:t xml:space="preserve"> the </w:t>
            </w:r>
            <w:r w:rsidR="000E06A9">
              <w:t>Managed Investme</w:t>
            </w:r>
            <w:r w:rsidR="00901AEB">
              <w:t xml:space="preserve">nt </w:t>
            </w:r>
            <w:r w:rsidR="002750CF">
              <w:t>Fund.</w:t>
            </w:r>
            <w:r w:rsidR="00BC287A">
              <w:t xml:space="preserve"> </w:t>
            </w:r>
          </w:p>
          <w:p w14:paraId="2EBB3426" w14:textId="6D1815E0" w:rsidR="00206174" w:rsidRPr="008950C5" w:rsidRDefault="00BC287A" w:rsidP="009B39F5">
            <w:pPr>
              <w:pStyle w:val="BoxBullet"/>
              <w:spacing w:before="120"/>
            </w:pPr>
            <w:r>
              <w:t>The Managed Investment Fund needs to undertake a separate process to determine if it meets relevant criteria to be a reporting entity in its own right.</w:t>
            </w:r>
          </w:p>
        </w:tc>
      </w:tr>
    </w:tbl>
    <w:p w14:paraId="0654A058" w14:textId="77777777" w:rsidR="000E0490" w:rsidRPr="00F73F72" w:rsidRDefault="000E0490" w:rsidP="000E0490">
      <w:pPr>
        <w:pStyle w:val="Heading4"/>
      </w:pPr>
      <w:r w:rsidRPr="00F73F72">
        <w:t>Using financial statements</w:t>
      </w:r>
    </w:p>
    <w:p w14:paraId="77980517" w14:textId="77777777" w:rsidR="000E0490" w:rsidRPr="00F73F72" w:rsidRDefault="000E0490" w:rsidP="00553B42">
      <w:pPr>
        <w:pStyle w:val="OutlineNumbered1"/>
        <w:ind w:left="567" w:hanging="567"/>
      </w:pPr>
      <w:r w:rsidRPr="00F73F72">
        <w:t xml:space="preserve">While </w:t>
      </w:r>
      <w:r>
        <w:t xml:space="preserve">the </w:t>
      </w:r>
      <w:r w:rsidRPr="00EA0A6E">
        <w:rPr>
          <w:i/>
          <w:iCs/>
        </w:rPr>
        <w:t>AASB 10</w:t>
      </w:r>
      <w:r w:rsidRPr="00F73F72">
        <w:t xml:space="preserve"> control test</w:t>
      </w:r>
      <w:r>
        <w:t xml:space="preserve"> must be followed</w:t>
      </w:r>
      <w:r w:rsidRPr="00F73F72">
        <w:t xml:space="preserve">, financial statements </w:t>
      </w:r>
      <w:r>
        <w:t>can also</w:t>
      </w:r>
      <w:r w:rsidRPr="00F73F72">
        <w:t xml:space="preserve"> show whether an entity is controlled. For example:</w:t>
      </w:r>
    </w:p>
    <w:p w14:paraId="1E083B3E" w14:textId="77777777" w:rsidR="000E0490" w:rsidRPr="00F73F72" w:rsidRDefault="000E0490" w:rsidP="0003178A">
      <w:pPr>
        <w:pStyle w:val="OutlineNumberedDot"/>
        <w:ind w:left="851" w:hanging="284"/>
      </w:pPr>
      <w:r w:rsidRPr="00F73F72">
        <w:t xml:space="preserve">Entities that are ‘fully consolidated’ </w:t>
      </w:r>
      <w:r>
        <w:t xml:space="preserve">may indicate </w:t>
      </w:r>
      <w:r w:rsidRPr="00F73F72">
        <w:t>control.</w:t>
      </w:r>
    </w:p>
    <w:p w14:paraId="3CD584FA" w14:textId="77777777" w:rsidR="000E0490" w:rsidRPr="00F73F72" w:rsidRDefault="000E0490" w:rsidP="0003178A">
      <w:pPr>
        <w:pStyle w:val="OutlineNumberedDot"/>
        <w:ind w:left="851" w:hanging="284"/>
      </w:pPr>
      <w:r w:rsidRPr="00F73F72">
        <w:t xml:space="preserve">Entities accounted for using the equity method </w:t>
      </w:r>
      <w:r>
        <w:t>may indicate no control</w:t>
      </w:r>
      <w:r w:rsidRPr="00F73F72">
        <w:t>.</w:t>
      </w:r>
    </w:p>
    <w:p w14:paraId="665B4149" w14:textId="77777777" w:rsidR="000E0490" w:rsidRDefault="000E0490" w:rsidP="00553B42">
      <w:pPr>
        <w:pStyle w:val="OutlineNumbered1"/>
        <w:ind w:left="567" w:hanging="567"/>
      </w:pPr>
      <w:r>
        <w:t>When assessing whether Entity A controls Entity B, the Regulator may consider how Entity B is reported in Entity A’s financial statements.</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2750CF" w14:paraId="75D8D659" w14:textId="77777777">
        <w:tc>
          <w:tcPr>
            <w:tcW w:w="5000" w:type="pct"/>
            <w:shd w:val="clear" w:color="auto" w:fill="EBF1F7"/>
          </w:tcPr>
          <w:p w14:paraId="694416C0" w14:textId="26DEC7A9" w:rsidR="002750CF" w:rsidRPr="000553FE" w:rsidRDefault="002750CF">
            <w:pPr>
              <w:pStyle w:val="BoxHeading"/>
              <w:rPr>
                <w:b w:val="0"/>
              </w:rPr>
            </w:pPr>
            <w:r>
              <w:lastRenderedPageBreak/>
              <w:t>Example</w:t>
            </w:r>
            <w:r w:rsidR="00E34CC4">
              <w:t xml:space="preserve"> 3</w:t>
            </w:r>
          </w:p>
          <w:p w14:paraId="7429B6B0" w14:textId="3E3F3262" w:rsidR="002750CF" w:rsidRPr="00247BAC" w:rsidRDefault="00790434">
            <w:pPr>
              <w:pStyle w:val="BoxHeading2-Blue"/>
            </w:pPr>
            <w:r>
              <w:rPr>
                <w:rStyle w:val="Strong"/>
              </w:rPr>
              <w:t>Trusts</w:t>
            </w:r>
            <w:r w:rsidR="001A5506">
              <w:rPr>
                <w:rStyle w:val="Strong"/>
              </w:rPr>
              <w:t xml:space="preserve"> – beneficial and </w:t>
            </w:r>
            <w:r w:rsidR="005404AB">
              <w:rPr>
                <w:rStyle w:val="Strong"/>
              </w:rPr>
              <w:t>legal</w:t>
            </w:r>
            <w:r w:rsidR="001A5506">
              <w:rPr>
                <w:rStyle w:val="Strong"/>
              </w:rPr>
              <w:t xml:space="preserve"> </w:t>
            </w:r>
            <w:r w:rsidR="001A1E36">
              <w:rPr>
                <w:rStyle w:val="Strong"/>
              </w:rPr>
              <w:t>ownership</w:t>
            </w:r>
          </w:p>
          <w:p w14:paraId="35F4E0FD" w14:textId="77777777" w:rsidR="00BC5A6E" w:rsidRDefault="00CF0A4D" w:rsidP="002750CF">
            <w:pPr>
              <w:pStyle w:val="BoxBullet"/>
              <w:numPr>
                <w:ilvl w:val="0"/>
                <w:numId w:val="0"/>
              </w:numPr>
            </w:pPr>
            <w:r w:rsidRPr="007D5745">
              <w:rPr>
                <w:u w:val="single"/>
              </w:rPr>
              <w:t>Scenario 1</w:t>
            </w:r>
            <w:r w:rsidR="00BF6550" w:rsidRPr="007D5745">
              <w:rPr>
                <w:u w:val="single"/>
              </w:rPr>
              <w:t>:</w:t>
            </w:r>
            <w:r>
              <w:t xml:space="preserve"> </w:t>
            </w:r>
          </w:p>
          <w:p w14:paraId="7380E8F2" w14:textId="49149715" w:rsidR="00790434" w:rsidRDefault="002750CF" w:rsidP="002750CF">
            <w:pPr>
              <w:pStyle w:val="BoxBullet"/>
              <w:numPr>
                <w:ilvl w:val="0"/>
                <w:numId w:val="0"/>
              </w:numPr>
            </w:pPr>
            <w:r w:rsidRPr="00264841">
              <w:t xml:space="preserve">A </w:t>
            </w:r>
            <w:r w:rsidR="00B222FF">
              <w:t>company</w:t>
            </w:r>
            <w:r w:rsidRPr="00264841">
              <w:t xml:space="preserve"> </w:t>
            </w:r>
            <w:r w:rsidR="003767C5">
              <w:t xml:space="preserve">legally and </w:t>
            </w:r>
            <w:r w:rsidR="00F14F70">
              <w:t xml:space="preserve">beneficially </w:t>
            </w:r>
            <w:r>
              <w:t>holds</w:t>
            </w:r>
            <w:r w:rsidRPr="00264841">
              <w:t xml:space="preserve"> </w:t>
            </w:r>
            <w:r>
              <w:t xml:space="preserve">100% of units in a unit trust. The unit trust is fully consolidated in the </w:t>
            </w:r>
            <w:r w:rsidR="00790434">
              <w:t>company’s</w:t>
            </w:r>
            <w:r>
              <w:t xml:space="preserve"> consolidated financial statements</w:t>
            </w:r>
            <w:r w:rsidR="00B222FF">
              <w:t>.</w:t>
            </w:r>
            <w:r>
              <w:t xml:space="preserve"> </w:t>
            </w:r>
          </w:p>
          <w:p w14:paraId="4DDCB94B" w14:textId="7692C46A" w:rsidR="002750CF" w:rsidRDefault="00790434" w:rsidP="00790434">
            <w:pPr>
              <w:pStyle w:val="BoxBullet"/>
            </w:pPr>
            <w:r w:rsidRPr="00790434">
              <w:t xml:space="preserve">Full consolidation of the trust in its consolidated financial statements indicates the </w:t>
            </w:r>
            <w:r w:rsidR="00CD77A2">
              <w:t>unit trust is controlled by the company under</w:t>
            </w:r>
            <w:r w:rsidRPr="00790434">
              <w:t xml:space="preserve"> AASB 10 </w:t>
            </w:r>
            <w:r w:rsidR="00CD77A2">
              <w:t>and</w:t>
            </w:r>
            <w:r w:rsidRPr="00790434">
              <w:t xml:space="preserve"> must be consolidated for the purposes of the Act.</w:t>
            </w:r>
          </w:p>
          <w:p w14:paraId="0A257A51" w14:textId="77777777" w:rsidR="00BC5A6E" w:rsidRDefault="00BF6550">
            <w:pPr>
              <w:pStyle w:val="BoxBullet"/>
              <w:numPr>
                <w:ilvl w:val="0"/>
                <w:numId w:val="0"/>
              </w:numPr>
            </w:pPr>
            <w:r w:rsidRPr="00BD390E">
              <w:rPr>
                <w:u w:val="single"/>
              </w:rPr>
              <w:t xml:space="preserve">Scenario </w:t>
            </w:r>
            <w:r>
              <w:rPr>
                <w:u w:val="single"/>
              </w:rPr>
              <w:t>2</w:t>
            </w:r>
            <w:r w:rsidRPr="00BD390E">
              <w:rPr>
                <w:u w:val="single"/>
              </w:rPr>
              <w:t>:</w:t>
            </w:r>
            <w:r>
              <w:t xml:space="preserve"> </w:t>
            </w:r>
          </w:p>
          <w:p w14:paraId="0099AEC5" w14:textId="545EC5E1" w:rsidR="00CD77A2" w:rsidRDefault="00BF6550" w:rsidP="00BC5A6E">
            <w:pPr>
              <w:pStyle w:val="BoxBullet"/>
              <w:numPr>
                <w:ilvl w:val="0"/>
                <w:numId w:val="0"/>
              </w:numPr>
            </w:pPr>
            <w:r w:rsidRPr="00264841">
              <w:t xml:space="preserve">A </w:t>
            </w:r>
            <w:r>
              <w:t>company</w:t>
            </w:r>
            <w:r w:rsidRPr="00264841">
              <w:t xml:space="preserve"> </w:t>
            </w:r>
            <w:r w:rsidR="003767C5">
              <w:t>legally</w:t>
            </w:r>
            <w:r w:rsidR="00CD77A2">
              <w:t xml:space="preserve"> </w:t>
            </w:r>
            <w:r>
              <w:t>holds</w:t>
            </w:r>
            <w:r w:rsidRPr="00264841">
              <w:t xml:space="preserve"> </w:t>
            </w:r>
            <w:r>
              <w:t>100% of units in a unit trust on behalf</w:t>
            </w:r>
            <w:r w:rsidR="000744D6">
              <w:t xml:space="preserve"> of</w:t>
            </w:r>
            <w:r w:rsidR="00CD77A2">
              <w:t xml:space="preserve"> other entities</w:t>
            </w:r>
            <w:r>
              <w:t>. The unit trust is</w:t>
            </w:r>
            <w:r w:rsidR="00DF5E0C">
              <w:t xml:space="preserve"> not</w:t>
            </w:r>
            <w:r>
              <w:t xml:space="preserve"> consolidated in the company’s consolidated financial statements. </w:t>
            </w:r>
          </w:p>
          <w:p w14:paraId="29B37890" w14:textId="3D18EAA3" w:rsidR="00CF0A4D" w:rsidRDefault="00CD77A2" w:rsidP="00CD77A2">
            <w:pPr>
              <w:pStyle w:val="BoxBullet"/>
            </w:pPr>
            <w:r w:rsidRPr="00CD77A2">
              <w:t xml:space="preserve">The </w:t>
            </w:r>
            <w:r>
              <w:t>unit trust</w:t>
            </w:r>
            <w:r w:rsidRPr="00CD77A2">
              <w:t xml:space="preserve"> is not controlled</w:t>
            </w:r>
            <w:r>
              <w:t xml:space="preserve"> by the </w:t>
            </w:r>
            <w:r w:rsidR="00BC5A6E">
              <w:t>c</w:t>
            </w:r>
            <w:r>
              <w:t>ompany</w:t>
            </w:r>
            <w:r w:rsidRPr="00CD77A2">
              <w:t xml:space="preserve"> under AASB 10 and not consolidated for the purposes of the Act.</w:t>
            </w:r>
          </w:p>
          <w:p w14:paraId="66701B6B" w14:textId="390611E2" w:rsidR="002750CF" w:rsidRPr="008950C5" w:rsidRDefault="00CD77A2" w:rsidP="007D5745">
            <w:pPr>
              <w:pStyle w:val="BoxBullet"/>
            </w:pPr>
            <w:r>
              <w:t>The trust needs to undertake a separate process to determine if it meets relevant criteria to be a reporting entity in its own right.</w:t>
            </w:r>
          </w:p>
        </w:tc>
      </w:tr>
    </w:tbl>
    <w:p w14:paraId="24459FC7" w14:textId="77777777" w:rsidR="006644A3" w:rsidRDefault="006644A3" w:rsidP="006644A3">
      <w:pPr>
        <w:pStyle w:val="OutlineNumbered1"/>
        <w:numPr>
          <w:ilvl w:val="0"/>
          <w:numId w:val="0"/>
        </w:numPr>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03178A" w14:paraId="2C50BF36" w14:textId="77777777">
        <w:tc>
          <w:tcPr>
            <w:tcW w:w="5000" w:type="pct"/>
            <w:shd w:val="clear" w:color="auto" w:fill="EBF1F7"/>
          </w:tcPr>
          <w:p w14:paraId="0994A91B" w14:textId="536C7443" w:rsidR="0003178A" w:rsidRPr="000553FE" w:rsidRDefault="004C628C" w:rsidP="00E1790E">
            <w:pPr>
              <w:pStyle w:val="BoxHeading"/>
              <w:spacing w:before="120"/>
              <w:rPr>
                <w:b w:val="0"/>
              </w:rPr>
            </w:pPr>
            <w:r>
              <w:t>Example</w:t>
            </w:r>
            <w:r w:rsidR="00E34CC4">
              <w:t xml:space="preserve"> 4</w:t>
            </w:r>
          </w:p>
          <w:p w14:paraId="272826E9" w14:textId="5DE67844" w:rsidR="0003178A" w:rsidRPr="00247BAC" w:rsidRDefault="004C628C">
            <w:pPr>
              <w:pStyle w:val="BoxHeading2-Blue"/>
            </w:pPr>
            <w:r>
              <w:rPr>
                <w:rStyle w:val="Strong"/>
              </w:rPr>
              <w:t>Stapled securities</w:t>
            </w:r>
          </w:p>
          <w:p w14:paraId="25187793" w14:textId="77777777" w:rsidR="00B03863" w:rsidRDefault="004C628C" w:rsidP="00790434">
            <w:pPr>
              <w:pStyle w:val="BoxBullet"/>
              <w:numPr>
                <w:ilvl w:val="0"/>
                <w:numId w:val="0"/>
              </w:numPr>
              <w:ind w:left="283" w:hanging="283"/>
            </w:pPr>
            <w:r>
              <w:t xml:space="preserve">A company is a trustee of a unit trust in a stapled security structure. </w:t>
            </w:r>
          </w:p>
          <w:p w14:paraId="12E99F08" w14:textId="704F1654" w:rsidR="004C628C" w:rsidRDefault="004C628C" w:rsidP="00790434">
            <w:pPr>
              <w:pStyle w:val="BoxBullet"/>
              <w:numPr>
                <w:ilvl w:val="0"/>
                <w:numId w:val="0"/>
              </w:numPr>
              <w:ind w:left="1" w:hanging="1"/>
            </w:pPr>
            <w:r>
              <w:t>The company prepares consolidated financial statements and for that purpose, must consolidate the activities undertaken on behalf of the trust because it meets the control test in AASB 10.</w:t>
            </w:r>
          </w:p>
          <w:p w14:paraId="3DE8F020" w14:textId="3522743B" w:rsidR="0003178A" w:rsidRPr="008950C5" w:rsidRDefault="004C628C" w:rsidP="004C628C">
            <w:pPr>
              <w:pStyle w:val="BoxBullet"/>
            </w:pPr>
            <w:r>
              <w:t>Full consolidation of the trust in its consolidated financial statements indicate</w:t>
            </w:r>
            <w:r w:rsidR="00FF0EBB">
              <w:t>s</w:t>
            </w:r>
            <w:r>
              <w:t xml:space="preserve"> the control test in AASB 10 has been met and the trust, and activities taken on behalf of the trust, must be consolidated for the purposes of the Act.</w:t>
            </w:r>
          </w:p>
        </w:tc>
      </w:tr>
    </w:tbl>
    <w:tbl>
      <w:tblPr>
        <w:tblpPr w:leftFromText="180" w:rightFromText="180" w:vertAnchor="text" w:horzAnchor="margin" w:tblpY="1303"/>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CE0361" w14:paraId="665AB51F" w14:textId="77777777" w:rsidTr="00CE0361">
        <w:tc>
          <w:tcPr>
            <w:tcW w:w="5000" w:type="pct"/>
            <w:shd w:val="clear" w:color="auto" w:fill="EBF1F7"/>
          </w:tcPr>
          <w:p w14:paraId="4BD6DC27" w14:textId="5731608C" w:rsidR="00CE0361" w:rsidRPr="000553FE" w:rsidRDefault="00CE0361" w:rsidP="00CE0361">
            <w:pPr>
              <w:pStyle w:val="BoxHeading"/>
              <w:spacing w:before="120"/>
              <w:rPr>
                <w:b w:val="0"/>
              </w:rPr>
            </w:pPr>
            <w:r>
              <w:t>Example</w:t>
            </w:r>
            <w:r w:rsidR="00E34CC4">
              <w:t xml:space="preserve"> 5</w:t>
            </w:r>
          </w:p>
          <w:p w14:paraId="0CC8AB1F" w14:textId="77777777" w:rsidR="00CE0361" w:rsidRPr="00247BAC" w:rsidRDefault="00CE0361" w:rsidP="00CE0361">
            <w:pPr>
              <w:pStyle w:val="BoxHeading2-Blue"/>
            </w:pPr>
            <w:r>
              <w:rPr>
                <w:rStyle w:val="Strong"/>
              </w:rPr>
              <w:t>Consolidated IFRS financial statements</w:t>
            </w:r>
          </w:p>
          <w:p w14:paraId="09598DC5" w14:textId="77777777" w:rsidR="00CE0361" w:rsidRDefault="00CE0361" w:rsidP="00CE0361">
            <w:pPr>
              <w:pStyle w:val="BoxDash"/>
              <w:numPr>
                <w:ilvl w:val="0"/>
                <w:numId w:val="0"/>
              </w:numPr>
            </w:pPr>
            <w:r>
              <w:t xml:space="preserve">An Australian company listed on a foreign exchange prepares financial statements in accordance with IFRS. </w:t>
            </w:r>
          </w:p>
          <w:p w14:paraId="4BA0794F" w14:textId="77777777" w:rsidR="00CE0361" w:rsidRPr="008950C5" w:rsidRDefault="00CE0361" w:rsidP="00CE0361">
            <w:pPr>
              <w:pStyle w:val="BoxDash"/>
              <w:numPr>
                <w:ilvl w:val="0"/>
                <w:numId w:val="0"/>
              </w:numPr>
            </w:pPr>
            <w:r>
              <w:t>The company may use its IFRS financial statements to assist in identifying controlled entities without needing to reassess under AASBs because the test for control under the two standards is equivalent.</w:t>
            </w:r>
          </w:p>
        </w:tc>
      </w:tr>
    </w:tbl>
    <w:p w14:paraId="00D18012" w14:textId="3E514385" w:rsidR="000E0490" w:rsidRDefault="000E0490" w:rsidP="00BC5A6E">
      <w:pPr>
        <w:pStyle w:val="OutlineNumbered1"/>
        <w:spacing w:before="240"/>
        <w:ind w:left="567" w:hanging="567"/>
      </w:pPr>
      <w:r>
        <w:t>F</w:t>
      </w:r>
      <w:r w:rsidRPr="00EA0A6E">
        <w:t xml:space="preserve">inancial statements </w:t>
      </w:r>
      <w:r>
        <w:t xml:space="preserve">prepared </w:t>
      </w:r>
      <w:r w:rsidRPr="00EA0A6E">
        <w:t xml:space="preserve">using other accounting standards </w:t>
      </w:r>
      <w:r>
        <w:t>may assist to identify controlled entities</w:t>
      </w:r>
      <w:r w:rsidRPr="00EA0A6E">
        <w:t>. Statements prepared as per</w:t>
      </w:r>
      <w:r>
        <w:t xml:space="preserve"> the</w:t>
      </w:r>
      <w:r w:rsidRPr="00EA0A6E">
        <w:t xml:space="preserve"> </w:t>
      </w:r>
      <w:r w:rsidRPr="007E19D9">
        <w:t>IFRS</w:t>
      </w:r>
      <w:r>
        <w:t>,</w:t>
      </w:r>
      <w:r w:rsidRPr="00EA0A6E">
        <w:t xml:space="preserve"> or </w:t>
      </w:r>
      <w:r>
        <w:t xml:space="preserve">statements </w:t>
      </w:r>
      <w:r w:rsidRPr="00EA0A6E">
        <w:t>that are consistent with IFRS</w:t>
      </w:r>
      <w:r>
        <w:t>,</w:t>
      </w:r>
      <w:r w:rsidRPr="00EA0A6E">
        <w:t xml:space="preserve"> can generally be used.</w:t>
      </w:r>
    </w:p>
    <w:p w14:paraId="5E854DD6" w14:textId="4C179DBD" w:rsidR="000E0490" w:rsidRPr="00F73F72" w:rsidRDefault="000E0490" w:rsidP="000E0490">
      <w:pPr>
        <w:pStyle w:val="Heading4"/>
      </w:pPr>
      <w:r w:rsidRPr="00F73F72">
        <w:lastRenderedPageBreak/>
        <w:t xml:space="preserve">Foreign </w:t>
      </w:r>
      <w:r>
        <w:t xml:space="preserve">controlled </w:t>
      </w:r>
      <w:r w:rsidRPr="00F73F72">
        <w:t>entities</w:t>
      </w:r>
    </w:p>
    <w:tbl>
      <w:tblPr>
        <w:tblpPr w:leftFromText="180" w:rightFromText="180" w:vertAnchor="text" w:horzAnchor="margin" w:tblpY="1104"/>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A18F8" w14:paraId="5CEF5D6E" w14:textId="77777777" w:rsidTr="00AA18F8">
        <w:tc>
          <w:tcPr>
            <w:tcW w:w="5000" w:type="pct"/>
            <w:shd w:val="clear" w:color="auto" w:fill="EBF1F7"/>
          </w:tcPr>
          <w:p w14:paraId="7902DF2B" w14:textId="3408F801" w:rsidR="00AA18F8" w:rsidRPr="000553FE" w:rsidRDefault="00AA18F8" w:rsidP="00AA18F8">
            <w:pPr>
              <w:pStyle w:val="BoxHeading"/>
              <w:spacing w:before="120"/>
              <w:rPr>
                <w:b w:val="0"/>
              </w:rPr>
            </w:pPr>
            <w:r>
              <w:t>Example</w:t>
            </w:r>
            <w:r w:rsidR="00E34CC4">
              <w:t xml:space="preserve"> 6</w:t>
            </w:r>
          </w:p>
          <w:p w14:paraId="7E3863A9" w14:textId="52DA3070" w:rsidR="00AA18F8" w:rsidRPr="00247BAC" w:rsidRDefault="00AA18F8" w:rsidP="00AA18F8">
            <w:pPr>
              <w:pStyle w:val="BoxHeading2-Blue"/>
            </w:pPr>
            <w:r>
              <w:rPr>
                <w:rStyle w:val="Strong"/>
              </w:rPr>
              <w:t>Foreign entities</w:t>
            </w:r>
          </w:p>
          <w:p w14:paraId="54545217" w14:textId="77777777" w:rsidR="00AA18F8" w:rsidRPr="006E4FBB" w:rsidRDefault="00AA18F8" w:rsidP="00AA18F8">
            <w:pPr>
              <w:pStyle w:val="BoxBullet"/>
              <w:numPr>
                <w:ilvl w:val="0"/>
                <w:numId w:val="0"/>
              </w:numPr>
              <w:ind w:left="283" w:hanging="283"/>
              <w:rPr>
                <w:u w:val="single"/>
              </w:rPr>
            </w:pPr>
            <w:r>
              <w:rPr>
                <w:u w:val="single"/>
              </w:rPr>
              <w:t>Scenario 1:</w:t>
            </w:r>
          </w:p>
          <w:p w14:paraId="41DE1465" w14:textId="4F0FB8CA" w:rsidR="00AA18F8" w:rsidRDefault="00AA18F8" w:rsidP="007B19FB">
            <w:pPr>
              <w:pStyle w:val="BoxBullet"/>
              <w:numPr>
                <w:ilvl w:val="0"/>
                <w:numId w:val="0"/>
              </w:numPr>
            </w:pPr>
            <w:r w:rsidRPr="00B044E8">
              <w:t xml:space="preserve">An Australian company </w:t>
            </w:r>
            <w:r w:rsidR="003A4848">
              <w:t xml:space="preserve">has a </w:t>
            </w:r>
            <w:r w:rsidR="003A4848" w:rsidRPr="00B044E8">
              <w:t>wholly owned German subsidiary</w:t>
            </w:r>
            <w:r w:rsidR="003A4848">
              <w:t xml:space="preserve"> and </w:t>
            </w:r>
            <w:r w:rsidRPr="00B044E8">
              <w:t xml:space="preserve">over 90% of </w:t>
            </w:r>
            <w:r w:rsidR="008D7B99">
              <w:t>the</w:t>
            </w:r>
            <w:r w:rsidR="00D35145">
              <w:t xml:space="preserve"> entities’</w:t>
            </w:r>
            <w:r w:rsidR="008D7B99">
              <w:t xml:space="preserve"> combined</w:t>
            </w:r>
            <w:r w:rsidRPr="00B044E8">
              <w:t xml:space="preserve"> revenue </w:t>
            </w:r>
            <w:r w:rsidR="008D7B99">
              <w:t xml:space="preserve">is generated </w:t>
            </w:r>
            <w:r w:rsidR="00D31807">
              <w:t>in</w:t>
            </w:r>
            <w:r w:rsidRPr="00B044E8">
              <w:t xml:space="preserve"> </w:t>
            </w:r>
            <w:r w:rsidR="003A4848">
              <w:t>that subsidiary.</w:t>
            </w:r>
            <w:r w:rsidRPr="00B044E8">
              <w:t xml:space="preserve"> </w:t>
            </w:r>
          </w:p>
          <w:p w14:paraId="7FC150F0" w14:textId="705BDAE4" w:rsidR="00AA18F8" w:rsidRDefault="00B41A95" w:rsidP="00AA18F8">
            <w:pPr>
              <w:pStyle w:val="BoxBullet"/>
              <w:ind w:left="284" w:hanging="284"/>
            </w:pPr>
            <w:r w:rsidRPr="00B044E8">
              <w:t xml:space="preserve">The revenue earned </w:t>
            </w:r>
            <w:r>
              <w:t xml:space="preserve">by the German subsidiary </w:t>
            </w:r>
            <w:r w:rsidRPr="00B044E8">
              <w:t xml:space="preserve">is </w:t>
            </w:r>
            <w:r>
              <w:t>included</w:t>
            </w:r>
            <w:r w:rsidRPr="00B044E8">
              <w:t xml:space="preserve"> </w:t>
            </w:r>
            <w:r>
              <w:t>in</w:t>
            </w:r>
            <w:r w:rsidRPr="00B044E8">
              <w:t xml:space="preserve"> determin</w:t>
            </w:r>
            <w:r>
              <w:t>ing the</w:t>
            </w:r>
            <w:r w:rsidRPr="00B044E8">
              <w:t xml:space="preserve"> </w:t>
            </w:r>
            <w:r w:rsidR="006A0CCE">
              <w:t xml:space="preserve">Australian </w:t>
            </w:r>
            <w:r w:rsidR="00AA18F8" w:rsidRPr="00B044E8">
              <w:t xml:space="preserve">company’s consolidated revenue </w:t>
            </w:r>
            <w:r>
              <w:t xml:space="preserve">for </w:t>
            </w:r>
            <w:r w:rsidR="006A0CCE">
              <w:t>the purpos</w:t>
            </w:r>
            <w:r w:rsidR="00430C42">
              <w:t>e of the Act</w:t>
            </w:r>
            <w:r w:rsidR="00AA18F8" w:rsidRPr="00B044E8">
              <w:t>.</w:t>
            </w:r>
          </w:p>
          <w:p w14:paraId="364AF6C2" w14:textId="77777777" w:rsidR="00AA18F8" w:rsidRDefault="00AA18F8" w:rsidP="00AA18F8">
            <w:pPr>
              <w:pStyle w:val="BoxDash"/>
              <w:numPr>
                <w:ilvl w:val="0"/>
                <w:numId w:val="0"/>
              </w:numPr>
              <w:rPr>
                <w:u w:val="single"/>
              </w:rPr>
            </w:pPr>
            <w:r>
              <w:rPr>
                <w:u w:val="single"/>
              </w:rPr>
              <w:t>Scenario 2:</w:t>
            </w:r>
          </w:p>
          <w:p w14:paraId="74E935C8" w14:textId="0EE947AE" w:rsidR="00AA18F8" w:rsidRDefault="00AA18F8" w:rsidP="003A4848">
            <w:pPr>
              <w:pStyle w:val="BoxBullet"/>
              <w:numPr>
                <w:ilvl w:val="0"/>
                <w:numId w:val="0"/>
              </w:numPr>
              <w:ind w:left="1" w:hanging="1"/>
            </w:pPr>
            <w:r w:rsidRPr="00B044E8">
              <w:t>A New Zealand company meets the other relevant criteria to be a reporting entity, including a connection to Australia where it has an ABN and operates</w:t>
            </w:r>
            <w:r w:rsidR="00AC2CB3">
              <w:t xml:space="preserve"> in Australia</w:t>
            </w:r>
            <w:r w:rsidRPr="00B044E8">
              <w:t xml:space="preserve">. It generates 90% of its revenue in New Zealand </w:t>
            </w:r>
            <w:r w:rsidR="006D4FF2">
              <w:t>with</w:t>
            </w:r>
            <w:r w:rsidR="006D4FF2" w:rsidRPr="00B044E8">
              <w:t xml:space="preserve"> </w:t>
            </w:r>
            <w:r w:rsidRPr="00B044E8">
              <w:t xml:space="preserve">the remainder </w:t>
            </w:r>
            <w:r w:rsidR="00EE7568">
              <w:t xml:space="preserve">generated </w:t>
            </w:r>
            <w:r w:rsidRPr="00B044E8">
              <w:t xml:space="preserve">from a controlled Australian subsidiary. </w:t>
            </w:r>
          </w:p>
          <w:p w14:paraId="31C13A89" w14:textId="27D753FA" w:rsidR="00AA18F8" w:rsidRPr="008950C5" w:rsidRDefault="00AA18F8" w:rsidP="00AA18F8">
            <w:pPr>
              <w:pStyle w:val="BoxBullet"/>
              <w:ind w:left="284" w:hanging="284"/>
            </w:pPr>
            <w:r w:rsidRPr="00B044E8">
              <w:t xml:space="preserve">The revenue earned in both Australia and New Zealand is used to determine consolidated revenue for the </w:t>
            </w:r>
            <w:r w:rsidR="004B55FE">
              <w:t xml:space="preserve">New Zealand </w:t>
            </w:r>
            <w:r w:rsidRPr="00B044E8">
              <w:t>company.</w:t>
            </w:r>
          </w:p>
        </w:tc>
      </w:tr>
    </w:tbl>
    <w:p w14:paraId="3B07F2BE" w14:textId="2F99D6C0" w:rsidR="000E0490" w:rsidRDefault="000E0490" w:rsidP="00E9025C">
      <w:pPr>
        <w:pStyle w:val="OutlineNumbered1"/>
        <w:ind w:left="567" w:hanging="567"/>
      </w:pPr>
      <w:r w:rsidRPr="00F73F72">
        <w:t xml:space="preserve">Foreign entities </w:t>
      </w:r>
      <w:r w:rsidR="00E47513">
        <w:t>that are controlled by a reporting entity should have their revenue included</w:t>
      </w:r>
      <w:r w:rsidRPr="00F73F72">
        <w:t xml:space="preserve"> when calculating consolidated revenue</w:t>
      </w:r>
      <w:r w:rsidR="00212947">
        <w:t xml:space="preserve"> for the purpose of the Act</w:t>
      </w:r>
      <w:r w:rsidRPr="00F73F72">
        <w:t>.</w:t>
      </w:r>
      <w:r>
        <w:t xml:space="preserve"> </w:t>
      </w:r>
      <w:r w:rsidRPr="00CF558E">
        <w:t>This may be the case even where foreign revenues significantly outweigh Australian sources of revenue.</w:t>
      </w:r>
    </w:p>
    <w:p w14:paraId="389CE015" w14:textId="77777777" w:rsidR="000E0490" w:rsidRPr="00EA0A6E" w:rsidRDefault="000E0490" w:rsidP="00CE0361">
      <w:pPr>
        <w:pStyle w:val="Heading4"/>
        <w:spacing w:before="360"/>
        <w:rPr>
          <w:b w:val="0"/>
        </w:rPr>
      </w:pPr>
      <w:r w:rsidRPr="00EA0A6E">
        <w:t>Exceptions to consolidation</w:t>
      </w:r>
    </w:p>
    <w:p w14:paraId="754D6443" w14:textId="77777777" w:rsidR="000E0490" w:rsidRDefault="000E0490" w:rsidP="00CE0361">
      <w:pPr>
        <w:pStyle w:val="OutlineNumbered1"/>
        <w:spacing w:after="240"/>
        <w:ind w:left="567" w:hanging="567"/>
      </w:pPr>
      <w:r w:rsidRPr="00F73F72">
        <w:t>If AASBs allow for exclusion from consolidation, such exceptions can be used when identifying controlled entities</w:t>
      </w:r>
      <w:r>
        <w:t xml:space="preserve"> for the purposes of the Act</w:t>
      </w:r>
      <w:r w:rsidRPr="00F73F72">
        <w:t>.</w:t>
      </w:r>
      <w:r>
        <w:t xml:space="preserve"> </w:t>
      </w:r>
      <w:r w:rsidRPr="00820FC4">
        <w:t>These exclusions can extend to investment entities and cases where there is joint control, such as a joint venture or joint arrangement.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11BFC" w14:paraId="157F5D98" w14:textId="77777777">
        <w:tc>
          <w:tcPr>
            <w:tcW w:w="5000" w:type="pct"/>
            <w:shd w:val="clear" w:color="auto" w:fill="EBF1F7"/>
          </w:tcPr>
          <w:p w14:paraId="680EE02A" w14:textId="55F95DAB" w:rsidR="00D11BFC" w:rsidRPr="000553FE" w:rsidRDefault="00264841">
            <w:pPr>
              <w:pStyle w:val="BoxHeading"/>
              <w:rPr>
                <w:b w:val="0"/>
              </w:rPr>
            </w:pPr>
            <w:r>
              <w:t>Example</w:t>
            </w:r>
            <w:r w:rsidR="00E34CC4">
              <w:t xml:space="preserve"> 7</w:t>
            </w:r>
          </w:p>
          <w:p w14:paraId="1DBA9B21" w14:textId="071B063D" w:rsidR="00D11BFC" w:rsidRPr="00247BAC" w:rsidRDefault="00264841">
            <w:pPr>
              <w:pStyle w:val="BoxHeading2-Blue"/>
            </w:pPr>
            <w:r>
              <w:rPr>
                <w:rStyle w:val="Strong"/>
              </w:rPr>
              <w:t>Investment entity</w:t>
            </w:r>
          </w:p>
          <w:p w14:paraId="4B1069D4" w14:textId="3D0F6350" w:rsidR="00EC0FF0" w:rsidRDefault="00264841" w:rsidP="00EC0FF0">
            <w:pPr>
              <w:pStyle w:val="BoxBullet"/>
              <w:numPr>
                <w:ilvl w:val="0"/>
                <w:numId w:val="0"/>
              </w:numPr>
            </w:pPr>
            <w:r w:rsidRPr="00264841">
              <w:t>An entity owns 75% of a</w:t>
            </w:r>
            <w:r w:rsidR="00C2200E">
              <w:t>n investee</w:t>
            </w:r>
            <w:r w:rsidRPr="00264841">
              <w:t xml:space="preserve"> company. </w:t>
            </w:r>
          </w:p>
          <w:p w14:paraId="331769F1" w14:textId="77777777" w:rsidR="00D11BFC" w:rsidRDefault="00264841" w:rsidP="00EC0FF0">
            <w:pPr>
              <w:pStyle w:val="BoxBullet"/>
              <w:numPr>
                <w:ilvl w:val="0"/>
                <w:numId w:val="0"/>
              </w:numPr>
            </w:pPr>
            <w:r w:rsidRPr="00264841">
              <w:t>The entity is a professional investment entity that uses</w:t>
            </w:r>
            <w:r w:rsidR="00EC0FF0">
              <w:t xml:space="preserve"> </w:t>
            </w:r>
            <w:r w:rsidRPr="00264841">
              <w:t>investors funds, takes no active management of the investee company and measures its investment in the company, and its other investee entities, at fair value.</w:t>
            </w:r>
          </w:p>
          <w:p w14:paraId="20531D7B" w14:textId="69ACC52E" w:rsidR="00EC0FF0" w:rsidRDefault="000913DF" w:rsidP="00EC0FF0">
            <w:pPr>
              <w:pStyle w:val="BoxBullet"/>
              <w:numPr>
                <w:ilvl w:val="0"/>
                <w:numId w:val="0"/>
              </w:numPr>
              <w:ind w:left="1" w:hanging="1"/>
            </w:pPr>
            <w:r w:rsidRPr="000913DF">
              <w:t>The entity meets the criteria in paragraph 27 of AASB 10 to apply the exception to consolidation</w:t>
            </w:r>
            <w:r w:rsidR="003B6338">
              <w:t xml:space="preserve"> for the purpose of</w:t>
            </w:r>
            <w:r w:rsidR="00B526AD">
              <w:t xml:space="preserve"> preparing its financial statements</w:t>
            </w:r>
            <w:r w:rsidRPr="000913DF">
              <w:t xml:space="preserve">. </w:t>
            </w:r>
          </w:p>
          <w:p w14:paraId="02509700" w14:textId="7C8BF56C" w:rsidR="00D11BFC" w:rsidRDefault="000913DF" w:rsidP="00EC0FF0">
            <w:pPr>
              <w:pStyle w:val="BoxBullet"/>
              <w:ind w:left="284" w:hanging="284"/>
            </w:pPr>
            <w:r w:rsidRPr="000913DF">
              <w:t>The investee company can be excluded from consolidation for the purposes of the Act.</w:t>
            </w:r>
          </w:p>
          <w:p w14:paraId="4C0C78B4" w14:textId="7C5E9ECE" w:rsidR="000E7A94" w:rsidRPr="008950C5" w:rsidRDefault="00EC0FF0" w:rsidP="00264841">
            <w:pPr>
              <w:pStyle w:val="BoxBullet"/>
              <w:ind w:left="284" w:hanging="284"/>
            </w:pPr>
            <w:r>
              <w:t>The</w:t>
            </w:r>
            <w:r w:rsidR="00147CA8">
              <w:t xml:space="preserve"> investee company needs to undertake a separate process to determine if it meets relevant criteria to be a reporting entity in its own right.</w:t>
            </w:r>
          </w:p>
        </w:tc>
      </w:tr>
    </w:tbl>
    <w:p w14:paraId="7687D474" w14:textId="77777777" w:rsidR="00D11BFC" w:rsidRDefault="00D11BFC" w:rsidP="00D11BFC">
      <w:pPr>
        <w:pStyle w:val="OutlineNumbered1"/>
        <w:numPr>
          <w:ilvl w:val="0"/>
          <w:numId w:val="0"/>
        </w:numPr>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11BFC" w14:paraId="64935926" w14:textId="77777777">
        <w:tc>
          <w:tcPr>
            <w:tcW w:w="5000" w:type="pct"/>
            <w:shd w:val="clear" w:color="auto" w:fill="EBF1F7"/>
          </w:tcPr>
          <w:p w14:paraId="4FD0F6F7" w14:textId="7B296EAE" w:rsidR="00D11BFC" w:rsidRPr="000553FE" w:rsidRDefault="000913DF">
            <w:pPr>
              <w:pStyle w:val="BoxHeading"/>
              <w:rPr>
                <w:b w:val="0"/>
              </w:rPr>
            </w:pPr>
            <w:r>
              <w:lastRenderedPageBreak/>
              <w:t>Example</w:t>
            </w:r>
            <w:r w:rsidR="00E34CC4">
              <w:t xml:space="preserve"> 8</w:t>
            </w:r>
          </w:p>
          <w:p w14:paraId="1E9F33B4" w14:textId="20A2F993" w:rsidR="00D11BFC" w:rsidRPr="00247BAC" w:rsidRDefault="000913DF">
            <w:pPr>
              <w:pStyle w:val="BoxHeading2-Blue"/>
            </w:pPr>
            <w:r>
              <w:rPr>
                <w:rStyle w:val="Strong"/>
              </w:rPr>
              <w:t>Joint control</w:t>
            </w:r>
          </w:p>
          <w:p w14:paraId="0175E940" w14:textId="77777777" w:rsidR="000913DF" w:rsidRDefault="000913DF" w:rsidP="001C288C">
            <w:pPr>
              <w:pStyle w:val="BoxBullet"/>
              <w:numPr>
                <w:ilvl w:val="0"/>
                <w:numId w:val="0"/>
              </w:numPr>
              <w:ind w:left="1" w:hanging="1"/>
            </w:pPr>
            <w:r>
              <w:t>An entity is a 60/40 partner in a joint venture where agreement from all joint venture partners is required for significant operational decisions. The arrangement is accounted for using the equity method in accordance with AASB 11: Joint Arrangements.</w:t>
            </w:r>
          </w:p>
          <w:p w14:paraId="5622692F" w14:textId="77777777" w:rsidR="00D11BFC" w:rsidRDefault="000913DF" w:rsidP="000913DF">
            <w:pPr>
              <w:pStyle w:val="BoxBullet"/>
            </w:pPr>
            <w:r>
              <w:t>The joint venture is not controlled under AASB 10 and not consolidated for the purposes of the Act.</w:t>
            </w:r>
          </w:p>
          <w:p w14:paraId="6CDC9029" w14:textId="418D5652" w:rsidR="00212B3F" w:rsidRPr="008950C5" w:rsidRDefault="00C228D8" w:rsidP="000913DF">
            <w:pPr>
              <w:pStyle w:val="BoxBullet"/>
            </w:pPr>
            <w:r>
              <w:t xml:space="preserve">The </w:t>
            </w:r>
            <w:r w:rsidR="00C66C92">
              <w:t>j</w:t>
            </w:r>
            <w:r>
              <w:t xml:space="preserve">oint venture </w:t>
            </w:r>
            <w:r w:rsidR="009C6587">
              <w:t>needs to undertake a separate process to determine</w:t>
            </w:r>
            <w:r w:rsidR="007B6708">
              <w:t xml:space="preserve"> </w:t>
            </w:r>
            <w:r w:rsidR="002F0470">
              <w:t xml:space="preserve">if it meets </w:t>
            </w:r>
            <w:r w:rsidR="00BC4086">
              <w:t>relevant criteria to be a reporting entity in its own right.</w:t>
            </w:r>
          </w:p>
        </w:tc>
      </w:tr>
    </w:tbl>
    <w:p w14:paraId="2276CB25" w14:textId="77777777" w:rsidR="000E0490" w:rsidRPr="00EA0A6E" w:rsidRDefault="000E0490" w:rsidP="000E0490">
      <w:pPr>
        <w:pStyle w:val="Heading3"/>
        <w:rPr>
          <w:b/>
        </w:rPr>
      </w:pPr>
      <w:bookmarkStart w:id="26" w:name="_Toc180688110"/>
      <w:bookmarkStart w:id="27" w:name="_Toc184822189"/>
      <w:r w:rsidRPr="00EA0A6E">
        <w:t>Consolidated revenue</w:t>
      </w:r>
      <w:bookmarkEnd w:id="26"/>
      <w:bookmarkEnd w:id="27"/>
    </w:p>
    <w:p w14:paraId="425C0243" w14:textId="57AF898E" w:rsidR="000E0490" w:rsidRDefault="008E4C27" w:rsidP="00DC1E1B">
      <w:pPr>
        <w:pStyle w:val="OutlineNumbered1"/>
        <w:spacing w:before="120"/>
        <w:ind w:left="567" w:hanging="567"/>
      </w:pPr>
      <w:r>
        <w:t>A</w:t>
      </w:r>
      <w:r w:rsidR="00824F19">
        <w:t xml:space="preserve">n entity’s consolidated </w:t>
      </w:r>
      <w:r w:rsidR="00787EE6">
        <w:t>revenue</w:t>
      </w:r>
      <w:r w:rsidR="00F93A32">
        <w:t xml:space="preserve"> </w:t>
      </w:r>
      <w:r w:rsidR="00436506">
        <w:t xml:space="preserve">is </w:t>
      </w:r>
      <w:r w:rsidR="00B47839">
        <w:t xml:space="preserve">the total revenue of the entity and </w:t>
      </w:r>
      <w:r w:rsidR="00C34C08">
        <w:t xml:space="preserve">all its controlled </w:t>
      </w:r>
      <w:r w:rsidR="006B54CE">
        <w:t>entities</w:t>
      </w:r>
      <w:r w:rsidR="00CB78BF">
        <w:t>,</w:t>
      </w:r>
      <w:r w:rsidR="007222C2">
        <w:t xml:space="preserve"> </w:t>
      </w:r>
      <w:r w:rsidR="009E733E">
        <w:t xml:space="preserve">calculated </w:t>
      </w:r>
      <w:r w:rsidR="00513709">
        <w:t xml:space="preserve">in accordance with AASB </w:t>
      </w:r>
      <w:r w:rsidR="002E651B">
        <w:t>guidelines</w:t>
      </w:r>
      <w:r w:rsidR="006B54CE">
        <w:t xml:space="preserve"> -</w:t>
      </w:r>
      <w:r w:rsidR="004159C3">
        <w:t xml:space="preserve"> </w:t>
      </w:r>
      <w:r w:rsidR="000E0490" w:rsidRPr="00F73F72">
        <w:t>which include</w:t>
      </w:r>
      <w:r w:rsidR="000E0490">
        <w:t>s</w:t>
      </w:r>
      <w:r w:rsidR="000E0490" w:rsidRPr="00F73F72">
        <w:t xml:space="preserve"> eliminating intragroup income. </w:t>
      </w:r>
      <w:r w:rsidR="00E162F8">
        <w:t xml:space="preserve"> </w:t>
      </w:r>
      <w:r w:rsidR="009957B0">
        <w:t>P</w:t>
      </w:r>
      <w:r w:rsidR="004F2A51">
        <w:t>lease refer to</w:t>
      </w:r>
      <w:r w:rsidR="00563793">
        <w:t xml:space="preserve"> AASB</w:t>
      </w:r>
      <w:r w:rsidR="000F4ED1">
        <w:t>’s</w:t>
      </w:r>
      <w:r w:rsidR="00563793">
        <w:t xml:space="preserve"> Glossary of</w:t>
      </w:r>
      <w:r w:rsidR="004F2A51">
        <w:t xml:space="preserve"> Defined</w:t>
      </w:r>
      <w:r w:rsidR="00563793">
        <w:t xml:space="preserve"> </w:t>
      </w:r>
      <w:r w:rsidR="004F2A51">
        <w:t>T</w:t>
      </w:r>
      <w:r w:rsidR="00563793">
        <w:t>erms</w:t>
      </w:r>
      <w:r w:rsidR="00495699">
        <w:t xml:space="preserve"> </w:t>
      </w:r>
      <w:r w:rsidR="005D0780">
        <w:t xml:space="preserve">for </w:t>
      </w:r>
      <w:r w:rsidR="00495699">
        <w:t>details</w:t>
      </w:r>
      <w:r w:rsidR="00563793">
        <w:t xml:space="preserve"> </w:t>
      </w:r>
      <w:r w:rsidR="007B206C">
        <w:t xml:space="preserve">of </w:t>
      </w:r>
      <w:r w:rsidR="009957B0">
        <w:t xml:space="preserve">relevant </w:t>
      </w:r>
      <w:r w:rsidR="0053681B">
        <w:t>terms</w:t>
      </w:r>
      <w:r w:rsidR="00563793">
        <w:t xml:space="preserve"> </w:t>
      </w:r>
      <w:r w:rsidR="004F2A51">
        <w:t>from Australian</w:t>
      </w:r>
      <w:r w:rsidR="00A80899">
        <w:t xml:space="preserve"> </w:t>
      </w:r>
      <w:r w:rsidR="002C6F6F">
        <w:t>accounting standards</w:t>
      </w:r>
      <w:r w:rsidR="009957B0">
        <w:t>.</w:t>
      </w:r>
    </w:p>
    <w:p w14:paraId="5ECFAA8A" w14:textId="2233A556" w:rsidR="000E0490" w:rsidRPr="00F73F72" w:rsidRDefault="000E0490" w:rsidP="00DC1E1B">
      <w:pPr>
        <w:pStyle w:val="OutlineNumbered1"/>
        <w:spacing w:before="120"/>
        <w:ind w:left="567" w:hanging="567"/>
      </w:pPr>
      <w:r w:rsidRPr="00F73F72">
        <w:t>Financial statements can help simplify the process. For instance, if an entity’s total revenue, after excluding income</w:t>
      </w:r>
      <w:r>
        <w:t xml:space="preserve"> from investments</w:t>
      </w:r>
      <w:r w:rsidRPr="00F73F72">
        <w:t xml:space="preserve">, exceeds $100 million, the threshold is likely met without </w:t>
      </w:r>
      <w:r>
        <w:t>the need for</w:t>
      </w:r>
      <w:r w:rsidRPr="00F73F72">
        <w:t xml:space="preserve"> detailed consolidation</w:t>
      </w:r>
      <w:r>
        <w:t xml:space="preserve"> procedures</w:t>
      </w:r>
      <w:r w:rsidRPr="00F73F72">
        <w:t>.</w:t>
      </w:r>
    </w:p>
    <w:p w14:paraId="4B6B613F" w14:textId="460543E7" w:rsidR="003110CD" w:rsidRDefault="000E0490" w:rsidP="00DC1E1B">
      <w:pPr>
        <w:pStyle w:val="OutlineNumbered1"/>
        <w:spacing w:before="120"/>
        <w:ind w:left="567" w:hanging="567"/>
      </w:pPr>
      <w:r>
        <w:t>When assessing if an entity’s consolidated revenue meets the $100 million threshold, the Regulator may consider what is presented in its financial statements, excluding revenue from equity accounted investments.</w:t>
      </w:r>
      <w:r w:rsidR="00B0573E">
        <w:t xml:space="preserve"> </w:t>
      </w:r>
    </w:p>
    <w:p w14:paraId="0C53F4F4" w14:textId="77777777" w:rsidR="000E0490" w:rsidRPr="00F73F72" w:rsidRDefault="000E0490" w:rsidP="000E0490">
      <w:pPr>
        <w:pStyle w:val="Heading3"/>
      </w:pPr>
      <w:bookmarkStart w:id="28" w:name="_Toc180688111"/>
      <w:bookmarkStart w:id="29" w:name="_Toc184822190"/>
      <w:r w:rsidRPr="00F73F72">
        <w:t>Foreign currency translation</w:t>
      </w:r>
      <w:bookmarkEnd w:id="28"/>
      <w:bookmarkEnd w:id="29"/>
    </w:p>
    <w:p w14:paraId="0BE8F3F5" w14:textId="55A312DA" w:rsidR="000E0490" w:rsidRPr="0026129B" w:rsidRDefault="000E0490" w:rsidP="00E75757">
      <w:pPr>
        <w:pStyle w:val="OutlineNumbered1"/>
        <w:spacing w:after="240"/>
        <w:ind w:left="567" w:hanging="567"/>
        <w:rPr>
          <w:b/>
          <w:bCs/>
          <w:sz w:val="27"/>
          <w:szCs w:val="27"/>
        </w:rPr>
      </w:pPr>
      <w:r w:rsidRPr="00F73F72">
        <w:t xml:space="preserve">If </w:t>
      </w:r>
      <w:r>
        <w:t>an</w:t>
      </w:r>
      <w:r w:rsidRPr="00F73F72">
        <w:t xml:space="preserve"> entity uses a foreign currency in its financial reports</w:t>
      </w:r>
      <w:r>
        <w:t xml:space="preserve">, it must be converted </w:t>
      </w:r>
      <w:r w:rsidRPr="00F73F72">
        <w:t xml:space="preserve">to Australian dollars to </w:t>
      </w:r>
      <w:r>
        <w:t xml:space="preserve">test </w:t>
      </w:r>
      <w:r w:rsidRPr="00F73F72">
        <w:t xml:space="preserve">if </w:t>
      </w:r>
      <w:r>
        <w:t xml:space="preserve">the entity </w:t>
      </w:r>
      <w:r w:rsidRPr="00F73F72">
        <w:t>meet</w:t>
      </w:r>
      <w:r>
        <w:t>s</w:t>
      </w:r>
      <w:r w:rsidRPr="00F73F72">
        <w:t xml:space="preserve"> the $100 million threshold. The average</w:t>
      </w:r>
      <w:r>
        <w:t xml:space="preserve"> of the</w:t>
      </w:r>
      <w:r w:rsidRPr="00F73F72">
        <w:t xml:space="preserve"> daily exchange rate</w:t>
      </w:r>
      <w:r>
        <w:t>s</w:t>
      </w:r>
      <w:r w:rsidRPr="00F73F72">
        <w:t xml:space="preserve"> from the Reserve Bank of Australia for the </w:t>
      </w:r>
      <w:r>
        <w:t xml:space="preserve">applicable </w:t>
      </w:r>
      <w:r w:rsidRPr="00F73F72">
        <w:t>financial year can be used for this conversion.</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B84B96" w14:paraId="61D5F69B" w14:textId="77777777">
        <w:tc>
          <w:tcPr>
            <w:tcW w:w="5000" w:type="pct"/>
            <w:shd w:val="clear" w:color="auto" w:fill="EBF1F7"/>
          </w:tcPr>
          <w:p w14:paraId="42F3A522" w14:textId="2EA12D00" w:rsidR="00B84B96" w:rsidRPr="000553FE" w:rsidRDefault="0098441D" w:rsidP="0077326D">
            <w:pPr>
              <w:pStyle w:val="BoxHeading"/>
              <w:keepNext w:val="0"/>
              <w:widowControl w:val="0"/>
              <w:rPr>
                <w:b w:val="0"/>
              </w:rPr>
            </w:pPr>
            <w:r>
              <w:t>Example</w:t>
            </w:r>
            <w:r w:rsidR="00E34CC4">
              <w:t xml:space="preserve"> 9</w:t>
            </w:r>
          </w:p>
          <w:p w14:paraId="1812E464" w14:textId="70FD25EB" w:rsidR="00B84B96" w:rsidRPr="00247BAC" w:rsidRDefault="0098441D" w:rsidP="0077326D">
            <w:pPr>
              <w:pStyle w:val="BoxHeading2-Blue"/>
              <w:widowControl w:val="0"/>
            </w:pPr>
            <w:r>
              <w:rPr>
                <w:rStyle w:val="Strong"/>
              </w:rPr>
              <w:t>Foreign Currency Translation – Consolidated Revenue</w:t>
            </w:r>
          </w:p>
          <w:p w14:paraId="27D09E68" w14:textId="79658C7B" w:rsidR="00B84B96" w:rsidRDefault="00D7650B" w:rsidP="0077326D">
            <w:pPr>
              <w:pStyle w:val="BoxText"/>
              <w:widowControl w:val="0"/>
            </w:pPr>
            <w:r>
              <w:t xml:space="preserve">An entity has </w:t>
            </w:r>
            <w:r w:rsidR="00D85B09">
              <w:t>re</w:t>
            </w:r>
            <w:r w:rsidR="000E0822">
              <w:t>port</w:t>
            </w:r>
            <w:r w:rsidR="00D85B09">
              <w:t>ed a value of USD</w:t>
            </w:r>
            <w:r w:rsidR="00DC3B2F">
              <w:t>$</w:t>
            </w:r>
            <w:r w:rsidR="00D85B09">
              <w:t xml:space="preserve">97,000,000 consolidated revenue in </w:t>
            </w:r>
            <w:r w:rsidR="005A3CDA">
              <w:t xml:space="preserve">its </w:t>
            </w:r>
            <w:r w:rsidR="00782DEE">
              <w:t>financial statements for the financial year ended 31 December 202</w:t>
            </w:r>
            <w:r w:rsidR="006B1EAC">
              <w:t>3</w:t>
            </w:r>
            <w:r w:rsidR="00610A16">
              <w:t xml:space="preserve">. The entity must convert this </w:t>
            </w:r>
            <w:r w:rsidR="000202C4">
              <w:t xml:space="preserve">to Australian dollars. </w:t>
            </w:r>
          </w:p>
          <w:p w14:paraId="7540B7B6" w14:textId="5F86A2C4" w:rsidR="008517A2" w:rsidRDefault="000901F6" w:rsidP="0077326D">
            <w:pPr>
              <w:pStyle w:val="BoxText"/>
              <w:widowControl w:val="0"/>
            </w:pPr>
            <w:r>
              <w:t xml:space="preserve">Based on </w:t>
            </w:r>
            <w:r w:rsidR="006C11D2">
              <w:t>the Reserve Bank of Australia</w:t>
            </w:r>
            <w:r w:rsidR="00DA2A6D">
              <w:t xml:space="preserve"> </w:t>
            </w:r>
            <w:r w:rsidR="006C11D2">
              <w:t>average daily exchange rate</w:t>
            </w:r>
            <w:r w:rsidR="00DC3DCE">
              <w:t>s</w:t>
            </w:r>
            <w:r>
              <w:t>,</w:t>
            </w:r>
            <w:r w:rsidR="00DC3DCE">
              <w:t xml:space="preserve"> </w:t>
            </w:r>
            <w:r w:rsidR="00BD4774">
              <w:t>the average rate</w:t>
            </w:r>
            <w:r w:rsidR="006C11D2">
              <w:t xml:space="preserve"> </w:t>
            </w:r>
            <w:r w:rsidR="00DA2A6D">
              <w:t xml:space="preserve">for the applicable year, </w:t>
            </w:r>
            <w:r w:rsidR="00DC36DE">
              <w:t>being</w:t>
            </w:r>
            <w:r w:rsidR="009473EA">
              <w:t xml:space="preserve"> the </w:t>
            </w:r>
            <w:r w:rsidR="001312E6">
              <w:t>period</w:t>
            </w:r>
            <w:r w:rsidR="009473EA">
              <w:t xml:space="preserve"> 1 January to 31 December 202</w:t>
            </w:r>
            <w:r w:rsidR="006B1EAC">
              <w:t>3</w:t>
            </w:r>
            <w:r w:rsidR="00DC36DE">
              <w:t>,</w:t>
            </w:r>
            <w:r w:rsidR="009473EA">
              <w:t xml:space="preserve"> is </w:t>
            </w:r>
            <w:r w:rsidR="00CC5DD1">
              <w:t xml:space="preserve">0.6644. </w:t>
            </w:r>
            <w:r w:rsidR="008517A2">
              <w:t xml:space="preserve">The entity </w:t>
            </w:r>
            <w:r w:rsidR="00F66109">
              <w:t>converts</w:t>
            </w:r>
            <w:r w:rsidR="008517A2">
              <w:t xml:space="preserve"> its consolidated revenue </w:t>
            </w:r>
            <w:r w:rsidR="00AF204F">
              <w:t>from US</w:t>
            </w:r>
            <w:r w:rsidR="00F205DD">
              <w:t xml:space="preserve"> </w:t>
            </w:r>
            <w:r w:rsidR="00AF204F">
              <w:t>D</w:t>
            </w:r>
            <w:r w:rsidR="00F205DD">
              <w:t>ollars</w:t>
            </w:r>
            <w:r w:rsidR="00AF204F">
              <w:t xml:space="preserve"> </w:t>
            </w:r>
            <w:r w:rsidR="007B76DA">
              <w:t xml:space="preserve">to Australian dollars </w:t>
            </w:r>
            <w:r w:rsidR="005F011D">
              <w:t>using</w:t>
            </w:r>
            <w:r w:rsidR="00CA1D94">
              <w:t xml:space="preserve"> the following</w:t>
            </w:r>
            <w:r w:rsidR="005F011D">
              <w:t xml:space="preserve"> calculation</w:t>
            </w:r>
            <w:r w:rsidR="008517A2">
              <w:t>:</w:t>
            </w:r>
          </w:p>
          <w:p w14:paraId="03C273DD" w14:textId="2B750501" w:rsidR="00CC5DD1" w:rsidRPr="00EA1AFD" w:rsidRDefault="002C5FB1" w:rsidP="0077326D">
            <w:pPr>
              <w:pStyle w:val="BoxText"/>
              <w:widowControl w:val="0"/>
              <w:jc w:val="center"/>
            </w:pPr>
            <w:r>
              <w:t>USD</w:t>
            </w:r>
            <w:r w:rsidR="004E7478">
              <w:t>$</w:t>
            </w:r>
            <w:r w:rsidR="00C05A6E">
              <w:t xml:space="preserve">97,000,000 / 0.6644 = </w:t>
            </w:r>
            <w:r w:rsidR="004E7478">
              <w:t>AUD</w:t>
            </w:r>
            <w:r>
              <w:t>$</w:t>
            </w:r>
            <w:r w:rsidR="00F21AD0">
              <w:t>14</w:t>
            </w:r>
            <w:r w:rsidR="0077326D">
              <w:t>5</w:t>
            </w:r>
            <w:r w:rsidR="00F21AD0">
              <w:t>,996,387</w:t>
            </w:r>
            <w:r w:rsidR="0077326D">
              <w:t>.72</w:t>
            </w:r>
          </w:p>
          <w:p w14:paraId="09AB8757" w14:textId="62EB8368" w:rsidR="004239BC" w:rsidRDefault="0089335A" w:rsidP="0077326D">
            <w:pPr>
              <w:pStyle w:val="BoxBullet"/>
              <w:widowControl w:val="0"/>
              <w:ind w:left="284" w:hanging="284"/>
            </w:pPr>
            <w:r>
              <w:t xml:space="preserve">The entity’s consolidated revenue </w:t>
            </w:r>
            <w:r w:rsidR="004239BC">
              <w:t xml:space="preserve">is </w:t>
            </w:r>
            <w:r w:rsidR="00397606">
              <w:t>$</w:t>
            </w:r>
            <w:r w:rsidR="00454C6C">
              <w:t>145,996,387</w:t>
            </w:r>
            <w:r w:rsidR="00CC2E1F">
              <w:t>.72</w:t>
            </w:r>
            <w:r w:rsidR="00397606">
              <w:t xml:space="preserve"> in Australian dollars</w:t>
            </w:r>
          </w:p>
          <w:p w14:paraId="5231F6CD" w14:textId="3D2A436E" w:rsidR="00B84B96" w:rsidRPr="008950C5" w:rsidRDefault="004239BC" w:rsidP="007D5745">
            <w:pPr>
              <w:pStyle w:val="BoxBullet"/>
              <w:widowControl w:val="0"/>
              <w:ind w:left="284" w:hanging="284"/>
            </w:pPr>
            <w:r>
              <w:t xml:space="preserve">The entity has met the </w:t>
            </w:r>
            <w:r w:rsidR="00CC2E1F">
              <w:t>revenue</w:t>
            </w:r>
            <w:r>
              <w:t xml:space="preserve"> threshold to be a reporting entity</w:t>
            </w:r>
          </w:p>
        </w:tc>
      </w:tr>
    </w:tbl>
    <w:p w14:paraId="02E3C424" w14:textId="77777777" w:rsidR="000E0490" w:rsidRPr="0026129B" w:rsidRDefault="000E0490" w:rsidP="00C44F36">
      <w:pPr>
        <w:pStyle w:val="Heading2"/>
        <w:spacing w:before="240"/>
      </w:pPr>
      <w:bookmarkStart w:id="30" w:name="_Toc180688112"/>
      <w:bookmarkStart w:id="31" w:name="_Toc184822191"/>
      <w:r w:rsidRPr="0026129B">
        <w:lastRenderedPageBreak/>
        <w:t xml:space="preserve">Excluded </w:t>
      </w:r>
      <w:r>
        <w:t>e</w:t>
      </w:r>
      <w:r w:rsidRPr="0026129B">
        <w:t>ntities</w:t>
      </w:r>
      <w:bookmarkEnd w:id="30"/>
      <w:bookmarkEnd w:id="31"/>
    </w:p>
    <w:p w14:paraId="76E84D26" w14:textId="77777777" w:rsidR="000E0490" w:rsidRPr="006526A1" w:rsidRDefault="000E0490" w:rsidP="000E0490">
      <w:pPr>
        <w:pStyle w:val="Heading3"/>
      </w:pPr>
      <w:bookmarkStart w:id="32" w:name="_Toc180688113"/>
      <w:bookmarkStart w:id="33" w:name="_Toc184822192"/>
      <w:r w:rsidRPr="006526A1">
        <w:t xml:space="preserve">Charities and </w:t>
      </w:r>
      <w:r>
        <w:t>n</w:t>
      </w:r>
      <w:r w:rsidRPr="006526A1">
        <w:t>ot-for-profits</w:t>
      </w:r>
      <w:bookmarkEnd w:id="32"/>
      <w:bookmarkEnd w:id="33"/>
    </w:p>
    <w:p w14:paraId="48E4B43A" w14:textId="24361B97" w:rsidR="000E0490" w:rsidRPr="006526A1" w:rsidRDefault="000E0490" w:rsidP="0038758C">
      <w:pPr>
        <w:pStyle w:val="OutlineNumbered1"/>
        <w:ind w:left="567" w:hanging="567"/>
      </w:pPr>
      <w:r w:rsidRPr="006526A1">
        <w:t xml:space="preserve">If </w:t>
      </w:r>
      <w:r>
        <w:t>an</w:t>
      </w:r>
      <w:r w:rsidRPr="006526A1">
        <w:t xml:space="preserve"> entity is registered under the </w:t>
      </w:r>
      <w:r w:rsidRPr="007E19D9">
        <w:t>ACNC Act</w:t>
      </w:r>
      <w:r w:rsidRPr="00E8079B">
        <w:t>, it</w:t>
      </w:r>
      <w:r w:rsidRPr="006526A1">
        <w:t xml:space="preserve"> is automatically </w:t>
      </w:r>
      <w:r w:rsidRPr="00EA0A6E">
        <w:t>excluded from reporting</w:t>
      </w:r>
      <w:r w:rsidRPr="001D278F">
        <w:t>. This</w:t>
      </w:r>
      <w:r w:rsidRPr="006526A1">
        <w:t xml:space="preserve"> applies even if </w:t>
      </w:r>
      <w:r>
        <w:t>the</w:t>
      </w:r>
      <w:r w:rsidRPr="006526A1">
        <w:t xml:space="preserve"> entity meets other criteria to be a reporting entity.</w:t>
      </w:r>
    </w:p>
    <w:p w14:paraId="08E2E493" w14:textId="404EE650" w:rsidR="000E0490" w:rsidRPr="00E8079B" w:rsidRDefault="000E0490" w:rsidP="0038758C">
      <w:pPr>
        <w:pStyle w:val="OutlineNumbered1"/>
        <w:ind w:left="567" w:hanging="567"/>
      </w:pPr>
      <w:r w:rsidRPr="00E8079B">
        <w:t xml:space="preserve">To qualify for this exclusion, the entity must be listed on the </w:t>
      </w:r>
      <w:r w:rsidRPr="007E19D9">
        <w:t>ACNC</w:t>
      </w:r>
      <w:r w:rsidRPr="00EA0A6E">
        <w:t xml:space="preserve"> Charity Register</w:t>
      </w:r>
      <w:r w:rsidRPr="00E8079B">
        <w:t>.</w:t>
      </w:r>
    </w:p>
    <w:p w14:paraId="0367842B" w14:textId="77777777" w:rsidR="000E0490" w:rsidRPr="006526A1" w:rsidRDefault="000E0490" w:rsidP="0038758C">
      <w:pPr>
        <w:pStyle w:val="OutlineNumbered1"/>
        <w:ind w:left="567" w:hanging="567"/>
      </w:pPr>
      <w:r w:rsidRPr="006526A1">
        <w:t xml:space="preserve">The Regulator may check </w:t>
      </w:r>
      <w:r>
        <w:t>the entity’s</w:t>
      </w:r>
      <w:r w:rsidRPr="006526A1">
        <w:t xml:space="preserve"> registration status on the ACNC Charity Register to confirm </w:t>
      </w:r>
      <w:r>
        <w:t>its</w:t>
      </w:r>
      <w:r w:rsidRPr="006526A1">
        <w:t xml:space="preserve"> eligibility</w:t>
      </w:r>
      <w:r>
        <w:t xml:space="preserve"> for this exclusion from reporting</w:t>
      </w:r>
      <w:r w:rsidRPr="006526A1">
        <w:t>.</w:t>
      </w:r>
    </w:p>
    <w:p w14:paraId="354611E8" w14:textId="77777777" w:rsidR="000E0490" w:rsidRPr="006526A1" w:rsidRDefault="000E0490" w:rsidP="000E0490">
      <w:pPr>
        <w:pStyle w:val="Heading3"/>
      </w:pPr>
      <w:bookmarkStart w:id="34" w:name="_Toc180688114"/>
      <w:bookmarkStart w:id="35" w:name="_Toc184822193"/>
      <w:r w:rsidRPr="006526A1">
        <w:t xml:space="preserve">Entities </w:t>
      </w:r>
      <w:r>
        <w:t>c</w:t>
      </w:r>
      <w:r w:rsidRPr="006526A1">
        <w:t xml:space="preserve">ontrolled by </w:t>
      </w:r>
      <w:r>
        <w:t>r</w:t>
      </w:r>
      <w:r w:rsidRPr="006526A1">
        <w:t xml:space="preserve">eporting </w:t>
      </w:r>
      <w:r>
        <w:t>e</w:t>
      </w:r>
      <w:r w:rsidRPr="006526A1">
        <w:t>ntities</w:t>
      </w:r>
      <w:bookmarkEnd w:id="34"/>
      <w:bookmarkEnd w:id="35"/>
    </w:p>
    <w:p w14:paraId="5C29B22B" w14:textId="77777777" w:rsidR="000E0490" w:rsidRDefault="000E0490" w:rsidP="0038758C">
      <w:pPr>
        <w:pStyle w:val="OutlineNumbered1"/>
        <w:ind w:left="567" w:hanging="567"/>
      </w:pPr>
      <w:r w:rsidRPr="006526A1">
        <w:t xml:space="preserve">If </w:t>
      </w:r>
      <w:r>
        <w:t>an</w:t>
      </w:r>
      <w:r w:rsidRPr="006526A1">
        <w:t xml:space="preserve"> entity is controlled by another reporting entity, </w:t>
      </w:r>
      <w:r>
        <w:t>it is</w:t>
      </w:r>
      <w:r w:rsidRPr="006526A1">
        <w:t xml:space="preserve"> excluded from reporting independently. </w:t>
      </w:r>
    </w:p>
    <w:p w14:paraId="0874AEEF" w14:textId="5F5B3CF5" w:rsidR="000656F9" w:rsidRPr="006526A1" w:rsidRDefault="000E0490">
      <w:pPr>
        <w:pStyle w:val="OutlineNumbered1"/>
        <w:ind w:left="567" w:hanging="567"/>
      </w:pPr>
      <w:r>
        <w:t>T</w:t>
      </w:r>
      <w:r w:rsidRPr="006526A1">
        <w:t xml:space="preserve">he controlling </w:t>
      </w:r>
      <w:r>
        <w:t xml:space="preserve">reporting </w:t>
      </w:r>
      <w:r w:rsidRPr="006526A1">
        <w:t xml:space="preserve">entity will include </w:t>
      </w:r>
      <w:r>
        <w:t xml:space="preserve">the controlled entity’s </w:t>
      </w:r>
      <w:r w:rsidRPr="006526A1">
        <w:t>payment information in its consolidated report.</w:t>
      </w:r>
      <w:r>
        <w:t xml:space="preserve"> </w:t>
      </w:r>
      <w:r w:rsidRPr="006526A1">
        <w:t xml:space="preserve">This applies even if </w:t>
      </w:r>
      <w:r>
        <w:t>the</w:t>
      </w:r>
      <w:r w:rsidRPr="006526A1">
        <w:t xml:space="preserve"> </w:t>
      </w:r>
      <w:r>
        <w:t xml:space="preserve">controlled </w:t>
      </w:r>
      <w:r w:rsidRPr="006526A1">
        <w:t>entity meets all the other criteria to be a reporting entity on its own.</w:t>
      </w:r>
    </w:p>
    <w:p w14:paraId="43242D9F" w14:textId="77777777" w:rsidR="000E0490" w:rsidRPr="006526A1" w:rsidRDefault="000E0490" w:rsidP="0038758C">
      <w:pPr>
        <w:pStyle w:val="OutlineNumbered1"/>
        <w:ind w:left="567" w:hanging="567"/>
      </w:pPr>
      <w:r w:rsidRPr="006526A1">
        <w:t xml:space="preserve">When </w:t>
      </w:r>
      <w:r>
        <w:t>assessing</w:t>
      </w:r>
      <w:r w:rsidRPr="006526A1">
        <w:t xml:space="preserve"> control</w:t>
      </w:r>
      <w:r>
        <w:t xml:space="preserve"> by another reporting entity</w:t>
      </w:r>
      <w:r w:rsidRPr="006526A1">
        <w:t xml:space="preserve">, the Regulator may check </w:t>
      </w:r>
      <w:r>
        <w:t>the entity’s</w:t>
      </w:r>
      <w:r w:rsidRPr="006526A1">
        <w:t xml:space="preserve"> organisational structure and ownership details.</w:t>
      </w:r>
    </w:p>
    <w:p w14:paraId="5DF717AF" w14:textId="77777777" w:rsidR="000E0490" w:rsidRDefault="000E0490" w:rsidP="00E75757">
      <w:pPr>
        <w:pStyle w:val="OutlineNumbered1"/>
        <w:spacing w:after="240"/>
        <w:ind w:left="567" w:hanging="567"/>
      </w:pPr>
      <w:r w:rsidRPr="006526A1">
        <w:t xml:space="preserve">In a group, several entities may meet </w:t>
      </w:r>
      <w:r>
        <w:t>the reporting entity</w:t>
      </w:r>
      <w:r w:rsidRPr="006526A1">
        <w:t xml:space="preserve"> criteria. However, if </w:t>
      </w:r>
      <w:r>
        <w:t xml:space="preserve">all </w:t>
      </w:r>
      <w:r w:rsidRPr="006526A1">
        <w:t xml:space="preserve">are controlled by the same </w:t>
      </w:r>
      <w:r>
        <w:t>reporting entity</w:t>
      </w:r>
      <w:r w:rsidRPr="006526A1">
        <w:t xml:space="preserve">, only the </w:t>
      </w:r>
      <w:r>
        <w:t>highest-level reporting entity in the group structure would usually need to report</w:t>
      </w:r>
      <w:r w:rsidRPr="006526A1">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38758C" w14:paraId="7DCF0A59" w14:textId="77777777">
        <w:tc>
          <w:tcPr>
            <w:tcW w:w="5000" w:type="pct"/>
            <w:shd w:val="clear" w:color="auto" w:fill="EBF1F7"/>
          </w:tcPr>
          <w:p w14:paraId="5995BFB2" w14:textId="57EB3145" w:rsidR="0038758C" w:rsidRPr="000553FE" w:rsidRDefault="00DB7F02">
            <w:pPr>
              <w:pStyle w:val="BoxHeading"/>
              <w:rPr>
                <w:b w:val="0"/>
              </w:rPr>
            </w:pPr>
            <w:r>
              <w:t>Example</w:t>
            </w:r>
            <w:r w:rsidR="00E34CC4">
              <w:t xml:space="preserve"> 10</w:t>
            </w:r>
          </w:p>
          <w:p w14:paraId="60E8079F" w14:textId="4A3E5AD2" w:rsidR="0038758C" w:rsidRPr="00247BAC" w:rsidRDefault="00DB7F02">
            <w:pPr>
              <w:pStyle w:val="BoxHeading2-Blue"/>
            </w:pPr>
            <w:r>
              <w:rPr>
                <w:rStyle w:val="Strong"/>
              </w:rPr>
              <w:t>Foreign controll</w:t>
            </w:r>
            <w:r w:rsidR="00D35595">
              <w:rPr>
                <w:rStyle w:val="Strong"/>
              </w:rPr>
              <w:t>ing</w:t>
            </w:r>
            <w:r>
              <w:rPr>
                <w:rStyle w:val="Strong"/>
              </w:rPr>
              <w:t xml:space="preserve"> entities</w:t>
            </w:r>
          </w:p>
          <w:p w14:paraId="65DA0DBC" w14:textId="77777777" w:rsidR="00DB7F02" w:rsidRPr="00DB7F02" w:rsidRDefault="00DB7F02" w:rsidP="00DB7F02">
            <w:pPr>
              <w:pStyle w:val="BoxBullet"/>
              <w:numPr>
                <w:ilvl w:val="0"/>
                <w:numId w:val="0"/>
              </w:numPr>
              <w:ind w:left="283" w:hanging="283"/>
              <w:rPr>
                <w:u w:val="single"/>
              </w:rPr>
            </w:pPr>
            <w:r w:rsidRPr="00DB7F02">
              <w:rPr>
                <w:u w:val="single"/>
              </w:rPr>
              <w:t xml:space="preserve">Scenario 1: </w:t>
            </w:r>
          </w:p>
          <w:p w14:paraId="418E5A7D" w14:textId="69FB3982" w:rsidR="00DB7F02" w:rsidRDefault="00DB7F02" w:rsidP="00DB7F02">
            <w:pPr>
              <w:pStyle w:val="BoxBullet"/>
            </w:pPr>
            <w:r>
              <w:t xml:space="preserve">A foreign parent entity and two of its wholly owned Australian subsidiaries all meet the criteria to be a reporting entity. Only the foreign entity reports because the two Australian subsidiaries are controlled by another reporting entity. </w:t>
            </w:r>
          </w:p>
          <w:p w14:paraId="04D23729" w14:textId="77777777" w:rsidR="005868FF" w:rsidRPr="005868FF" w:rsidRDefault="00DB7F02" w:rsidP="005868FF">
            <w:pPr>
              <w:pStyle w:val="BoxBullet"/>
              <w:numPr>
                <w:ilvl w:val="0"/>
                <w:numId w:val="0"/>
              </w:numPr>
              <w:rPr>
                <w:u w:val="single"/>
              </w:rPr>
            </w:pPr>
            <w:r w:rsidRPr="005868FF">
              <w:rPr>
                <w:u w:val="single"/>
              </w:rPr>
              <w:t xml:space="preserve">Scenario 2: </w:t>
            </w:r>
          </w:p>
          <w:p w14:paraId="01D58958" w14:textId="77777777" w:rsidR="005868FF" w:rsidRDefault="00DB7F02" w:rsidP="00DB7F02">
            <w:pPr>
              <w:pStyle w:val="BoxBullet"/>
            </w:pPr>
            <w:r>
              <w:t xml:space="preserve">Scenario 1 but the foreign parent entity has no connection to Australia and is not a reporting entity. </w:t>
            </w:r>
          </w:p>
          <w:p w14:paraId="0D324F0C" w14:textId="2FC709F3" w:rsidR="00DB7F02" w:rsidRDefault="00DB7F02" w:rsidP="00DB7F02">
            <w:pPr>
              <w:pStyle w:val="BoxBullet"/>
            </w:pPr>
            <w:r>
              <w:t xml:space="preserve">Both Australian subsidiaries must report because they are reporting entities but are not controlled by a reporting entity. </w:t>
            </w:r>
          </w:p>
          <w:p w14:paraId="184A84A2" w14:textId="4DEF90F0" w:rsidR="0038758C" w:rsidRPr="008950C5" w:rsidRDefault="00DB7F02" w:rsidP="005868FF">
            <w:pPr>
              <w:pStyle w:val="BoxBullet"/>
              <w:numPr>
                <w:ilvl w:val="0"/>
                <w:numId w:val="0"/>
              </w:numPr>
            </w:pPr>
            <w:r w:rsidRPr="005868FF">
              <w:rPr>
                <w:u w:val="single"/>
              </w:rPr>
              <w:t>Note:</w:t>
            </w:r>
            <w:r>
              <w:t xml:space="preserve"> </w:t>
            </w:r>
            <w:r w:rsidR="004F489B">
              <w:t xml:space="preserve">the foreign parent entity </w:t>
            </w:r>
            <w:r w:rsidR="00AB3DCC">
              <w:t>to whom</w:t>
            </w:r>
            <w:r w:rsidDel="00AB3DCC">
              <w:t xml:space="preserve"> </w:t>
            </w:r>
            <w:r>
              <w:t>Scenario 2 applies may wish to consider</w:t>
            </w:r>
            <w:r w:rsidR="00E71AEE">
              <w:t xml:space="preserve"> </w:t>
            </w:r>
            <w:r w:rsidR="007757D0">
              <w:t>applying to be a</w:t>
            </w:r>
            <w:r w:rsidR="008A39C4">
              <w:t xml:space="preserve"> reporting nominee</w:t>
            </w:r>
            <w:r w:rsidR="007757D0">
              <w:t xml:space="preserve"> </w:t>
            </w:r>
            <w:r w:rsidR="008A39C4">
              <w:t xml:space="preserve">(see </w:t>
            </w:r>
            <w:r w:rsidR="005A0E14" w:rsidRPr="00CB2EEA">
              <w:rPr>
                <w:b/>
                <w:bCs/>
                <w:color w:val="00827F" w:themeColor="accent2"/>
              </w:rPr>
              <w:fldChar w:fldCharType="begin"/>
            </w:r>
            <w:r w:rsidR="005A0E14" w:rsidRPr="00CB2EEA">
              <w:rPr>
                <w:b/>
                <w:bCs/>
                <w:color w:val="00827F" w:themeColor="accent2"/>
              </w:rPr>
              <w:instrText xml:space="preserve"> REF _Ref179826532 \h </w:instrText>
            </w:r>
            <w:r w:rsidR="00CB2EEA">
              <w:rPr>
                <w:b/>
                <w:bCs/>
                <w:color w:val="00827F" w:themeColor="accent2"/>
              </w:rPr>
              <w:instrText xml:space="preserve"> \* MERGEFORMAT </w:instrText>
            </w:r>
            <w:r w:rsidR="005A0E14" w:rsidRPr="00CB2EEA">
              <w:rPr>
                <w:b/>
                <w:bCs/>
                <w:color w:val="00827F" w:themeColor="accent2"/>
              </w:rPr>
            </w:r>
            <w:r w:rsidR="005A0E14" w:rsidRPr="00CB2EEA">
              <w:rPr>
                <w:b/>
                <w:bCs/>
                <w:color w:val="00827F" w:themeColor="accent2"/>
              </w:rPr>
              <w:fldChar w:fldCharType="separate"/>
            </w:r>
            <w:r w:rsidR="005A0E14" w:rsidRPr="00CB2EEA">
              <w:rPr>
                <w:b/>
                <w:bCs/>
                <w:color w:val="00827F" w:themeColor="accent2"/>
              </w:rPr>
              <w:t>Nominee reporting entities</w:t>
            </w:r>
            <w:r w:rsidR="005A0E14" w:rsidRPr="00CB2EEA">
              <w:rPr>
                <w:b/>
                <w:bCs/>
                <w:color w:val="00827F" w:themeColor="accent2"/>
              </w:rPr>
              <w:fldChar w:fldCharType="end"/>
            </w:r>
            <w:r w:rsidR="005868FF" w:rsidRPr="00D92D6D" w:rsidDel="004F489B">
              <w:fldChar w:fldCharType="begin"/>
            </w:r>
            <w:r w:rsidR="005868FF" w:rsidRPr="00D92D6D" w:rsidDel="004F489B">
              <w:fldChar w:fldCharType="separate"/>
            </w:r>
            <w:r w:rsidR="005868FF" w:rsidRPr="00D92D6D" w:rsidDel="004F489B">
              <w:t xml:space="preserve">Nominee reporting </w:t>
            </w:r>
            <w:r w:rsidR="004F489B" w:rsidRPr="00D92D6D">
              <w:t>entity</w:t>
            </w:r>
            <w:r w:rsidR="005868FF" w:rsidRPr="00D92D6D" w:rsidDel="004F489B">
              <w:fldChar w:fldCharType="end"/>
            </w:r>
            <w:r w:rsidR="008A39C4" w:rsidRPr="00D92D6D">
              <w:t>)</w:t>
            </w:r>
            <w:r w:rsidR="00E71AEE" w:rsidRPr="007E19D9">
              <w:t>.</w:t>
            </w:r>
            <w:r w:rsidR="00A30958" w:rsidRPr="007E19D9">
              <w:t xml:space="preserve"> </w:t>
            </w:r>
            <w:r w:rsidR="00FF4D14">
              <w:t>Hereafter</w:t>
            </w:r>
            <w:r w:rsidR="003546B7" w:rsidRPr="007E19D9">
              <w:t xml:space="preserve">, </w:t>
            </w:r>
            <w:r w:rsidR="007E011C" w:rsidRPr="007E19D9">
              <w:t>reporting nominees will be refer</w:t>
            </w:r>
            <w:r w:rsidR="00F85FE1" w:rsidRPr="007E19D9">
              <w:t xml:space="preserve">red to in this </w:t>
            </w:r>
            <w:r w:rsidR="00903398">
              <w:t>G</w:t>
            </w:r>
            <w:r w:rsidR="00F85FE1" w:rsidRPr="007E19D9">
              <w:t>uidance as nominee reporting entities</w:t>
            </w:r>
            <w:r>
              <w:t>.</w:t>
            </w:r>
          </w:p>
        </w:tc>
      </w:tr>
    </w:tbl>
    <w:p w14:paraId="19EC650D" w14:textId="77777777" w:rsidR="00FD7474" w:rsidRDefault="00FD7474" w:rsidP="000E0490">
      <w:pPr>
        <w:pStyle w:val="Heading2"/>
      </w:pPr>
      <w:bookmarkStart w:id="36" w:name="_Ref179826454"/>
      <w:bookmarkStart w:id="37" w:name="_Toc180688115"/>
      <w:r>
        <w:br/>
      </w:r>
    </w:p>
    <w:p w14:paraId="5B506D81" w14:textId="77777777" w:rsidR="00FD7474" w:rsidRDefault="00FD7474">
      <w:pPr>
        <w:spacing w:before="0" w:after="160" w:line="259" w:lineRule="auto"/>
        <w:rPr>
          <w:rFonts w:cs="Arial"/>
          <w:iCs/>
          <w:color w:val="3A6FAF" w:themeColor="accent3"/>
          <w:kern w:val="32"/>
          <w:sz w:val="36"/>
          <w:szCs w:val="28"/>
        </w:rPr>
      </w:pPr>
      <w:r>
        <w:br w:type="page"/>
      </w:r>
    </w:p>
    <w:p w14:paraId="43EC2A22" w14:textId="1CED6BE2" w:rsidR="000E0490" w:rsidRPr="006526A1" w:rsidRDefault="000E0490" w:rsidP="000E0490">
      <w:pPr>
        <w:pStyle w:val="Heading2"/>
      </w:pPr>
      <w:bookmarkStart w:id="38" w:name="_Toc184822194"/>
      <w:r w:rsidRPr="006526A1">
        <w:lastRenderedPageBreak/>
        <w:t xml:space="preserve">Ceasing to be a </w:t>
      </w:r>
      <w:r>
        <w:t>r</w:t>
      </w:r>
      <w:r w:rsidRPr="006526A1">
        <w:t xml:space="preserve">eporting </w:t>
      </w:r>
      <w:r>
        <w:t>e</w:t>
      </w:r>
      <w:r w:rsidRPr="006526A1">
        <w:t>ntity</w:t>
      </w:r>
      <w:bookmarkEnd w:id="36"/>
      <w:bookmarkEnd w:id="37"/>
      <w:bookmarkEnd w:id="38"/>
    </w:p>
    <w:p w14:paraId="561940B4" w14:textId="77777777" w:rsidR="000E0490" w:rsidRPr="006526A1" w:rsidRDefault="000E0490" w:rsidP="00DE08FF">
      <w:pPr>
        <w:pStyle w:val="OutlineNumbered1"/>
        <w:spacing w:before="120"/>
        <w:ind w:left="567" w:hanging="567"/>
      </w:pPr>
      <w:r w:rsidRPr="006526A1">
        <w:t xml:space="preserve">An entity can </w:t>
      </w:r>
      <w:r>
        <w:t>cease to be</w:t>
      </w:r>
      <w:r w:rsidRPr="006526A1">
        <w:t xml:space="preserve"> </w:t>
      </w:r>
      <w:r>
        <w:t xml:space="preserve">a </w:t>
      </w:r>
      <w:r w:rsidRPr="006526A1">
        <w:t>reporting entity if:</w:t>
      </w:r>
    </w:p>
    <w:p w14:paraId="21D417E1" w14:textId="77777777" w:rsidR="000E0490" w:rsidRPr="006526A1" w:rsidRDefault="000E0490" w:rsidP="00DE08FF">
      <w:pPr>
        <w:pStyle w:val="OutlineNumberedDot"/>
        <w:spacing w:before="120"/>
        <w:ind w:left="851" w:hanging="284"/>
      </w:pPr>
      <w:r w:rsidRPr="00EA0A6E">
        <w:t>Its</w:t>
      </w:r>
      <w:r>
        <w:t xml:space="preserve"> c</w:t>
      </w:r>
      <w:r w:rsidRPr="006526A1">
        <w:t xml:space="preserve">onsolidated revenue falls below $100 million for </w:t>
      </w:r>
      <w:r>
        <w:t xml:space="preserve">the </w:t>
      </w:r>
      <w:r w:rsidRPr="006526A1">
        <w:t>two</w:t>
      </w:r>
      <w:r>
        <w:t xml:space="preserve"> most recent</w:t>
      </w:r>
      <w:r w:rsidRPr="006526A1">
        <w:t xml:space="preserve"> financial years</w:t>
      </w:r>
      <w:r>
        <w:t>, or</w:t>
      </w:r>
    </w:p>
    <w:p w14:paraId="60A4C816" w14:textId="77777777" w:rsidR="000E0490" w:rsidRPr="006526A1" w:rsidRDefault="000E0490" w:rsidP="00DE08FF">
      <w:pPr>
        <w:pStyle w:val="OutlineNumberedDot"/>
        <w:spacing w:before="120"/>
        <w:ind w:left="851" w:hanging="284"/>
      </w:pPr>
      <w:r w:rsidRPr="006526A1">
        <w:t>The entity no longer meets any other criteria that would make it a reporting entity, such as no longer operating in Australia.</w:t>
      </w:r>
    </w:p>
    <w:p w14:paraId="2C9CDA6C" w14:textId="6627F665" w:rsidR="000E0490" w:rsidRPr="006526A1" w:rsidRDefault="000E0490" w:rsidP="00DE08FF">
      <w:pPr>
        <w:pStyle w:val="OutlineNumbered1"/>
        <w:spacing w:before="120"/>
        <w:ind w:left="567" w:hanging="567"/>
      </w:pPr>
      <w:r w:rsidRPr="006526A1">
        <w:t xml:space="preserve">If this happens, </w:t>
      </w:r>
      <w:r>
        <w:t>the entity</w:t>
      </w:r>
      <w:r w:rsidRPr="006526A1">
        <w:t xml:space="preserve"> must</w:t>
      </w:r>
      <w:r>
        <w:t xml:space="preserve"> n</w:t>
      </w:r>
      <w:r w:rsidRPr="00EA0A6E">
        <w:t>otify the Regulator</w:t>
      </w:r>
      <w:r w:rsidRPr="00075049">
        <w:t xml:space="preserve"> through</w:t>
      </w:r>
      <w:r w:rsidRPr="006526A1">
        <w:t xml:space="preserve"> </w:t>
      </w:r>
      <w:hyperlink r:id="rId28" w:history="1">
        <w:r w:rsidR="00A051E6">
          <w:rPr>
            <w:rStyle w:val="Hyperlink"/>
          </w:rPr>
          <w:t>the</w:t>
        </w:r>
        <w:r w:rsidRPr="004979D3">
          <w:rPr>
            <w:rStyle w:val="Hyperlink"/>
          </w:rPr>
          <w:t xml:space="preserve"> Portal</w:t>
        </w:r>
      </w:hyperlink>
      <w:r w:rsidRPr="006526A1">
        <w:t xml:space="preserve"> that </w:t>
      </w:r>
      <w:r>
        <w:t>it</w:t>
      </w:r>
      <w:r w:rsidRPr="006526A1">
        <w:t xml:space="preserve"> no longer qualifies as a reporting entity</w:t>
      </w:r>
      <w:r>
        <w:t xml:space="preserve"> and e</w:t>
      </w:r>
      <w:r w:rsidRPr="006526A1">
        <w:t xml:space="preserve">nsure </w:t>
      </w:r>
      <w:r>
        <w:t>that it has no outstanding payment times reports.</w:t>
      </w:r>
    </w:p>
    <w:p w14:paraId="18742054" w14:textId="77777777" w:rsidR="000E0490" w:rsidRPr="006526A1" w:rsidRDefault="000E0490" w:rsidP="000E0490">
      <w:pPr>
        <w:pStyle w:val="Heading3"/>
        <w:rPr>
          <w:b/>
          <w:sz w:val="24"/>
          <w:szCs w:val="24"/>
        </w:rPr>
      </w:pPr>
      <w:bookmarkStart w:id="39" w:name="_Toc180688116"/>
      <w:bookmarkStart w:id="40" w:name="_Toc184822195"/>
      <w:r w:rsidRPr="006526A1">
        <w:t xml:space="preserve">Winding </w:t>
      </w:r>
      <w:r>
        <w:t>u</w:t>
      </w:r>
      <w:r w:rsidRPr="006526A1">
        <w:t xml:space="preserve">p and </w:t>
      </w:r>
      <w:r>
        <w:t>d</w:t>
      </w:r>
      <w:r w:rsidRPr="006526A1">
        <w:t>eregistering</w:t>
      </w:r>
      <w:bookmarkEnd w:id="39"/>
      <w:bookmarkEnd w:id="40"/>
    </w:p>
    <w:p w14:paraId="3A08E7BF" w14:textId="77777777" w:rsidR="000E0490" w:rsidRPr="006526A1" w:rsidRDefault="000E0490" w:rsidP="000E5061">
      <w:pPr>
        <w:pStyle w:val="OutlineNumbered1"/>
        <w:ind w:left="567" w:hanging="567"/>
      </w:pPr>
      <w:r w:rsidRPr="006526A1">
        <w:t xml:space="preserve">If </w:t>
      </w:r>
      <w:r>
        <w:t xml:space="preserve">an </w:t>
      </w:r>
      <w:r w:rsidRPr="006526A1">
        <w:t xml:space="preserve">entity </w:t>
      </w:r>
      <w:r w:rsidRPr="00075049">
        <w:t xml:space="preserve">is </w:t>
      </w:r>
      <w:r w:rsidRPr="00EA0A6E">
        <w:t>wound up</w:t>
      </w:r>
      <w:r w:rsidRPr="00075049">
        <w:t xml:space="preserve"> or </w:t>
      </w:r>
      <w:r w:rsidRPr="00EA0A6E">
        <w:t>deregistered</w:t>
      </w:r>
      <w:r w:rsidRPr="00075049">
        <w:t>, it will</w:t>
      </w:r>
      <w:r w:rsidRPr="006526A1">
        <w:t xml:space="preserve"> likely </w:t>
      </w:r>
      <w:r>
        <w:t>cease</w:t>
      </w:r>
      <w:r w:rsidRPr="006526A1">
        <w:t xml:space="preserve"> being a reporting entity. In this case</w:t>
      </w:r>
      <w:r>
        <w:t>, the entity should</w:t>
      </w:r>
      <w:r w:rsidRPr="006526A1">
        <w:t>:</w:t>
      </w:r>
    </w:p>
    <w:p w14:paraId="02AF4AD4" w14:textId="77777777" w:rsidR="000E0490" w:rsidRPr="006526A1" w:rsidRDefault="000E0490" w:rsidP="000E5061">
      <w:pPr>
        <w:pStyle w:val="OutlineNumberedDot"/>
        <w:ind w:left="851" w:hanging="284"/>
      </w:pPr>
      <w:r w:rsidRPr="006526A1">
        <w:t>Submit any outstanding payment times reports before deregistering</w:t>
      </w:r>
      <w:r>
        <w:t>, and</w:t>
      </w:r>
    </w:p>
    <w:p w14:paraId="19D66296" w14:textId="616063A3" w:rsidR="000E0490" w:rsidRPr="006526A1" w:rsidRDefault="000E0490" w:rsidP="000E5061">
      <w:pPr>
        <w:pStyle w:val="OutlineNumberedDot"/>
        <w:ind w:left="851" w:hanging="284"/>
      </w:pPr>
      <w:r>
        <w:t>N</w:t>
      </w:r>
      <w:r w:rsidRPr="009764BD">
        <w:t xml:space="preserve">otify the Regulator through </w:t>
      </w:r>
      <w:hyperlink r:id="rId29" w:history="1">
        <w:r w:rsidR="00E608F9">
          <w:rPr>
            <w:rStyle w:val="Hyperlink"/>
          </w:rPr>
          <w:t>the</w:t>
        </w:r>
        <w:r w:rsidR="00E608F9" w:rsidRPr="004979D3">
          <w:rPr>
            <w:rStyle w:val="Hyperlink"/>
          </w:rPr>
          <w:t xml:space="preserve"> Portal</w:t>
        </w:r>
      </w:hyperlink>
      <w:r w:rsidRPr="009764BD">
        <w:t xml:space="preserve"> that it is no longer a reporting entity. </w:t>
      </w:r>
    </w:p>
    <w:p w14:paraId="5090D77B" w14:textId="7E8BC6DA" w:rsidR="000E0490" w:rsidRPr="00605DDA" w:rsidRDefault="000E0490" w:rsidP="000E5061">
      <w:pPr>
        <w:pStyle w:val="OutlineNumbered1"/>
        <w:ind w:left="567" w:hanging="567"/>
      </w:pPr>
      <w:r w:rsidRPr="00605DDA">
        <w:t xml:space="preserve">The Regulator may consider company registration information on the Australian Business Register and information held by </w:t>
      </w:r>
      <w:r w:rsidRPr="007E19D9">
        <w:t>ASIC</w:t>
      </w:r>
      <w:r w:rsidRPr="00605DDA">
        <w:t xml:space="preserve"> to confirm an entity has been deregistered. </w:t>
      </w:r>
    </w:p>
    <w:p w14:paraId="5FA762FF" w14:textId="77777777" w:rsidR="000E0490" w:rsidRPr="009764BD" w:rsidRDefault="000E0490" w:rsidP="000E5061">
      <w:pPr>
        <w:pStyle w:val="OutlineNumbered1"/>
        <w:ind w:left="567" w:hanging="567"/>
      </w:pPr>
      <w:r w:rsidRPr="009764BD">
        <w:t xml:space="preserve">If </w:t>
      </w:r>
      <w:r>
        <w:t xml:space="preserve">an entity ceases reporting but fails to give notice of deregistration, the Regulator </w:t>
      </w:r>
      <w:r w:rsidRPr="009764BD">
        <w:t xml:space="preserve">may investigate </w:t>
      </w:r>
      <w:r>
        <w:t xml:space="preserve">for </w:t>
      </w:r>
      <w:r w:rsidRPr="009764BD">
        <w:t>non</w:t>
      </w:r>
      <w:r>
        <w:noBreakHyphen/>
      </w:r>
      <w:r w:rsidRPr="009764BD">
        <w:t>compliance.</w:t>
      </w:r>
    </w:p>
    <w:p w14:paraId="338DBE42" w14:textId="77777777" w:rsidR="000E0490" w:rsidRPr="006526A1" w:rsidRDefault="000E0490" w:rsidP="000E0490">
      <w:pPr>
        <w:pStyle w:val="Heading3"/>
        <w:rPr>
          <w:b/>
          <w:sz w:val="24"/>
          <w:szCs w:val="24"/>
        </w:rPr>
      </w:pPr>
      <w:bookmarkStart w:id="41" w:name="_Toc180688117"/>
      <w:bookmarkStart w:id="42" w:name="_Toc184822196"/>
      <w:r w:rsidRPr="006526A1">
        <w:t xml:space="preserve">Consolidated </w:t>
      </w:r>
      <w:r>
        <w:t>r</w:t>
      </w:r>
      <w:r w:rsidRPr="006526A1">
        <w:t xml:space="preserve">evenue </w:t>
      </w:r>
      <w:r>
        <w:t>b</w:t>
      </w:r>
      <w:r w:rsidRPr="006526A1">
        <w:t xml:space="preserve">elow $100 </w:t>
      </w:r>
      <w:r>
        <w:t>m</w:t>
      </w:r>
      <w:r w:rsidRPr="006526A1">
        <w:t>illion</w:t>
      </w:r>
      <w:bookmarkEnd w:id="41"/>
      <w:bookmarkEnd w:id="42"/>
    </w:p>
    <w:p w14:paraId="5FC8B9D9" w14:textId="77777777" w:rsidR="000E0490" w:rsidRPr="00075049" w:rsidRDefault="000E0490" w:rsidP="000E5061">
      <w:pPr>
        <w:pStyle w:val="OutlineNumbered1"/>
        <w:ind w:left="567" w:hanging="567"/>
      </w:pPr>
      <w:r w:rsidRPr="00075049">
        <w:t xml:space="preserve">If an entity’s </w:t>
      </w:r>
      <w:r w:rsidRPr="00EA0A6E">
        <w:t>consolidated revenue</w:t>
      </w:r>
      <w:r w:rsidRPr="00075049">
        <w:t xml:space="preserve"> falls below $100 million for </w:t>
      </w:r>
      <w:r>
        <w:t xml:space="preserve">the </w:t>
      </w:r>
      <w:r w:rsidRPr="00075049">
        <w:t xml:space="preserve">two </w:t>
      </w:r>
      <w:r>
        <w:t xml:space="preserve">most recent </w:t>
      </w:r>
      <w:r w:rsidRPr="00075049">
        <w:t xml:space="preserve">financial years, it can cease being a reporting entity. </w:t>
      </w:r>
    </w:p>
    <w:p w14:paraId="328EABCD" w14:textId="0A0FE3A6" w:rsidR="000E0490" w:rsidRPr="00075049" w:rsidRDefault="000E0490" w:rsidP="002D6C45">
      <w:pPr>
        <w:pStyle w:val="OutlineNumbered1"/>
        <w:spacing w:after="240"/>
        <w:ind w:left="567" w:hanging="567"/>
      </w:pPr>
      <w:r>
        <w:t>T</w:t>
      </w:r>
      <w:r w:rsidRPr="00075049">
        <w:t xml:space="preserve">he entity must </w:t>
      </w:r>
      <w:r>
        <w:t>n</w:t>
      </w:r>
      <w:r w:rsidRPr="00EA0A6E">
        <w:t>otify the Regulator</w:t>
      </w:r>
      <w:r w:rsidRPr="00075049">
        <w:t xml:space="preserve"> through </w:t>
      </w:r>
      <w:hyperlink r:id="rId30" w:history="1">
        <w:r w:rsidR="00E608F9">
          <w:rPr>
            <w:rStyle w:val="Hyperlink"/>
          </w:rPr>
          <w:t>the</w:t>
        </w:r>
        <w:r w:rsidR="00E608F9" w:rsidRPr="004979D3">
          <w:rPr>
            <w:rStyle w:val="Hyperlink"/>
          </w:rPr>
          <w:t xml:space="preserve"> Portal</w:t>
        </w:r>
      </w:hyperlink>
      <w:r w:rsidRPr="00075049">
        <w:t xml:space="preserve"> and provide evidence, such as financial statements or tax returns, to show </w:t>
      </w:r>
      <w:r>
        <w:t xml:space="preserve">its consolidated </w:t>
      </w:r>
      <w:r w:rsidRPr="00075049">
        <w:t xml:space="preserve">revenue has been below the threshold for the past two </w:t>
      </w:r>
      <w:r>
        <w:t xml:space="preserve">financial </w:t>
      </w:r>
      <w:r w:rsidRPr="00075049">
        <w:t>years.</w:t>
      </w:r>
      <w:r>
        <w:t xml:space="preserve"> </w:t>
      </w:r>
      <w:r w:rsidRPr="00F96669">
        <w:t>Until</w:t>
      </w:r>
      <w:r>
        <w:t xml:space="preserve"> the entity gives</w:t>
      </w:r>
      <w:r w:rsidRPr="00F96669">
        <w:t xml:space="preserve"> notice </w:t>
      </w:r>
      <w:r>
        <w:t xml:space="preserve">it </w:t>
      </w:r>
      <w:r w:rsidRPr="00F96669">
        <w:t>continues to have reporting obligations.</w:t>
      </w:r>
    </w:p>
    <w:tbl>
      <w:tblPr>
        <w:tblpPr w:leftFromText="180" w:rightFromText="180" w:vertAnchor="text" w:horzAnchor="margin" w:tblpY="1131"/>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607D92" w14:paraId="090B5B62" w14:textId="77777777" w:rsidTr="00607D92">
        <w:tc>
          <w:tcPr>
            <w:tcW w:w="5000" w:type="pct"/>
            <w:shd w:val="clear" w:color="auto" w:fill="EBF1F7"/>
          </w:tcPr>
          <w:p w14:paraId="5F11A729" w14:textId="78332103" w:rsidR="00607D92" w:rsidRPr="000553FE" w:rsidRDefault="00607D92" w:rsidP="002D6C45">
            <w:pPr>
              <w:pStyle w:val="BoxHeading"/>
              <w:spacing w:before="0"/>
              <w:rPr>
                <w:b w:val="0"/>
              </w:rPr>
            </w:pPr>
            <w:r>
              <w:t>Example</w:t>
            </w:r>
            <w:r w:rsidR="00E34CC4">
              <w:t xml:space="preserve"> 11</w:t>
            </w:r>
          </w:p>
          <w:p w14:paraId="4346AB3C" w14:textId="77777777" w:rsidR="00607D92" w:rsidRPr="00EA1AFD" w:rsidRDefault="00607D92" w:rsidP="002D6C45">
            <w:pPr>
              <w:pStyle w:val="BoxHeading2-Blue"/>
              <w:spacing w:before="0"/>
            </w:pPr>
            <w:r>
              <w:rPr>
                <w:rStyle w:val="Strong"/>
              </w:rPr>
              <w:t>Effect of notice</w:t>
            </w:r>
          </w:p>
          <w:p w14:paraId="0923EBDA" w14:textId="77777777" w:rsidR="00607D92" w:rsidRDefault="00607D92" w:rsidP="002D6C45">
            <w:pPr>
              <w:pStyle w:val="BoxBullet"/>
            </w:pPr>
            <w:r>
              <w:t>A reporting entity’s financial year ends 30 June and its consolidated revenue falls below $100 million for the years ending 30 June 2026 and 30 June 2027.</w:t>
            </w:r>
          </w:p>
          <w:p w14:paraId="7220A717" w14:textId="1E9D0D8E" w:rsidR="00607D92" w:rsidRDefault="00607D92" w:rsidP="002D6C45">
            <w:pPr>
              <w:pStyle w:val="BoxDash"/>
            </w:pPr>
            <w:r>
              <w:t>Notice given on 29 June 2027 would be ineffective because the entity did not have</w:t>
            </w:r>
            <w:r w:rsidR="000E6DE1">
              <w:t xml:space="preserve"> revenue below the threshold</w:t>
            </w:r>
            <w:r w:rsidR="00617F15">
              <w:t xml:space="preserve"> in</w:t>
            </w:r>
            <w:r>
              <w:t xml:space="preserve"> two consecutive years </w:t>
            </w:r>
            <w:r w:rsidR="00617F15">
              <w:t xml:space="preserve">before </w:t>
            </w:r>
            <w:r w:rsidDel="00617F15">
              <w:t>the</w:t>
            </w:r>
            <w:r>
              <w:t xml:space="preserve"> beginning of the reporting period starting 1 January 2027.</w:t>
            </w:r>
          </w:p>
          <w:p w14:paraId="3B28F999" w14:textId="59717EF7" w:rsidR="00607D92" w:rsidRDefault="00607D92" w:rsidP="002D6C45">
            <w:pPr>
              <w:pStyle w:val="BoxDash"/>
            </w:pPr>
            <w:r>
              <w:t>Notice given on 30 September 2027 would be effective from 1 July 2027.</w:t>
            </w:r>
          </w:p>
          <w:p w14:paraId="2DFC4796" w14:textId="77777777" w:rsidR="00607D92" w:rsidRDefault="00607D92" w:rsidP="002D6C45">
            <w:pPr>
              <w:pStyle w:val="BoxBullet"/>
            </w:pPr>
            <w:r>
              <w:t xml:space="preserve">If the reporting entity delays giving notice until 31 March 2028, the notice would be effective from the reporting period starting 1 January 2028. </w:t>
            </w:r>
          </w:p>
          <w:p w14:paraId="425319A3" w14:textId="77777777" w:rsidR="00607D92" w:rsidRPr="008950C5" w:rsidRDefault="00607D92" w:rsidP="002D6C45">
            <w:pPr>
              <w:pStyle w:val="BoxDash"/>
            </w:pPr>
            <w:r>
              <w:t>A report would need to be submitted for the reporting period ending 31 December 2027.</w:t>
            </w:r>
          </w:p>
        </w:tc>
      </w:tr>
    </w:tbl>
    <w:p w14:paraId="26619584" w14:textId="77777777" w:rsidR="000E0490" w:rsidRDefault="000E0490" w:rsidP="00E75757">
      <w:pPr>
        <w:pStyle w:val="OutlineNumbered1"/>
        <w:spacing w:after="240"/>
        <w:ind w:left="567" w:hanging="567"/>
      </w:pPr>
      <w:r w:rsidRPr="00075049">
        <w:t>The notice takes effect at the start of the reporting period</w:t>
      </w:r>
      <w:r>
        <w:t xml:space="preserve"> in which the notice is given</w:t>
      </w:r>
      <w:r w:rsidRPr="00075049">
        <w:t>, provided the entity’s revenue was below the threshold for the prior two consecutive</w:t>
      </w:r>
      <w:r>
        <w:t xml:space="preserve"> financial</w:t>
      </w:r>
      <w:r w:rsidRPr="00075049">
        <w:t xml:space="preserve"> years.</w:t>
      </w:r>
    </w:p>
    <w:p w14:paraId="4AEBDFD4" w14:textId="77777777" w:rsidR="000E0490" w:rsidRPr="006526A1" w:rsidRDefault="000E0490" w:rsidP="000E0490">
      <w:pPr>
        <w:pStyle w:val="Heading3"/>
        <w:rPr>
          <w:b/>
          <w:sz w:val="24"/>
          <w:szCs w:val="24"/>
        </w:rPr>
      </w:pPr>
      <w:bookmarkStart w:id="43" w:name="_Toc180688118"/>
      <w:bookmarkStart w:id="44" w:name="_Toc184822197"/>
      <w:r w:rsidRPr="006526A1">
        <w:lastRenderedPageBreak/>
        <w:t xml:space="preserve">Acquisitions by </w:t>
      </w:r>
      <w:r>
        <w:t>o</w:t>
      </w:r>
      <w:r w:rsidRPr="006526A1">
        <w:t xml:space="preserve">ther </w:t>
      </w:r>
      <w:r>
        <w:t>r</w:t>
      </w:r>
      <w:r w:rsidRPr="006526A1">
        <w:t xml:space="preserve">eporting </w:t>
      </w:r>
      <w:r>
        <w:t>e</w:t>
      </w:r>
      <w:r w:rsidRPr="006526A1">
        <w:t>ntities</w:t>
      </w:r>
      <w:bookmarkEnd w:id="43"/>
      <w:bookmarkEnd w:id="44"/>
    </w:p>
    <w:p w14:paraId="55F6AE5E" w14:textId="77777777" w:rsidR="000E0490" w:rsidRPr="00075049" w:rsidRDefault="000E0490" w:rsidP="00DE08FF">
      <w:pPr>
        <w:pStyle w:val="OutlineNumbered1"/>
        <w:spacing w:before="120"/>
        <w:ind w:left="567" w:hanging="567"/>
      </w:pPr>
      <w:r w:rsidRPr="00075049">
        <w:t>If a</w:t>
      </w:r>
      <w:r>
        <w:t xml:space="preserve"> reporting </w:t>
      </w:r>
      <w:r w:rsidRPr="00075049">
        <w:t xml:space="preserve">entity </w:t>
      </w:r>
      <w:r>
        <w:t>is acquired and becomes controlled by another reporting entity</w:t>
      </w:r>
      <w:r w:rsidRPr="00075049">
        <w:t xml:space="preserve">, it is excluded from reporting because the acquiring </w:t>
      </w:r>
      <w:r>
        <w:t xml:space="preserve">reporting </w:t>
      </w:r>
      <w:r w:rsidRPr="00075049">
        <w:t>entity will now report for the entity. In this case, the entity should:</w:t>
      </w:r>
    </w:p>
    <w:p w14:paraId="738C2AA1" w14:textId="77777777" w:rsidR="000E0490" w:rsidRPr="00075049" w:rsidRDefault="000E0490" w:rsidP="00DE08FF">
      <w:pPr>
        <w:pStyle w:val="OutlineNumberedDot"/>
        <w:spacing w:before="120"/>
        <w:ind w:left="851" w:hanging="284"/>
      </w:pPr>
      <w:r>
        <w:t>Advise</w:t>
      </w:r>
      <w:r w:rsidRPr="00EA0A6E">
        <w:t xml:space="preserve"> the Regulator</w:t>
      </w:r>
      <w:r w:rsidRPr="00075049">
        <w:t xml:space="preserve"> as soon as possible after the acquisition</w:t>
      </w:r>
      <w:r>
        <w:t xml:space="preserve">, </w:t>
      </w:r>
      <w:r w:rsidRPr="00075049">
        <w:t>and</w:t>
      </w:r>
    </w:p>
    <w:p w14:paraId="634C6490" w14:textId="77777777" w:rsidR="000E0490" w:rsidRPr="00075049" w:rsidRDefault="000E0490" w:rsidP="00DE08FF">
      <w:pPr>
        <w:pStyle w:val="OutlineNumberedDot"/>
        <w:spacing w:before="120"/>
        <w:ind w:left="851" w:hanging="284"/>
      </w:pPr>
      <w:r w:rsidRPr="00075049">
        <w:t xml:space="preserve">Include any required documents, such as those from </w:t>
      </w:r>
      <w:r w:rsidRPr="00EA0A6E">
        <w:t>ASIC</w:t>
      </w:r>
      <w:r w:rsidRPr="00075049">
        <w:t>, showing the acquisition details and change of control.</w:t>
      </w:r>
    </w:p>
    <w:p w14:paraId="137D6C8E" w14:textId="05D35B7F" w:rsidR="0000339E" w:rsidRDefault="000E0490" w:rsidP="00DE08FF">
      <w:pPr>
        <w:pStyle w:val="OutlineNumbered1"/>
        <w:spacing w:before="120"/>
        <w:ind w:left="567" w:hanging="567"/>
      </w:pPr>
      <w:r w:rsidRPr="000A4DFF">
        <w:t xml:space="preserve">Entities are encouraged to advise the Regulator as soon as possible after </w:t>
      </w:r>
      <w:r w:rsidR="0032181C" w:rsidRPr="001F5095">
        <w:t xml:space="preserve">they </w:t>
      </w:r>
      <w:r>
        <w:t>become</w:t>
      </w:r>
      <w:r w:rsidRPr="000A4DFF">
        <w:t xml:space="preserve"> controlled by another reporting entity</w:t>
      </w:r>
      <w:r w:rsidRPr="000A4DFF" w:rsidDel="002B27E4">
        <w:t xml:space="preserve"> </w:t>
      </w:r>
      <w:r w:rsidR="002B27E4" w:rsidRPr="000A4DFF">
        <w:t xml:space="preserve">however, formal notice </w:t>
      </w:r>
      <w:r w:rsidRPr="000A4DFF">
        <w:t>cannot</w:t>
      </w:r>
      <w:r w:rsidR="002B27E4" w:rsidRPr="000A4DFF">
        <w:t xml:space="preserve"> be</w:t>
      </w:r>
      <w:r w:rsidRPr="000A4DFF">
        <w:t xml:space="preserve"> give</w:t>
      </w:r>
      <w:r w:rsidR="002B27E4" w:rsidRPr="000A4DFF">
        <w:t>n</w:t>
      </w:r>
      <w:r w:rsidRPr="000A4DFF">
        <w:t xml:space="preserve"> until the beginning of the next reporting </w:t>
      </w:r>
      <w:r w:rsidR="00320A10" w:rsidRPr="000A4DFF">
        <w:t xml:space="preserve">period </w:t>
      </w:r>
      <w:r w:rsidRPr="000A4DFF">
        <w:t>after the acquisition. By advising the Regulator</w:t>
      </w:r>
      <w:r w:rsidR="00780771" w:rsidRPr="000A4DFF">
        <w:t xml:space="preserve"> ahead of time</w:t>
      </w:r>
      <w:r w:rsidRPr="000A4DFF">
        <w:t xml:space="preserve">, the entity can be prompted at the beginning of its next reporting period to give notice </w:t>
      </w:r>
      <w:r w:rsidR="00526491" w:rsidRPr="000A4DFF">
        <w:t xml:space="preserve">to </w:t>
      </w:r>
      <w:r w:rsidRPr="000A4DFF">
        <w:t>confirm it is controlled by another reporting entity and will cease reporting.</w:t>
      </w:r>
    </w:p>
    <w:p w14:paraId="17490BD6" w14:textId="77777777" w:rsidR="00842D33" w:rsidRPr="007E19D9" w:rsidRDefault="00842D33" w:rsidP="00842D33">
      <w:pPr>
        <w:pStyle w:val="OutlineNumbered1"/>
        <w:numPr>
          <w:ilvl w:val="0"/>
          <w:numId w:val="0"/>
        </w:numPr>
        <w:spacing w:before="120"/>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0E5061" w14:paraId="19EFCEDA" w14:textId="77777777">
        <w:tc>
          <w:tcPr>
            <w:tcW w:w="5000" w:type="pct"/>
            <w:shd w:val="clear" w:color="auto" w:fill="EBF1F7"/>
          </w:tcPr>
          <w:p w14:paraId="645FFCD8" w14:textId="03E0FE8B" w:rsidR="000E5061" w:rsidRPr="000553FE" w:rsidRDefault="00F00F8C">
            <w:pPr>
              <w:pStyle w:val="BoxHeading"/>
              <w:rPr>
                <w:b w:val="0"/>
              </w:rPr>
            </w:pPr>
            <w:r>
              <w:t>Example</w:t>
            </w:r>
            <w:r w:rsidR="00B748A1">
              <w:t xml:space="preserve"> </w:t>
            </w:r>
            <w:r w:rsidR="00031282">
              <w:t>12</w:t>
            </w:r>
          </w:p>
          <w:p w14:paraId="5173D517" w14:textId="577A8E40" w:rsidR="000E5061" w:rsidRPr="00247BAC" w:rsidRDefault="00F00F8C">
            <w:pPr>
              <w:pStyle w:val="BoxHeading2-Blue"/>
            </w:pPr>
            <w:r>
              <w:rPr>
                <w:rStyle w:val="Strong"/>
              </w:rPr>
              <w:t>Effect of notice</w:t>
            </w:r>
          </w:p>
          <w:p w14:paraId="465B35C8" w14:textId="04A74CBD" w:rsidR="000E5061" w:rsidRDefault="00692D67" w:rsidP="001B5026">
            <w:pPr>
              <w:pStyle w:val="BoxBullet"/>
              <w:numPr>
                <w:ilvl w:val="0"/>
                <w:numId w:val="0"/>
              </w:numPr>
              <w:ind w:left="1" w:hanging="1"/>
            </w:pPr>
            <w:r w:rsidRPr="00692D67">
              <w:t>A reporting entity’s</w:t>
            </w:r>
            <w:r w:rsidR="00717383">
              <w:t xml:space="preserve"> </w:t>
            </w:r>
            <w:r w:rsidRPr="00692D67">
              <w:t>financial year ends 30 June and it is acquired by</w:t>
            </w:r>
            <w:r w:rsidR="00E34F61">
              <w:t xml:space="preserve"> </w:t>
            </w:r>
            <w:r w:rsidRPr="00692D67">
              <w:t>another reporting entity on 31 May 2027.</w:t>
            </w:r>
          </w:p>
          <w:p w14:paraId="5D24B703" w14:textId="11B9EBF4" w:rsidR="00692D67" w:rsidRDefault="00692D67" w:rsidP="008477FE">
            <w:pPr>
              <w:pStyle w:val="BoxBullet"/>
            </w:pPr>
            <w:r>
              <w:t>Notice given on 30 September 2027 would be effective from 1 July 2027.</w:t>
            </w:r>
          </w:p>
          <w:p w14:paraId="50E49A3E" w14:textId="77777777" w:rsidR="00877495" w:rsidRDefault="00692D67" w:rsidP="00877495">
            <w:pPr>
              <w:pStyle w:val="BoxBullet"/>
            </w:pPr>
            <w:r>
              <w:t xml:space="preserve">Notice given on 31 January 2028 would be effective from 1 January 2028. </w:t>
            </w:r>
          </w:p>
          <w:p w14:paraId="42B0F690" w14:textId="39A382FB" w:rsidR="000E5061" w:rsidRPr="008950C5" w:rsidRDefault="00692D67">
            <w:pPr>
              <w:pStyle w:val="BoxDash"/>
            </w:pPr>
            <w:r>
              <w:t>Payments by the acquired entity would need to be reported by both the acquired entity and acquiring entity for the reporting period ending 31 December 2027.</w:t>
            </w:r>
          </w:p>
        </w:tc>
      </w:tr>
    </w:tbl>
    <w:p w14:paraId="45743F64" w14:textId="77777777" w:rsidR="000E0490" w:rsidRPr="006526A1" w:rsidRDefault="000E0490" w:rsidP="000E0490">
      <w:pPr>
        <w:pStyle w:val="Heading3"/>
        <w:rPr>
          <w:b/>
          <w:sz w:val="24"/>
          <w:szCs w:val="24"/>
        </w:rPr>
      </w:pPr>
      <w:bookmarkStart w:id="45" w:name="_Toc180688119"/>
      <w:bookmarkStart w:id="46" w:name="_Toc184822198"/>
      <w:r w:rsidRPr="006526A1">
        <w:t xml:space="preserve">Other </w:t>
      </w:r>
      <w:r>
        <w:t>c</w:t>
      </w:r>
      <w:r w:rsidRPr="006526A1">
        <w:t>ircumstances</w:t>
      </w:r>
      <w:bookmarkEnd w:id="45"/>
      <w:bookmarkEnd w:id="46"/>
    </w:p>
    <w:p w14:paraId="17B0C828" w14:textId="77777777" w:rsidR="000E0490" w:rsidRPr="006526A1" w:rsidRDefault="000E0490" w:rsidP="00842D33">
      <w:pPr>
        <w:pStyle w:val="OutlineNumbered1"/>
        <w:spacing w:before="120"/>
        <w:ind w:left="567" w:hanging="567"/>
      </w:pPr>
      <w:r w:rsidRPr="006526A1">
        <w:t xml:space="preserve">In some cases, entities may </w:t>
      </w:r>
      <w:r>
        <w:t xml:space="preserve">cease to be </w:t>
      </w:r>
      <w:r w:rsidRPr="006526A1">
        <w:t>reporting entit</w:t>
      </w:r>
      <w:r>
        <w:t>ies</w:t>
      </w:r>
      <w:r w:rsidRPr="006526A1">
        <w:t xml:space="preserve"> for </w:t>
      </w:r>
      <w:r>
        <w:t xml:space="preserve">other </w:t>
      </w:r>
      <w:r w:rsidRPr="006526A1">
        <w:t>reasons such as:</w:t>
      </w:r>
    </w:p>
    <w:p w14:paraId="73FB5E6D" w14:textId="77777777" w:rsidR="000E0490" w:rsidRPr="006526A1" w:rsidRDefault="000E0490" w:rsidP="00842D33">
      <w:pPr>
        <w:pStyle w:val="OutlineNumberedDot"/>
        <w:spacing w:before="120"/>
        <w:ind w:left="851" w:hanging="284"/>
      </w:pPr>
      <w:r w:rsidRPr="00ED26A0">
        <w:t xml:space="preserve">registering </w:t>
      </w:r>
      <w:r w:rsidRPr="006526A1">
        <w:t xml:space="preserve">under the </w:t>
      </w:r>
      <w:r w:rsidRPr="00EA0A6E">
        <w:t>ACNC Act</w:t>
      </w:r>
      <w:r w:rsidRPr="006526A1">
        <w:t xml:space="preserve"> (if not already registered)</w:t>
      </w:r>
    </w:p>
    <w:p w14:paraId="0D6268C6" w14:textId="77777777" w:rsidR="000E0490" w:rsidRDefault="000E0490" w:rsidP="00842D33">
      <w:pPr>
        <w:pStyle w:val="OutlineNumberedDot"/>
        <w:spacing w:before="120"/>
        <w:ind w:left="851" w:hanging="284"/>
      </w:pPr>
      <w:r w:rsidRPr="00EA0A6E">
        <w:t>no longer having a connection to Australia</w:t>
      </w:r>
      <w:r w:rsidRPr="006526A1">
        <w:t xml:space="preserve">, </w:t>
      </w:r>
      <w:r>
        <w:t xml:space="preserve">or </w:t>
      </w:r>
    </w:p>
    <w:p w14:paraId="135A1A12" w14:textId="77777777" w:rsidR="000E0490" w:rsidRPr="006526A1" w:rsidRDefault="000E0490" w:rsidP="00842D33">
      <w:pPr>
        <w:pStyle w:val="OutlineNumberedDot"/>
        <w:spacing w:before="120"/>
        <w:ind w:left="851" w:hanging="284"/>
      </w:pPr>
      <w:r w:rsidRPr="006526A1">
        <w:t xml:space="preserve">ceasing </w:t>
      </w:r>
      <w:r>
        <w:t xml:space="preserve">to </w:t>
      </w:r>
      <w:r w:rsidRPr="006526A1">
        <w:t>operat</w:t>
      </w:r>
      <w:r>
        <w:t>e</w:t>
      </w:r>
      <w:r w:rsidRPr="006526A1">
        <w:t xml:space="preserve"> in </w:t>
      </w:r>
      <w:r>
        <w:t>an</w:t>
      </w:r>
      <w:r w:rsidRPr="006526A1">
        <w:t xml:space="preserve"> Australian </w:t>
      </w:r>
      <w:r>
        <w:t>T</w:t>
      </w:r>
      <w:r w:rsidRPr="006526A1">
        <w:t>erritor</w:t>
      </w:r>
      <w:r>
        <w:t>y</w:t>
      </w:r>
      <w:r w:rsidRPr="006526A1">
        <w:t>.</w:t>
      </w:r>
    </w:p>
    <w:p w14:paraId="02A6E97A" w14:textId="77777777" w:rsidR="000E0490" w:rsidRPr="006526A1" w:rsidRDefault="000E0490" w:rsidP="00842D33">
      <w:pPr>
        <w:pStyle w:val="OutlineNumbered1"/>
        <w:spacing w:before="120"/>
        <w:ind w:left="567" w:hanging="567"/>
      </w:pPr>
      <w:r w:rsidRPr="006526A1">
        <w:t xml:space="preserve">If </w:t>
      </w:r>
      <w:r>
        <w:t>an</w:t>
      </w:r>
      <w:r w:rsidRPr="006526A1">
        <w:t xml:space="preserve"> entity believes it </w:t>
      </w:r>
      <w:r>
        <w:t>has ceased to be a</w:t>
      </w:r>
      <w:r w:rsidRPr="006526A1">
        <w:t xml:space="preserve"> reporting entity for other </w:t>
      </w:r>
      <w:r>
        <w:t>reasons</w:t>
      </w:r>
      <w:r w:rsidRPr="006526A1">
        <w:t>,</w:t>
      </w:r>
      <w:r>
        <w:t xml:space="preserve"> it should</w:t>
      </w:r>
      <w:r w:rsidRPr="006526A1">
        <w:t xml:space="preserve"> reach out to the Regulator. </w:t>
      </w:r>
    </w:p>
    <w:p w14:paraId="5857A4FE" w14:textId="41ECB9AB" w:rsidR="000E0490" w:rsidRDefault="000E0490" w:rsidP="000E0490">
      <w:pPr>
        <w:spacing w:after="160" w:line="259" w:lineRule="auto"/>
        <w:rPr>
          <w:rFonts w:ascii="Times New Roman" w:hAnsi="Times New Roman"/>
          <w:sz w:val="24"/>
          <w:szCs w:val="24"/>
        </w:rPr>
      </w:pPr>
      <w:r>
        <w:rPr>
          <w:rFonts w:ascii="Times New Roman" w:hAnsi="Times New Roman"/>
          <w:sz w:val="24"/>
          <w:szCs w:val="24"/>
        </w:rPr>
        <w:br w:type="page"/>
      </w:r>
    </w:p>
    <w:p w14:paraId="35617C8B" w14:textId="77777777" w:rsidR="000E0490" w:rsidRPr="0026129B" w:rsidRDefault="000E0490" w:rsidP="000E0490">
      <w:pPr>
        <w:pStyle w:val="Heading1"/>
      </w:pPr>
      <w:bookmarkStart w:id="47" w:name="_Toc180688120"/>
      <w:bookmarkStart w:id="48" w:name="_Toc184822199"/>
      <w:r>
        <w:lastRenderedPageBreak/>
        <w:t>Volunteering and modifying reporting structures</w:t>
      </w:r>
      <w:bookmarkEnd w:id="47"/>
      <w:bookmarkEnd w:id="48"/>
    </w:p>
    <w:p w14:paraId="77F3A9EC" w14:textId="2CDC82BA" w:rsidR="000E0490" w:rsidRDefault="000E0490" w:rsidP="000E0490">
      <w:pPr>
        <w:pStyle w:val="Heading2"/>
      </w:pPr>
      <w:bookmarkStart w:id="49" w:name="_Toc184822200"/>
      <w:bookmarkStart w:id="50" w:name="_Ref179827468"/>
      <w:bookmarkStart w:id="51" w:name="_Toc180688121"/>
      <w:r>
        <w:t>Volunteer</w:t>
      </w:r>
      <w:r w:rsidR="002F2B1A">
        <w:t>ing entit</w:t>
      </w:r>
      <w:r w:rsidR="001527ED">
        <w:t>ies</w:t>
      </w:r>
      <w:bookmarkEnd w:id="49"/>
      <w:r w:rsidR="001527ED">
        <w:t xml:space="preserve"> </w:t>
      </w:r>
      <w:bookmarkEnd w:id="50"/>
      <w:bookmarkEnd w:id="51"/>
    </w:p>
    <w:p w14:paraId="59CAC33C" w14:textId="6BAD357E" w:rsidR="000E0490" w:rsidRPr="00EA0A6E" w:rsidRDefault="000E0490" w:rsidP="00842D33">
      <w:pPr>
        <w:pStyle w:val="OutlineNumbered1"/>
        <w:spacing w:before="120"/>
        <w:ind w:left="567" w:hanging="567"/>
      </w:pPr>
      <w:r w:rsidRPr="00EA0A6E">
        <w:t xml:space="preserve">An entity that is not required to report can volunteer to </w:t>
      </w:r>
      <w:r>
        <w:t>report</w:t>
      </w:r>
      <w:r w:rsidRPr="00EA0A6E">
        <w:t>. Volunteer</w:t>
      </w:r>
      <w:r w:rsidR="00E917CC">
        <w:t>ing</w:t>
      </w:r>
      <w:r w:rsidRPr="00EA0A6E" w:rsidDel="00E917CC">
        <w:t xml:space="preserve"> </w:t>
      </w:r>
      <w:r w:rsidRPr="00EA0A6E">
        <w:t xml:space="preserve">entities </w:t>
      </w:r>
      <w:r w:rsidR="00E71AEE">
        <w:t>(</w:t>
      </w:r>
      <w:r w:rsidR="00E91B1B">
        <w:t>hereafter</w:t>
      </w:r>
      <w:r w:rsidR="00E71AEE" w:rsidRPr="00F51D8C">
        <w:t xml:space="preserve">, </w:t>
      </w:r>
      <w:r w:rsidR="006E470C">
        <w:t>volunteering entities</w:t>
      </w:r>
      <w:r w:rsidR="00E71AEE" w:rsidRPr="00F51D8C">
        <w:t xml:space="preserve"> will be referred to in this </w:t>
      </w:r>
      <w:r w:rsidR="00903398">
        <w:t>G</w:t>
      </w:r>
      <w:r w:rsidR="00E71AEE" w:rsidRPr="00F51D8C">
        <w:t xml:space="preserve">uidance as </w:t>
      </w:r>
      <w:r w:rsidR="006E470C">
        <w:t>volunteer</w:t>
      </w:r>
      <w:r w:rsidR="00E71AEE" w:rsidRPr="00F51D8C">
        <w:t xml:space="preserve"> reporting entities</w:t>
      </w:r>
      <w:r w:rsidR="00E71AEE">
        <w:t>)</w:t>
      </w:r>
      <w:r w:rsidR="00F444CD">
        <w:t xml:space="preserve"> </w:t>
      </w:r>
      <w:r w:rsidRPr="00EA0A6E">
        <w:t>follow the same reporting rules as other reporting entities but are not subject to civil penalties for non</w:t>
      </w:r>
      <w:r>
        <w:noBreakHyphen/>
      </w:r>
      <w:r w:rsidRPr="00EA0A6E">
        <w:t>compliance.</w:t>
      </w:r>
    </w:p>
    <w:p w14:paraId="52B0C26B" w14:textId="77777777" w:rsidR="000E0490" w:rsidRPr="00F66301" w:rsidRDefault="000E0490" w:rsidP="000E0490">
      <w:pPr>
        <w:pStyle w:val="Heading3"/>
        <w:rPr>
          <w:sz w:val="24"/>
          <w:szCs w:val="24"/>
        </w:rPr>
      </w:pPr>
      <w:bookmarkStart w:id="52" w:name="_Toc180688122"/>
      <w:bookmarkStart w:id="53" w:name="_Toc184822201"/>
      <w:r>
        <w:t>Becoming a volunteer reporting entity</w:t>
      </w:r>
      <w:bookmarkEnd w:id="52"/>
      <w:bookmarkEnd w:id="53"/>
    </w:p>
    <w:p w14:paraId="621F52BE" w14:textId="77777777" w:rsidR="000E0490" w:rsidRPr="00EA0A6E" w:rsidRDefault="000E0490" w:rsidP="000E5061">
      <w:pPr>
        <w:pStyle w:val="OutlineNumbered1"/>
        <w:ind w:left="567" w:hanging="567"/>
      </w:pPr>
      <w:r w:rsidRPr="00EA0A6E">
        <w:t>An entity can apply to become a volunteer reporting entity if:</w:t>
      </w:r>
    </w:p>
    <w:p w14:paraId="66B634FD" w14:textId="77777777" w:rsidR="000E0490" w:rsidRPr="00EA0A6E" w:rsidRDefault="000E0490" w:rsidP="000E5061">
      <w:pPr>
        <w:pStyle w:val="OutlineNumberedDot"/>
        <w:ind w:left="851" w:hanging="284"/>
      </w:pPr>
      <w:r w:rsidRPr="00EA0A6E">
        <w:t>it is a CCE</w:t>
      </w:r>
    </w:p>
    <w:p w14:paraId="771BB250" w14:textId="77777777" w:rsidR="000E0490" w:rsidRPr="00EA0A6E" w:rsidRDefault="000E0490" w:rsidP="000E5061">
      <w:pPr>
        <w:pStyle w:val="OutlineNumberedDot"/>
        <w:ind w:left="851" w:hanging="284"/>
      </w:pPr>
      <w:r w:rsidRPr="00EA0A6E">
        <w:t>it does</w:t>
      </w:r>
      <w:r>
        <w:t xml:space="preserve"> not</w:t>
      </w:r>
      <w:r w:rsidRPr="00EA0A6E">
        <w:t xml:space="preserve"> meet the criteria to be a reporting entity</w:t>
      </w:r>
      <w:r>
        <w:t>, and</w:t>
      </w:r>
    </w:p>
    <w:p w14:paraId="7C94902F" w14:textId="77777777" w:rsidR="000E0490" w:rsidRPr="00EA0A6E" w:rsidRDefault="000E0490" w:rsidP="000E5061">
      <w:pPr>
        <w:pStyle w:val="OutlineNumberedDot"/>
        <w:ind w:left="851" w:hanging="284"/>
      </w:pPr>
      <w:r w:rsidRPr="00EA0A6E">
        <w:t>it is</w:t>
      </w:r>
      <w:r>
        <w:t xml:space="preserve"> not</w:t>
      </w:r>
      <w:r w:rsidRPr="00EA0A6E">
        <w:t xml:space="preserve"> controlled by a reporting entity.</w:t>
      </w:r>
    </w:p>
    <w:p w14:paraId="6A6C5548" w14:textId="5522DDD9" w:rsidR="000E0490" w:rsidRPr="00EA0A6E" w:rsidRDefault="000E0490" w:rsidP="000E5061">
      <w:pPr>
        <w:pStyle w:val="OutlineNumbered1"/>
        <w:ind w:left="567" w:hanging="567"/>
      </w:pPr>
      <w:r w:rsidRPr="00EA0A6E">
        <w:t xml:space="preserve">An application to volunteer </w:t>
      </w:r>
      <w:r>
        <w:t xml:space="preserve">to report </w:t>
      </w:r>
      <w:r w:rsidRPr="00EA0A6E">
        <w:t>must be submitted to the Regulator</w:t>
      </w:r>
      <w:r>
        <w:t xml:space="preserve"> through </w:t>
      </w:r>
      <w:hyperlink r:id="rId31" w:history="1">
        <w:r w:rsidR="00E608F9">
          <w:rPr>
            <w:rStyle w:val="Hyperlink"/>
          </w:rPr>
          <w:t>the</w:t>
        </w:r>
        <w:r w:rsidR="00E608F9" w:rsidRPr="004979D3">
          <w:rPr>
            <w:rStyle w:val="Hyperlink"/>
          </w:rPr>
          <w:t xml:space="preserve"> Portal</w:t>
        </w:r>
      </w:hyperlink>
      <w:r w:rsidRPr="00EA0A6E">
        <w:t xml:space="preserve">. For </w:t>
      </w:r>
      <w:r>
        <w:t xml:space="preserve">more information, see </w:t>
      </w:r>
      <w:r w:rsidRPr="00CB2EEA">
        <w:rPr>
          <w:b/>
          <w:bCs/>
          <w:color w:val="00827F" w:themeColor="accent2"/>
        </w:rPr>
        <w:fldChar w:fldCharType="begin"/>
      </w:r>
      <w:r w:rsidRPr="00CB2EEA">
        <w:rPr>
          <w:b/>
          <w:bCs/>
          <w:color w:val="00827F" w:themeColor="accent2"/>
        </w:rPr>
        <w:instrText xml:space="preserve"> REF _Ref179826626 \h  \* MERGEFORMAT </w:instrText>
      </w:r>
      <w:r w:rsidRPr="00CB2EEA">
        <w:rPr>
          <w:b/>
          <w:bCs/>
          <w:color w:val="00827F" w:themeColor="accent2"/>
        </w:rPr>
      </w:r>
      <w:r w:rsidRPr="00CB2EEA">
        <w:rPr>
          <w:b/>
          <w:bCs/>
          <w:color w:val="00827F" w:themeColor="accent2"/>
        </w:rPr>
        <w:fldChar w:fldCharType="separate"/>
      </w:r>
      <w:r w:rsidRPr="00CB2EEA">
        <w:rPr>
          <w:b/>
          <w:bCs/>
          <w:color w:val="00827F" w:themeColor="accent2"/>
        </w:rPr>
        <w:t>Volunteer Reporting Entity Applications</w:t>
      </w:r>
      <w:r w:rsidRPr="00CB2EEA">
        <w:rPr>
          <w:b/>
          <w:bCs/>
          <w:color w:val="00827F" w:themeColor="accent2"/>
        </w:rPr>
        <w:fldChar w:fldCharType="end"/>
      </w:r>
      <w:r w:rsidRPr="3523E590">
        <w:t>.</w:t>
      </w:r>
    </w:p>
    <w:p w14:paraId="59108EE2" w14:textId="77777777" w:rsidR="000E0490" w:rsidRPr="00F66301" w:rsidRDefault="000E0490" w:rsidP="000E0490">
      <w:pPr>
        <w:pStyle w:val="Heading3"/>
        <w:rPr>
          <w:sz w:val="24"/>
          <w:szCs w:val="24"/>
        </w:rPr>
      </w:pPr>
      <w:bookmarkStart w:id="54" w:name="_Toc180688123"/>
      <w:bookmarkStart w:id="55" w:name="_Toc184822202"/>
      <w:r w:rsidRPr="00F66301">
        <w:t>Obligations</w:t>
      </w:r>
      <w:r>
        <w:t xml:space="preserve"> of volunteer reporting entities</w:t>
      </w:r>
      <w:bookmarkEnd w:id="54"/>
      <w:bookmarkEnd w:id="55"/>
    </w:p>
    <w:p w14:paraId="6B466B3C" w14:textId="77777777" w:rsidR="000E0490" w:rsidRDefault="000E0490" w:rsidP="00842D33">
      <w:pPr>
        <w:pStyle w:val="OutlineNumbered1"/>
        <w:spacing w:before="120"/>
        <w:ind w:left="567" w:hanging="567"/>
      </w:pPr>
      <w:r w:rsidRPr="00EA0A6E">
        <w:t>A volunteer reporting entity has the same reporting and record-keeping responsibilities as other reporting entities. This includes reporting payments for any entities the entity controls.</w:t>
      </w:r>
    </w:p>
    <w:p w14:paraId="078CD5A9" w14:textId="77777777" w:rsidR="000E0490" w:rsidRPr="00EA0A6E" w:rsidRDefault="000E0490" w:rsidP="00842D33">
      <w:pPr>
        <w:pStyle w:val="OutlineNumbered1"/>
        <w:spacing w:before="120"/>
        <w:ind w:left="567" w:hanging="567"/>
      </w:pPr>
      <w:r>
        <w:t>Volunteer</w:t>
      </w:r>
      <w:r w:rsidRPr="002D315B">
        <w:t xml:space="preserve"> reporting entities may be publicly identified as fast </w:t>
      </w:r>
      <w:r>
        <w:t xml:space="preserve">small business </w:t>
      </w:r>
      <w:r w:rsidRPr="002D315B">
        <w:t>payer</w:t>
      </w:r>
      <w:r>
        <w:t>s but cannot be identified as slow small business payers</w:t>
      </w:r>
      <w:r w:rsidRPr="002D315B">
        <w:t>.</w:t>
      </w:r>
    </w:p>
    <w:p w14:paraId="40ED676C" w14:textId="77777777" w:rsidR="000E0490" w:rsidRPr="00EA0A6E" w:rsidRDefault="000E0490" w:rsidP="00842D33">
      <w:pPr>
        <w:pStyle w:val="OutlineNumbered1"/>
        <w:spacing w:before="120"/>
        <w:ind w:left="567" w:hanging="567"/>
      </w:pPr>
      <w:r w:rsidRPr="00EA0A6E">
        <w:t>Volunteer reporting entities are</w:t>
      </w:r>
      <w:r>
        <w:t xml:space="preserve"> not</w:t>
      </w:r>
      <w:r w:rsidRPr="00EA0A6E">
        <w:t xml:space="preserve"> subject to civil penalties for non-compliance. However, the Regulator can:</w:t>
      </w:r>
    </w:p>
    <w:p w14:paraId="6EA56875" w14:textId="7B6B5781" w:rsidR="000E0490" w:rsidRPr="00EA0A6E" w:rsidRDefault="000E0490" w:rsidP="00842D33">
      <w:pPr>
        <w:pStyle w:val="OutlineNumberedDot"/>
        <w:spacing w:before="120"/>
        <w:ind w:left="851" w:hanging="284"/>
      </w:pPr>
      <w:r w:rsidRPr="00EA0A6E">
        <w:t xml:space="preserve">Remove </w:t>
      </w:r>
      <w:r>
        <w:t xml:space="preserve">its </w:t>
      </w:r>
      <w:r w:rsidRPr="00EA0A6E">
        <w:t xml:space="preserve">reports from the </w:t>
      </w:r>
      <w:hyperlink r:id="rId32" w:history="1">
        <w:r w:rsidRPr="00163633">
          <w:rPr>
            <w:rStyle w:val="Hyperlink"/>
          </w:rPr>
          <w:t>Register</w:t>
        </w:r>
      </w:hyperlink>
      <w:r w:rsidRPr="00EA0A6E">
        <w:t>.</w:t>
      </w:r>
    </w:p>
    <w:p w14:paraId="5AA5429E" w14:textId="77777777" w:rsidR="000E0490" w:rsidRPr="00EA0A6E" w:rsidRDefault="000E0490" w:rsidP="00842D33">
      <w:pPr>
        <w:pStyle w:val="OutlineNumberedDot"/>
        <w:spacing w:before="120"/>
        <w:ind w:left="851" w:hanging="284"/>
      </w:pPr>
      <w:r w:rsidRPr="00EA0A6E">
        <w:t xml:space="preserve">Revoke </w:t>
      </w:r>
      <w:r>
        <w:t>its</w:t>
      </w:r>
      <w:r w:rsidRPr="00EA0A6E">
        <w:t xml:space="preserve"> status as a volunteer reporting entity.</w:t>
      </w:r>
    </w:p>
    <w:p w14:paraId="10F999D1" w14:textId="77777777" w:rsidR="000E0490" w:rsidRPr="00EA0A6E" w:rsidRDefault="000E0490" w:rsidP="00842D33">
      <w:pPr>
        <w:pStyle w:val="OutlineNumberedDot"/>
        <w:spacing w:before="120"/>
        <w:ind w:left="851" w:hanging="284"/>
      </w:pPr>
      <w:r>
        <w:t xml:space="preserve">Publish details of its non-compliance to the </w:t>
      </w:r>
      <w:hyperlink r:id="rId33" w:history="1">
        <w:r w:rsidRPr="00C56A98">
          <w:rPr>
            <w:rStyle w:val="Hyperlink"/>
          </w:rPr>
          <w:t>Register</w:t>
        </w:r>
      </w:hyperlink>
      <w:r>
        <w:t xml:space="preserve"> if reports are found to be false or misleading.</w:t>
      </w:r>
    </w:p>
    <w:p w14:paraId="528EA86A" w14:textId="77777777" w:rsidR="000E0490" w:rsidRPr="005F6D7B" w:rsidRDefault="000E0490" w:rsidP="000E0490">
      <w:pPr>
        <w:pStyle w:val="Heading3"/>
      </w:pPr>
      <w:bookmarkStart w:id="56" w:name="_Toc180688124"/>
      <w:bookmarkStart w:id="57" w:name="_Toc184822203"/>
      <w:r w:rsidRPr="005F6D7B">
        <w:t xml:space="preserve">Ceasing to </w:t>
      </w:r>
      <w:r>
        <w:t>b</w:t>
      </w:r>
      <w:r w:rsidRPr="005F6D7B">
        <w:t xml:space="preserve">e a </w:t>
      </w:r>
      <w:r>
        <w:t>v</w:t>
      </w:r>
      <w:r w:rsidRPr="005F6D7B">
        <w:t xml:space="preserve">olunteer </w:t>
      </w:r>
      <w:r>
        <w:t>r</w:t>
      </w:r>
      <w:r w:rsidRPr="005F6D7B">
        <w:t xml:space="preserve">eporting </w:t>
      </w:r>
      <w:r>
        <w:t>e</w:t>
      </w:r>
      <w:r w:rsidRPr="005F6D7B">
        <w:t>ntity</w:t>
      </w:r>
      <w:bookmarkEnd w:id="56"/>
      <w:bookmarkEnd w:id="57"/>
    </w:p>
    <w:p w14:paraId="45DFBAE8" w14:textId="77777777" w:rsidR="000E0490" w:rsidRPr="00EA0A6E" w:rsidRDefault="000E0490" w:rsidP="00842D33">
      <w:pPr>
        <w:pStyle w:val="OutlineNumbered1"/>
        <w:spacing w:before="120"/>
        <w:ind w:left="567" w:hanging="567"/>
      </w:pPr>
      <w:r w:rsidRPr="00EA0A6E">
        <w:t>An entity automatically loses its volunteer reporting entity status if it meets the criteria for</w:t>
      </w:r>
      <w:r>
        <w:t xml:space="preserve"> being a reporting entity</w:t>
      </w:r>
      <w:r w:rsidRPr="00EA0A6E">
        <w:t xml:space="preserve"> under the</w:t>
      </w:r>
      <w:r>
        <w:t xml:space="preserve"> Act</w:t>
      </w:r>
      <w:r w:rsidRPr="00EA0A6E">
        <w:t>.</w:t>
      </w:r>
      <w:r>
        <w:t xml:space="preserve"> In that case, the entity will be subject to mandatory reporting obligations under the Act. </w:t>
      </w:r>
    </w:p>
    <w:p w14:paraId="33122C4D" w14:textId="52C90418" w:rsidR="000E0490" w:rsidRPr="00EA0A6E" w:rsidRDefault="000E0490" w:rsidP="00842D33">
      <w:pPr>
        <w:pStyle w:val="OutlineNumbered1"/>
        <w:spacing w:before="120"/>
        <w:ind w:left="567" w:hanging="567"/>
      </w:pPr>
      <w:r w:rsidRPr="00EA0A6E">
        <w:t xml:space="preserve">An entity can also revoke its volunteer status by notifying the Regulator through </w:t>
      </w:r>
      <w:hyperlink r:id="rId34" w:history="1">
        <w:r w:rsidR="00E608F9">
          <w:rPr>
            <w:rStyle w:val="Hyperlink"/>
          </w:rPr>
          <w:t>the</w:t>
        </w:r>
        <w:r w:rsidR="00E608F9" w:rsidRPr="004979D3">
          <w:rPr>
            <w:rStyle w:val="Hyperlink"/>
          </w:rPr>
          <w:t xml:space="preserve"> Portal</w:t>
        </w:r>
      </w:hyperlink>
      <w:r w:rsidRPr="00EA0A6E">
        <w:t xml:space="preserve">. This notice must state that </w:t>
      </w:r>
      <w:r>
        <w:t xml:space="preserve">the </w:t>
      </w:r>
      <w:r w:rsidRPr="00EA0A6E">
        <w:t xml:space="preserve">entity will stop reporting </w:t>
      </w:r>
      <w:r>
        <w:t xml:space="preserve">from </w:t>
      </w:r>
      <w:r w:rsidRPr="00EA0A6E">
        <w:t>either the current or next reporting period.</w:t>
      </w:r>
    </w:p>
    <w:p w14:paraId="5B3A4D87" w14:textId="77777777" w:rsidR="000E0490" w:rsidRDefault="000E0490" w:rsidP="00842D33">
      <w:pPr>
        <w:pStyle w:val="OutlineNumbered1"/>
        <w:spacing w:before="120"/>
        <w:ind w:left="567" w:hanging="567"/>
        <w:rPr>
          <w:rFonts w:ascii="Times New Roman" w:hAnsi="Times New Roman"/>
          <w:sz w:val="24"/>
          <w:szCs w:val="24"/>
        </w:rPr>
      </w:pPr>
      <w:r w:rsidRPr="00EA0A6E">
        <w:t xml:space="preserve">The Regulator may also revoke </w:t>
      </w:r>
      <w:r>
        <w:t xml:space="preserve">an entity’s </w:t>
      </w:r>
      <w:r w:rsidRPr="00EA0A6E">
        <w:t xml:space="preserve">volunteer </w:t>
      </w:r>
      <w:r>
        <w:t xml:space="preserve">reporting </w:t>
      </w:r>
      <w:r w:rsidRPr="00EA0A6E">
        <w:t xml:space="preserve">status if they suspect </w:t>
      </w:r>
      <w:r>
        <w:t>the</w:t>
      </w:r>
      <w:r w:rsidRPr="00EA0A6E">
        <w:t xml:space="preserve"> entity has failed to comply with </w:t>
      </w:r>
      <w:r>
        <w:t xml:space="preserve">its </w:t>
      </w:r>
      <w:r w:rsidRPr="00EA0A6E">
        <w:t>reporting obligations.</w:t>
      </w:r>
      <w:r>
        <w:rPr>
          <w:rFonts w:ascii="Times New Roman" w:hAnsi="Times New Roman"/>
          <w:sz w:val="24"/>
          <w:szCs w:val="24"/>
        </w:rPr>
        <w:br w:type="page"/>
      </w:r>
    </w:p>
    <w:p w14:paraId="66BD1FCA" w14:textId="77777777" w:rsidR="000E0490" w:rsidRPr="005F6D7B" w:rsidRDefault="000E0490" w:rsidP="000E0490">
      <w:pPr>
        <w:pStyle w:val="Heading2"/>
      </w:pPr>
      <w:bookmarkStart w:id="58" w:name="_Nominee_reporting_entities"/>
      <w:bookmarkStart w:id="59" w:name="_Ref179826532"/>
      <w:bookmarkStart w:id="60" w:name="_Toc180688125"/>
      <w:bookmarkStart w:id="61" w:name="_Toc184822204"/>
      <w:bookmarkEnd w:id="58"/>
      <w:r w:rsidRPr="005F6D7B">
        <w:lastRenderedPageBreak/>
        <w:t xml:space="preserve">Nominee </w:t>
      </w:r>
      <w:r>
        <w:t>r</w:t>
      </w:r>
      <w:r w:rsidRPr="005F6D7B">
        <w:t xml:space="preserve">eporting </w:t>
      </w:r>
      <w:r>
        <w:t>e</w:t>
      </w:r>
      <w:r w:rsidRPr="005F6D7B">
        <w:t>ntities</w:t>
      </w:r>
      <w:bookmarkEnd w:id="59"/>
      <w:bookmarkEnd w:id="60"/>
      <w:bookmarkEnd w:id="61"/>
    </w:p>
    <w:p w14:paraId="007969DE" w14:textId="77777777" w:rsidR="000E0490" w:rsidRDefault="000E0490" w:rsidP="00E75757">
      <w:pPr>
        <w:pStyle w:val="OutlineNumbered1"/>
        <w:spacing w:after="240"/>
        <w:ind w:left="567" w:hanging="567"/>
      </w:pPr>
      <w:r w:rsidRPr="00EA0A6E">
        <w:t xml:space="preserve">An entity can apply to become a nominee reporting entity, which allows it to report on behalf of one or more </w:t>
      </w:r>
      <w:r>
        <w:t xml:space="preserve">reporting entities, as well as any other </w:t>
      </w:r>
      <w:r w:rsidRPr="00EA0A6E">
        <w:t>controlled entities, simplifying the reporting process.</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0E5061" w14:paraId="58C54257" w14:textId="77777777">
        <w:tc>
          <w:tcPr>
            <w:tcW w:w="5000" w:type="pct"/>
            <w:shd w:val="clear" w:color="auto" w:fill="EBF1F7"/>
          </w:tcPr>
          <w:p w14:paraId="58402AE9" w14:textId="4EB870E2" w:rsidR="000E5061" w:rsidRPr="000553FE" w:rsidRDefault="00CE54DA">
            <w:pPr>
              <w:pStyle w:val="BoxHeading"/>
              <w:rPr>
                <w:b w:val="0"/>
              </w:rPr>
            </w:pPr>
            <w:r>
              <w:t>Example</w:t>
            </w:r>
            <w:r w:rsidR="00031282">
              <w:t xml:space="preserve"> 13</w:t>
            </w:r>
          </w:p>
          <w:p w14:paraId="30BB208F" w14:textId="2149217F" w:rsidR="000E5061" w:rsidRPr="00247BAC" w:rsidRDefault="00CE54DA">
            <w:pPr>
              <w:pStyle w:val="BoxHeading2-Blue"/>
            </w:pPr>
            <w:r>
              <w:rPr>
                <w:rStyle w:val="Strong"/>
              </w:rPr>
              <w:t>Foreign holding company</w:t>
            </w:r>
          </w:p>
          <w:p w14:paraId="7FEF1CF8" w14:textId="77777777" w:rsidR="00CE54DA" w:rsidRDefault="00CE54DA" w:rsidP="00CE54DA">
            <w:pPr>
              <w:pStyle w:val="BoxBullet"/>
            </w:pPr>
            <w:r w:rsidRPr="00CE54DA">
              <w:t xml:space="preserve">A foreign holding company is not a reporting entity but controls two Australian subsidiaries that are reporting entities. </w:t>
            </w:r>
          </w:p>
          <w:p w14:paraId="0AD64297" w14:textId="08386CD7" w:rsidR="000E5061" w:rsidRPr="008950C5" w:rsidRDefault="00CE54DA" w:rsidP="00CE54DA">
            <w:pPr>
              <w:pStyle w:val="BoxBullet"/>
            </w:pPr>
            <w:r w:rsidRPr="00CE54DA">
              <w:t>The foreign holding company can apply for nominee reporting entity status and give a single report that includes payments by the reporting entities it controls.</w:t>
            </w:r>
          </w:p>
        </w:tc>
      </w:tr>
    </w:tbl>
    <w:p w14:paraId="1EABAEDD" w14:textId="77777777" w:rsidR="000E0490" w:rsidRPr="00605DDA" w:rsidRDefault="000E0490" w:rsidP="000E0490">
      <w:pPr>
        <w:pStyle w:val="Heading3"/>
      </w:pPr>
      <w:bookmarkStart w:id="62" w:name="_Toc180688126"/>
      <w:bookmarkStart w:id="63" w:name="_Toc184822205"/>
      <w:r w:rsidRPr="005F6D7B">
        <w:t xml:space="preserve">Becoming a </w:t>
      </w:r>
      <w:r>
        <w:t>n</w:t>
      </w:r>
      <w:r w:rsidRPr="005F6D7B">
        <w:t xml:space="preserve">ominee </w:t>
      </w:r>
      <w:r w:rsidRPr="00605DDA">
        <w:t>reporting entity</w:t>
      </w:r>
      <w:bookmarkEnd w:id="62"/>
      <w:bookmarkEnd w:id="63"/>
    </w:p>
    <w:p w14:paraId="3B600A16" w14:textId="0F307985" w:rsidR="000E0490" w:rsidRPr="00EA0A6E" w:rsidRDefault="000E0490" w:rsidP="008C17BF">
      <w:pPr>
        <w:pStyle w:val="OutlineNumbered1"/>
        <w:spacing w:before="120"/>
        <w:ind w:left="567" w:hanging="567"/>
      </w:pPr>
      <w:r w:rsidRPr="00EA0A6E">
        <w:t xml:space="preserve">An entity can apply </w:t>
      </w:r>
      <w:r>
        <w:t>to be a</w:t>
      </w:r>
      <w:r w:rsidRPr="00EA0A6E">
        <w:t xml:space="preserve"> nominee reporting entity if:</w:t>
      </w:r>
    </w:p>
    <w:p w14:paraId="6E6FB180" w14:textId="77777777" w:rsidR="000E0490" w:rsidRPr="00EA0A6E" w:rsidRDefault="000E0490" w:rsidP="008C17BF">
      <w:pPr>
        <w:pStyle w:val="OutlineNumberedDot"/>
        <w:spacing w:before="120"/>
        <w:ind w:left="851" w:hanging="284"/>
      </w:pPr>
      <w:r w:rsidRPr="00EA0A6E">
        <w:t xml:space="preserve">it is a </w:t>
      </w:r>
      <w:r>
        <w:t>CCE</w:t>
      </w:r>
    </w:p>
    <w:p w14:paraId="4DF96E97" w14:textId="77777777" w:rsidR="000E0490" w:rsidRPr="00EA0A6E" w:rsidRDefault="000E0490" w:rsidP="008C17BF">
      <w:pPr>
        <w:pStyle w:val="OutlineNumberedDot"/>
        <w:spacing w:before="120"/>
        <w:ind w:left="851" w:hanging="284"/>
      </w:pPr>
      <w:r w:rsidRPr="00EA0A6E">
        <w:t>it is not already a reporting entity</w:t>
      </w:r>
    </w:p>
    <w:p w14:paraId="751470B1" w14:textId="77777777" w:rsidR="000E0490" w:rsidRPr="00EA0A6E" w:rsidRDefault="000E0490" w:rsidP="008C17BF">
      <w:pPr>
        <w:pStyle w:val="OutlineNumberedDot"/>
        <w:spacing w:before="120"/>
        <w:ind w:left="851" w:hanging="284"/>
      </w:pPr>
      <w:r w:rsidRPr="00EA0A6E">
        <w:t>it controls at least one reporting entity, and</w:t>
      </w:r>
    </w:p>
    <w:p w14:paraId="2C342E56" w14:textId="77777777" w:rsidR="000E0490" w:rsidRPr="00EA0A6E" w:rsidRDefault="000E0490" w:rsidP="008C17BF">
      <w:pPr>
        <w:pStyle w:val="OutlineNumberedDot"/>
        <w:spacing w:before="120"/>
        <w:ind w:left="851" w:hanging="284"/>
      </w:pPr>
      <w:r w:rsidRPr="00EA0A6E">
        <w:t>it has the consent of the controlled reporting entities</w:t>
      </w:r>
      <w:r>
        <w:t xml:space="preserve"> to be their nominee</w:t>
      </w:r>
      <w:r w:rsidRPr="00EA0A6E">
        <w:t>.</w:t>
      </w:r>
    </w:p>
    <w:p w14:paraId="68E272C8" w14:textId="44D86D3C" w:rsidR="000E0490" w:rsidRPr="008C17BF" w:rsidRDefault="000E0490" w:rsidP="008C17BF">
      <w:pPr>
        <w:pStyle w:val="OutlineNumbered1"/>
        <w:spacing w:before="120" w:after="240"/>
        <w:ind w:left="567" w:hanging="567"/>
      </w:pPr>
      <w:r w:rsidRPr="00EA0A6E">
        <w:t>An application for nominee reporting entity status must be submitted to the Regulator</w:t>
      </w:r>
      <w:r>
        <w:t xml:space="preserve"> through </w:t>
      </w:r>
      <w:hyperlink r:id="rId35" w:history="1">
        <w:r w:rsidR="00E608F9">
          <w:rPr>
            <w:rStyle w:val="Hyperlink"/>
          </w:rPr>
          <w:t>the</w:t>
        </w:r>
        <w:r w:rsidR="00E608F9" w:rsidRPr="004979D3">
          <w:rPr>
            <w:rStyle w:val="Hyperlink"/>
          </w:rPr>
          <w:t xml:space="preserve"> Portal</w:t>
        </w:r>
      </w:hyperlink>
      <w:r w:rsidRPr="00EA0A6E">
        <w:t xml:space="preserve">. </w:t>
      </w:r>
      <w:r>
        <w:t xml:space="preserve">For more information, see </w:t>
      </w:r>
      <w:r w:rsidRPr="00CB2EEA">
        <w:rPr>
          <w:b/>
          <w:bCs/>
          <w:color w:val="00827F" w:themeColor="accent2"/>
        </w:rPr>
        <w:fldChar w:fldCharType="begin"/>
      </w:r>
      <w:r w:rsidRPr="00CB2EEA">
        <w:rPr>
          <w:b/>
          <w:bCs/>
          <w:color w:val="00827F" w:themeColor="accent2"/>
        </w:rPr>
        <w:instrText xml:space="preserve"> REF _Ref179826684 \h  \* MERGEFORMAT </w:instrText>
      </w:r>
      <w:r w:rsidRPr="00CB2EEA">
        <w:rPr>
          <w:b/>
          <w:bCs/>
          <w:color w:val="00827F" w:themeColor="accent2"/>
        </w:rPr>
      </w:r>
      <w:r w:rsidRPr="00CB2EEA">
        <w:rPr>
          <w:b/>
          <w:bCs/>
          <w:color w:val="00827F" w:themeColor="accent2"/>
        </w:rPr>
        <w:fldChar w:fldCharType="separate"/>
      </w:r>
      <w:r w:rsidRPr="00CB2EEA">
        <w:rPr>
          <w:b/>
          <w:bCs/>
          <w:color w:val="00827F" w:themeColor="accent2"/>
        </w:rPr>
        <w:t>Nominee &amp; Subsidiary Reporting Entity Applications</w:t>
      </w:r>
      <w:r w:rsidRPr="00CB2EEA">
        <w:rPr>
          <w:b/>
          <w:bCs/>
          <w:color w:val="00827F" w:themeColor="accent2"/>
        </w:rPr>
        <w:fldChar w:fldCharType="end"/>
      </w:r>
      <w:r w:rsidRPr="00CB2EEA">
        <w:rPr>
          <w:b/>
          <w:bCs/>
        </w:rPr>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1A34EF" w14:paraId="42898371" w14:textId="77777777">
        <w:tc>
          <w:tcPr>
            <w:tcW w:w="5000" w:type="pct"/>
            <w:shd w:val="clear" w:color="auto" w:fill="EBF1F7"/>
          </w:tcPr>
          <w:p w14:paraId="17E5B4FF" w14:textId="28D93C93" w:rsidR="001A34EF" w:rsidRPr="000553FE" w:rsidRDefault="001E289E">
            <w:pPr>
              <w:pStyle w:val="BoxHeading"/>
              <w:rPr>
                <w:b w:val="0"/>
              </w:rPr>
            </w:pPr>
            <w:r>
              <w:t>Example</w:t>
            </w:r>
            <w:r w:rsidR="00031282">
              <w:t xml:space="preserve"> 14</w:t>
            </w:r>
          </w:p>
          <w:p w14:paraId="625D5EBF" w14:textId="346034C1" w:rsidR="001A34EF" w:rsidRPr="00247BAC" w:rsidRDefault="0030516F">
            <w:pPr>
              <w:pStyle w:val="BoxHeading2-Blue"/>
            </w:pPr>
            <w:r w:rsidDel="001D58A8">
              <w:rPr>
                <w:rStyle w:val="Strong"/>
              </w:rPr>
              <w:t>MEC</w:t>
            </w:r>
            <w:r w:rsidR="001D58A8">
              <w:rPr>
                <w:rStyle w:val="Strong"/>
              </w:rPr>
              <w:t xml:space="preserve"> groups</w:t>
            </w:r>
            <w:r>
              <w:rPr>
                <w:rStyle w:val="Strong"/>
              </w:rPr>
              <w:t xml:space="preserve"> and nominee reporting entity eligibility</w:t>
            </w:r>
          </w:p>
          <w:p w14:paraId="3308A37F" w14:textId="49A069F4" w:rsidR="001A34EF" w:rsidRDefault="008F4DFA">
            <w:pPr>
              <w:pStyle w:val="BoxText"/>
            </w:pPr>
            <w:r>
              <w:t>A f</w:t>
            </w:r>
            <w:r w:rsidR="00153EB8">
              <w:t>oreign company</w:t>
            </w:r>
            <w:r w:rsidR="003D49B3">
              <w:t xml:space="preserve"> is not a reporting entity but</w:t>
            </w:r>
            <w:r w:rsidR="00153EB8">
              <w:t xml:space="preserve"> </w:t>
            </w:r>
            <w:r w:rsidR="00362F85">
              <w:t xml:space="preserve">has </w:t>
            </w:r>
            <w:r w:rsidR="00BE1636">
              <w:t>three</w:t>
            </w:r>
            <w:r w:rsidR="00153EB8">
              <w:t xml:space="preserve"> </w:t>
            </w:r>
            <w:r w:rsidR="00B12893">
              <w:t>Australian</w:t>
            </w:r>
            <w:r w:rsidR="00362F85">
              <w:t xml:space="preserve"> wholly-</w:t>
            </w:r>
            <w:r w:rsidR="00C22A8F">
              <w:t>owned</w:t>
            </w:r>
            <w:r w:rsidR="00BE1636">
              <w:t xml:space="preserve"> </w:t>
            </w:r>
            <w:r w:rsidR="003C46AC">
              <w:t>subsidiaries</w:t>
            </w:r>
            <w:r w:rsidR="004E5211">
              <w:t xml:space="preserve"> (C</w:t>
            </w:r>
            <w:r w:rsidR="00B12893">
              <w:t>ompan</w:t>
            </w:r>
            <w:r w:rsidR="003D49B3">
              <w:t>y</w:t>
            </w:r>
            <w:r w:rsidR="00B12893">
              <w:t xml:space="preserve"> A, </w:t>
            </w:r>
            <w:r w:rsidR="004E5211">
              <w:t>C</w:t>
            </w:r>
            <w:r w:rsidR="003D49B3">
              <w:t xml:space="preserve">ompany </w:t>
            </w:r>
            <w:r w:rsidR="00B12893">
              <w:t xml:space="preserve">B and </w:t>
            </w:r>
            <w:r w:rsidR="004E5211">
              <w:t>C</w:t>
            </w:r>
            <w:r w:rsidR="003D49B3">
              <w:t xml:space="preserve">ompany </w:t>
            </w:r>
            <w:r w:rsidR="00B12893">
              <w:t>C</w:t>
            </w:r>
            <w:r w:rsidR="004E5211">
              <w:t>) that are</w:t>
            </w:r>
            <w:r w:rsidR="003D49B3">
              <w:t xml:space="preserve"> reporting entities under the Act.</w:t>
            </w:r>
            <w:r w:rsidR="00B12893">
              <w:t xml:space="preserve"> </w:t>
            </w:r>
          </w:p>
          <w:p w14:paraId="166B7585" w14:textId="4FD0E114" w:rsidR="00362F85" w:rsidRDefault="00362F85">
            <w:pPr>
              <w:pStyle w:val="BoxText"/>
            </w:pPr>
            <w:r>
              <w:t xml:space="preserve">The </w:t>
            </w:r>
            <w:r w:rsidR="009E5DC3">
              <w:t>three Australian companies have</w:t>
            </w:r>
            <w:r w:rsidR="00AF1BA0">
              <w:t xml:space="preserve"> also</w:t>
            </w:r>
            <w:r w:rsidR="009E5DC3">
              <w:t xml:space="preserve"> formed a MEC group for </w:t>
            </w:r>
            <w:r w:rsidR="002F7895">
              <w:t xml:space="preserve">income tax purposes, with Company A </w:t>
            </w:r>
            <w:r w:rsidR="007C4ED0">
              <w:t xml:space="preserve">being </w:t>
            </w:r>
            <w:r w:rsidR="002F7895">
              <w:t xml:space="preserve">the </w:t>
            </w:r>
            <w:r w:rsidR="00644379">
              <w:t>p</w:t>
            </w:r>
            <w:r w:rsidR="00C67421">
              <w:t xml:space="preserve">rovisional </w:t>
            </w:r>
            <w:r w:rsidR="00644379">
              <w:t>h</w:t>
            </w:r>
            <w:r w:rsidR="00C67421">
              <w:t xml:space="preserve">ead </w:t>
            </w:r>
            <w:r w:rsidR="00644379">
              <w:t>c</w:t>
            </w:r>
            <w:r w:rsidR="00C67421">
              <w:t>ompany</w:t>
            </w:r>
            <w:r w:rsidR="007C4ED0">
              <w:t>.</w:t>
            </w:r>
          </w:p>
          <w:p w14:paraId="03894196" w14:textId="43994F45" w:rsidR="001A34EF" w:rsidRDefault="009B05FB" w:rsidP="009B05FB">
            <w:pPr>
              <w:pStyle w:val="BoxBullet"/>
              <w:ind w:left="284" w:hanging="284"/>
            </w:pPr>
            <w:r>
              <w:t xml:space="preserve">Although Company A </w:t>
            </w:r>
            <w:r w:rsidR="00A3434F">
              <w:t>is</w:t>
            </w:r>
            <w:r w:rsidRPr="009B05FB">
              <w:t xml:space="preserve"> the provisional head company for the MEC group, </w:t>
            </w:r>
            <w:r>
              <w:t xml:space="preserve">it </w:t>
            </w:r>
            <w:r w:rsidRPr="009B05FB">
              <w:t>would not meet the eligibility</w:t>
            </w:r>
            <w:r w:rsidR="00640E88">
              <w:t xml:space="preserve"> requirements</w:t>
            </w:r>
            <w:r w:rsidRPr="009B05FB">
              <w:t xml:space="preserve"> to become a nominee reporting entity for payment times reporting purposes. This is because it is already a reporting entity and also does not control Company B and Company C.</w:t>
            </w:r>
          </w:p>
          <w:p w14:paraId="411AF72E" w14:textId="56746E27" w:rsidR="009B05FB" w:rsidRPr="008950C5" w:rsidRDefault="009B05FB" w:rsidP="007D5745">
            <w:pPr>
              <w:pStyle w:val="BoxBullet"/>
              <w:ind w:left="284" w:hanging="284"/>
            </w:pPr>
            <w:r>
              <w:t xml:space="preserve">In this case, the </w:t>
            </w:r>
            <w:r w:rsidR="00A20E39">
              <w:t xml:space="preserve">foreign company </w:t>
            </w:r>
            <w:r w:rsidR="00827F23">
              <w:t>could</w:t>
            </w:r>
            <w:r w:rsidR="007F0818">
              <w:t xml:space="preserve"> apply</w:t>
            </w:r>
            <w:r w:rsidR="007121D6">
              <w:t xml:space="preserve"> to be a nominee reporting entity</w:t>
            </w:r>
            <w:r w:rsidR="00B950EA">
              <w:t>.</w:t>
            </w:r>
            <w:r w:rsidR="00AF1BA0">
              <w:t xml:space="preserve"> </w:t>
            </w:r>
          </w:p>
        </w:tc>
      </w:tr>
    </w:tbl>
    <w:p w14:paraId="525A3ED1" w14:textId="77777777" w:rsidR="000E0490" w:rsidRPr="005F6D7B" w:rsidRDefault="000E0490" w:rsidP="000E0490">
      <w:pPr>
        <w:pStyle w:val="Heading3"/>
        <w:rPr>
          <w:b/>
          <w:sz w:val="24"/>
          <w:szCs w:val="24"/>
        </w:rPr>
      </w:pPr>
      <w:bookmarkStart w:id="64" w:name="_Toc180688127"/>
      <w:bookmarkStart w:id="65" w:name="_Toc184822206"/>
      <w:r w:rsidRPr="005F6D7B">
        <w:t xml:space="preserve">Obligations of </w:t>
      </w:r>
      <w:r>
        <w:t>n</w:t>
      </w:r>
      <w:r w:rsidRPr="005F6D7B">
        <w:t xml:space="preserve">ominee </w:t>
      </w:r>
      <w:r>
        <w:t>r</w:t>
      </w:r>
      <w:r w:rsidRPr="005F6D7B">
        <w:t xml:space="preserve">eporting </w:t>
      </w:r>
      <w:r>
        <w:t>e</w:t>
      </w:r>
      <w:r w:rsidRPr="005F6D7B">
        <w:t>ntities</w:t>
      </w:r>
      <w:bookmarkEnd w:id="64"/>
      <w:bookmarkEnd w:id="65"/>
    </w:p>
    <w:p w14:paraId="6B28C1CC" w14:textId="77777777" w:rsidR="000E0490" w:rsidRPr="00EA0A6E" w:rsidRDefault="000E0490" w:rsidP="000E5061">
      <w:pPr>
        <w:pStyle w:val="OutlineNumbered1"/>
        <w:ind w:left="567" w:hanging="567"/>
      </w:pPr>
      <w:r w:rsidRPr="00EA0A6E">
        <w:t xml:space="preserve">Nominee reporting entities must comply with the same reporting and record-keeping requirements as other reporting entities. The Regulator can publish non-compliance by nominee reporting entities on the </w:t>
      </w:r>
      <w:hyperlink r:id="rId36" w:history="1">
        <w:r w:rsidRPr="00C56A98">
          <w:rPr>
            <w:rStyle w:val="Hyperlink"/>
          </w:rPr>
          <w:t>Register</w:t>
        </w:r>
      </w:hyperlink>
      <w:r w:rsidRPr="00EA0A6E">
        <w:t>, and civil penalties can apply for breaches of the Act.</w:t>
      </w:r>
    </w:p>
    <w:p w14:paraId="159FA234" w14:textId="77777777" w:rsidR="000E0490" w:rsidRPr="00EA0A6E" w:rsidRDefault="000E0490" w:rsidP="001B0562">
      <w:pPr>
        <w:pStyle w:val="OutlineNumbered1"/>
        <w:spacing w:before="120"/>
        <w:ind w:left="567" w:hanging="567"/>
      </w:pPr>
      <w:r w:rsidRPr="00EA0A6E">
        <w:lastRenderedPageBreak/>
        <w:t xml:space="preserve">The controlled </w:t>
      </w:r>
      <w:r>
        <w:t xml:space="preserve">reporting </w:t>
      </w:r>
      <w:r w:rsidRPr="00EA0A6E">
        <w:t>entities of a nominee reporting entity must still submit simplified payment times reports, identifying the nominee</w:t>
      </w:r>
      <w:r>
        <w:t xml:space="preserve"> that</w:t>
      </w:r>
      <w:r w:rsidRPr="00EA0A6E">
        <w:t xml:space="preserve"> is reporting their payments.</w:t>
      </w:r>
      <w:r>
        <w:t xml:space="preserve"> For more information, see </w:t>
      </w:r>
      <w:r w:rsidRPr="00CB2EEA">
        <w:rPr>
          <w:b/>
          <w:bCs/>
          <w:color w:val="00827F" w:themeColor="accent2"/>
        </w:rPr>
        <w:fldChar w:fldCharType="begin"/>
      </w:r>
      <w:r w:rsidRPr="00CB2EEA">
        <w:rPr>
          <w:b/>
          <w:bCs/>
          <w:color w:val="00827F" w:themeColor="accent2"/>
        </w:rPr>
        <w:instrText xml:space="preserve"> REF _Ref179826880 \h  \* MERGEFORMAT </w:instrText>
      </w:r>
      <w:r w:rsidRPr="00CB2EEA">
        <w:rPr>
          <w:b/>
          <w:bCs/>
          <w:color w:val="00827F" w:themeColor="accent2"/>
        </w:rPr>
      </w:r>
      <w:r w:rsidRPr="00CB2EEA">
        <w:rPr>
          <w:b/>
          <w:bCs/>
          <w:color w:val="00827F" w:themeColor="accent2"/>
        </w:rPr>
        <w:fldChar w:fldCharType="separate"/>
      </w:r>
      <w:r w:rsidRPr="00CB2EEA">
        <w:rPr>
          <w:b/>
          <w:bCs/>
          <w:color w:val="00827F" w:themeColor="accent2"/>
        </w:rPr>
        <w:t>Reporting entities that have a reporting nominee</w:t>
      </w:r>
      <w:r w:rsidRPr="00CB2EEA">
        <w:rPr>
          <w:b/>
          <w:bCs/>
          <w:color w:val="00827F" w:themeColor="accent2"/>
        </w:rPr>
        <w:fldChar w:fldCharType="end"/>
      </w:r>
      <w:r w:rsidRPr="003C2458">
        <w:t>.</w:t>
      </w:r>
    </w:p>
    <w:p w14:paraId="281E585E" w14:textId="77777777" w:rsidR="000E0490" w:rsidRPr="00EA0A6E" w:rsidRDefault="000E0490" w:rsidP="001B0562">
      <w:pPr>
        <w:pStyle w:val="OutlineNumbered1"/>
        <w:spacing w:before="120"/>
        <w:ind w:left="567" w:hanging="567"/>
      </w:pPr>
      <w:r w:rsidRPr="00EA0A6E">
        <w:t xml:space="preserve">Nominee reporting entities may be publicly identified as fast or slow </w:t>
      </w:r>
      <w:r>
        <w:t xml:space="preserve">small business </w:t>
      </w:r>
      <w:r w:rsidRPr="00EA0A6E">
        <w:t>payer</w:t>
      </w:r>
      <w:r>
        <w:t>s</w:t>
      </w:r>
      <w:r w:rsidRPr="00EA0A6E">
        <w:t>.</w:t>
      </w:r>
    </w:p>
    <w:p w14:paraId="2F30DFD2" w14:textId="77777777" w:rsidR="000E0490" w:rsidRPr="009B7F5A" w:rsidRDefault="000E0490" w:rsidP="000E0490">
      <w:pPr>
        <w:pStyle w:val="Heading3"/>
      </w:pPr>
      <w:bookmarkStart w:id="66" w:name="_Toc180688128"/>
      <w:bookmarkStart w:id="67" w:name="_Toc184822207"/>
      <w:r w:rsidRPr="009B7F5A">
        <w:t xml:space="preserve">Ceasing to </w:t>
      </w:r>
      <w:r>
        <w:t>b</w:t>
      </w:r>
      <w:r w:rsidRPr="009B7F5A">
        <w:t xml:space="preserve">e a </w:t>
      </w:r>
      <w:r>
        <w:t>n</w:t>
      </w:r>
      <w:r w:rsidRPr="009B7F5A">
        <w:t xml:space="preserve">ominee </w:t>
      </w:r>
      <w:r>
        <w:t>r</w:t>
      </w:r>
      <w:r w:rsidRPr="009B7F5A">
        <w:t xml:space="preserve">eporting </w:t>
      </w:r>
      <w:r>
        <w:t>e</w:t>
      </w:r>
      <w:r w:rsidRPr="009B7F5A">
        <w:t>ntity</w:t>
      </w:r>
      <w:bookmarkEnd w:id="66"/>
      <w:bookmarkEnd w:id="67"/>
    </w:p>
    <w:p w14:paraId="010754AF" w14:textId="1F2C9FF1" w:rsidR="000E0490" w:rsidRPr="00EA0A6E" w:rsidRDefault="000E0490" w:rsidP="001B0562">
      <w:pPr>
        <w:pStyle w:val="OutlineNumbered1"/>
        <w:spacing w:before="120"/>
        <w:ind w:left="567" w:hanging="567"/>
      </w:pPr>
      <w:r w:rsidRPr="00EA0A6E">
        <w:t xml:space="preserve">A nominee reporting entity can revoke its own status by giving the Regulator notice through </w:t>
      </w:r>
      <w:hyperlink r:id="rId37" w:history="1">
        <w:r w:rsidR="00E608F9">
          <w:rPr>
            <w:rStyle w:val="Hyperlink"/>
          </w:rPr>
          <w:t>the</w:t>
        </w:r>
        <w:r w:rsidR="00E608F9" w:rsidRPr="004979D3">
          <w:rPr>
            <w:rStyle w:val="Hyperlink"/>
          </w:rPr>
          <w:t xml:space="preserve"> Portal</w:t>
        </w:r>
      </w:hyperlink>
      <w:r w:rsidRPr="00EA0A6E">
        <w:t xml:space="preserve">. The entity can choose to stop reporting </w:t>
      </w:r>
      <w:r>
        <w:t>from the start of its</w:t>
      </w:r>
      <w:r w:rsidRPr="00EA0A6E">
        <w:t xml:space="preserve"> current reporting period or</w:t>
      </w:r>
      <w:r>
        <w:t xml:space="preserve"> from</w:t>
      </w:r>
      <w:r w:rsidRPr="00EA0A6E">
        <w:t xml:space="preserve"> the start of </w:t>
      </w:r>
      <w:r>
        <w:t>its</w:t>
      </w:r>
      <w:r w:rsidRPr="00EA0A6E">
        <w:t xml:space="preserve"> next </w:t>
      </w:r>
      <w:r>
        <w:t xml:space="preserve">reporting </w:t>
      </w:r>
      <w:r w:rsidRPr="00EA0A6E">
        <w:t>period.</w:t>
      </w:r>
    </w:p>
    <w:p w14:paraId="11486570" w14:textId="5EB5E760" w:rsidR="000E0490" w:rsidRPr="00691827" w:rsidRDefault="000E0490" w:rsidP="001B0562">
      <w:pPr>
        <w:pStyle w:val="OutlineNumbered1"/>
        <w:spacing w:before="120"/>
        <w:ind w:left="567" w:hanging="567"/>
        <w:rPr>
          <w:rFonts w:ascii="Times New Roman" w:hAnsi="Times New Roman"/>
          <w:sz w:val="24"/>
          <w:szCs w:val="24"/>
        </w:rPr>
      </w:pPr>
      <w:r w:rsidRPr="00EA0A6E">
        <w:t>The Regulator can also revoke</w:t>
      </w:r>
      <w:r w:rsidR="00957FBB">
        <w:t xml:space="preserve"> a</w:t>
      </w:r>
      <w:r w:rsidRPr="00EA0A6E">
        <w:t xml:space="preserve"> nominee </w:t>
      </w:r>
      <w:r>
        <w:t xml:space="preserve">reporting entity </w:t>
      </w:r>
      <w:r w:rsidRPr="00EA0A6E">
        <w:t>status</w:t>
      </w:r>
      <w:r>
        <w:t xml:space="preserve">. The Regulator may consider </w:t>
      </w:r>
      <w:r w:rsidRPr="00EA0A6E">
        <w:t xml:space="preserve">the nominee’s </w:t>
      </w:r>
      <w:r w:rsidRPr="000A3BE6">
        <w:t>compliance</w:t>
      </w:r>
      <w:r w:rsidRPr="00EA0A6E">
        <w:t xml:space="preserve"> history and whether </w:t>
      </w:r>
      <w:r>
        <w:t xml:space="preserve">changes in circumstances have affected the </w:t>
      </w:r>
      <w:r w:rsidRPr="00EA0A6E">
        <w:t>transparency</w:t>
      </w:r>
      <w:r>
        <w:t xml:space="preserve"> of reporting when assessing whether nominee</w:t>
      </w:r>
      <w:r w:rsidR="00C35315">
        <w:t xml:space="preserve"> reporting entity</w:t>
      </w:r>
      <w:r>
        <w:t xml:space="preserve"> status should be </w:t>
      </w:r>
      <w:r w:rsidRPr="00691827">
        <w:t>revoked.</w:t>
      </w:r>
    </w:p>
    <w:p w14:paraId="21684572" w14:textId="77777777" w:rsidR="000E0490" w:rsidRPr="005F6D7B" w:rsidRDefault="000E0490" w:rsidP="000E0490">
      <w:pPr>
        <w:pStyle w:val="Heading2"/>
      </w:pPr>
      <w:bookmarkStart w:id="68" w:name="_Ref179827526"/>
      <w:bookmarkStart w:id="69" w:name="_Toc180688129"/>
      <w:bookmarkStart w:id="70" w:name="_Toc184822208"/>
      <w:r w:rsidRPr="005F6D7B">
        <w:t xml:space="preserve">Subsidiary </w:t>
      </w:r>
      <w:r>
        <w:t>r</w:t>
      </w:r>
      <w:r w:rsidRPr="005F6D7B">
        <w:t xml:space="preserve">eporting </w:t>
      </w:r>
      <w:r>
        <w:t>e</w:t>
      </w:r>
      <w:r w:rsidRPr="005F6D7B">
        <w:t>ntities</w:t>
      </w:r>
      <w:bookmarkEnd w:id="68"/>
      <w:bookmarkEnd w:id="69"/>
      <w:bookmarkEnd w:id="70"/>
    </w:p>
    <w:p w14:paraId="383CD788" w14:textId="77777777" w:rsidR="000E0490" w:rsidRPr="00D65E42" w:rsidRDefault="000E0490" w:rsidP="001B0562">
      <w:pPr>
        <w:pStyle w:val="OutlineNumbered1"/>
        <w:spacing w:before="120"/>
        <w:ind w:left="567" w:hanging="567"/>
      </w:pPr>
      <w:r w:rsidRPr="00EA0A6E">
        <w:t xml:space="preserve">A subsidiary reporting entity is an entity that is removed from </w:t>
      </w:r>
      <w:r>
        <w:t xml:space="preserve">its </w:t>
      </w:r>
      <w:r w:rsidRPr="00EA0A6E">
        <w:t>controlling reporting entity's group for reporting purposes. It operates independently and submits its own payment times reports.</w:t>
      </w:r>
    </w:p>
    <w:p w14:paraId="11254594" w14:textId="77777777" w:rsidR="000E0490" w:rsidRDefault="000E0490" w:rsidP="001B0562">
      <w:pPr>
        <w:pStyle w:val="OutlineNumbered1"/>
        <w:spacing w:before="120"/>
        <w:ind w:left="567" w:hanging="567"/>
      </w:pPr>
      <w:r w:rsidRPr="00EA0A6E">
        <w:t xml:space="preserve">If a subsidiary is removed from a consolidated group, </w:t>
      </w:r>
      <w:r>
        <w:t>it must report for itself and all its</w:t>
      </w:r>
      <w:r w:rsidRPr="00EA0A6E">
        <w:t xml:space="preserve"> controlled entities under </w:t>
      </w:r>
      <w:r>
        <w:t>its corporate</w:t>
      </w:r>
      <w:r w:rsidRPr="00EA0A6E">
        <w:t xml:space="preserve"> structure.</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E27DE0" w14:paraId="22E54B5B" w14:textId="77777777">
        <w:tc>
          <w:tcPr>
            <w:tcW w:w="5000" w:type="pct"/>
            <w:shd w:val="clear" w:color="auto" w:fill="EBF1F7"/>
          </w:tcPr>
          <w:p w14:paraId="3E328FA6" w14:textId="5F779327" w:rsidR="00E27DE0" w:rsidRPr="000553FE" w:rsidRDefault="00DE7D46">
            <w:pPr>
              <w:pStyle w:val="BoxHeading"/>
              <w:rPr>
                <w:b w:val="0"/>
              </w:rPr>
            </w:pPr>
            <w:r>
              <w:t>Example</w:t>
            </w:r>
            <w:r w:rsidR="00031282">
              <w:t xml:space="preserve"> 15</w:t>
            </w:r>
          </w:p>
          <w:p w14:paraId="34BDA2E1" w14:textId="0E00B539" w:rsidR="00E27DE0" w:rsidRPr="00247BAC" w:rsidRDefault="007C18E4">
            <w:pPr>
              <w:pStyle w:val="BoxHeading2-Blue"/>
            </w:pPr>
            <w:r>
              <w:rPr>
                <w:rStyle w:val="Strong"/>
              </w:rPr>
              <w:t>SPE</w:t>
            </w:r>
          </w:p>
          <w:p w14:paraId="4D562721" w14:textId="29A42EEF" w:rsidR="00DE7D46" w:rsidRDefault="00DE7D46" w:rsidP="003E12DE">
            <w:pPr>
              <w:pStyle w:val="BoxBullet"/>
              <w:numPr>
                <w:ilvl w:val="0"/>
                <w:numId w:val="0"/>
              </w:numPr>
            </w:pPr>
            <w:r w:rsidRPr="00DE7D46">
              <w:t xml:space="preserve">A reporting entity controls a SPE that operates with a different governance structure. </w:t>
            </w:r>
          </w:p>
          <w:p w14:paraId="3ACE998B" w14:textId="27F3D944" w:rsidR="00E27DE0" w:rsidRPr="008950C5" w:rsidRDefault="00DE7D46" w:rsidP="00DE7D46">
            <w:pPr>
              <w:pStyle w:val="BoxBullet"/>
            </w:pPr>
            <w:r w:rsidRPr="00DE7D46">
              <w:t>The SPE can apply for subsidiary reporting entity status and report its own payment times separately from the group.</w:t>
            </w:r>
          </w:p>
        </w:tc>
      </w:tr>
    </w:tbl>
    <w:p w14:paraId="76570907" w14:textId="77777777" w:rsidR="00E27DE0" w:rsidRDefault="00E27DE0" w:rsidP="00571C63">
      <w:pPr>
        <w:pStyle w:val="OutlineNumbered1"/>
        <w:numPr>
          <w:ilvl w:val="0"/>
          <w:numId w:val="0"/>
        </w:numPr>
        <w:spacing w:after="0"/>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E27DE0" w14:paraId="12C97B80" w14:textId="77777777">
        <w:tc>
          <w:tcPr>
            <w:tcW w:w="5000" w:type="pct"/>
            <w:shd w:val="clear" w:color="auto" w:fill="EBF1F7"/>
          </w:tcPr>
          <w:p w14:paraId="246DC52F" w14:textId="3013D11E" w:rsidR="00E27DE0" w:rsidRPr="000553FE" w:rsidRDefault="00D4065C">
            <w:pPr>
              <w:pStyle w:val="BoxHeading"/>
              <w:rPr>
                <w:b w:val="0"/>
              </w:rPr>
            </w:pPr>
            <w:r>
              <w:t>Example</w:t>
            </w:r>
            <w:r w:rsidR="00031282">
              <w:t xml:space="preserve"> 16</w:t>
            </w:r>
          </w:p>
          <w:p w14:paraId="22326EF2" w14:textId="1B37250F" w:rsidR="00E27DE0" w:rsidRPr="00247BAC" w:rsidRDefault="00D4065C">
            <w:pPr>
              <w:pStyle w:val="BoxHeading2-Blue"/>
            </w:pPr>
            <w:r>
              <w:rPr>
                <w:rStyle w:val="Strong"/>
              </w:rPr>
              <w:t>Removal of internal group</w:t>
            </w:r>
          </w:p>
          <w:p w14:paraId="7197FDCC" w14:textId="77777777" w:rsidR="00D4065C" w:rsidRDefault="00D4065C" w:rsidP="003E12DE">
            <w:pPr>
              <w:pStyle w:val="BoxBullet"/>
              <w:numPr>
                <w:ilvl w:val="0"/>
                <w:numId w:val="0"/>
              </w:numPr>
            </w:pPr>
            <w:r w:rsidRPr="00D4065C">
              <w:t xml:space="preserve">A reporting entity controls a subsidiary holding company which controls several entities and operates under a separate governance structure. </w:t>
            </w:r>
          </w:p>
          <w:p w14:paraId="626D3650" w14:textId="4D3E7EEC" w:rsidR="00E27DE0" w:rsidRPr="008950C5" w:rsidRDefault="00D4065C" w:rsidP="00D4065C">
            <w:pPr>
              <w:pStyle w:val="BoxBullet"/>
            </w:pPr>
            <w:r w:rsidRPr="00D4065C">
              <w:t>If the subsidiary holding company was granted subsidiary reporting entity status it would report for itself and all its controlled entities.</w:t>
            </w:r>
          </w:p>
        </w:tc>
      </w:tr>
    </w:tbl>
    <w:p w14:paraId="4C022C72" w14:textId="77777777" w:rsidR="003269B0" w:rsidRDefault="003269B0" w:rsidP="000E0490">
      <w:pPr>
        <w:pStyle w:val="Heading3"/>
      </w:pPr>
      <w:bookmarkStart w:id="71" w:name="_Toc180688130"/>
    </w:p>
    <w:p w14:paraId="01BAF8A3" w14:textId="77777777" w:rsidR="003269B0" w:rsidRDefault="003269B0">
      <w:pPr>
        <w:spacing w:before="0" w:after="160" w:line="259" w:lineRule="auto"/>
        <w:rPr>
          <w:rFonts w:cs="Arial"/>
          <w:bCs/>
          <w:color w:val="002C47" w:themeColor="accent1"/>
          <w:kern w:val="32"/>
          <w:sz w:val="28"/>
          <w:szCs w:val="26"/>
        </w:rPr>
      </w:pPr>
      <w:r>
        <w:br w:type="page"/>
      </w:r>
    </w:p>
    <w:p w14:paraId="5C845667" w14:textId="0A6FE543" w:rsidR="000E0490" w:rsidRPr="005F6D7B" w:rsidRDefault="000E0490" w:rsidP="000E0490">
      <w:pPr>
        <w:pStyle w:val="Heading3"/>
        <w:rPr>
          <w:b/>
          <w:sz w:val="24"/>
          <w:szCs w:val="24"/>
        </w:rPr>
      </w:pPr>
      <w:bookmarkStart w:id="72" w:name="_Toc184822209"/>
      <w:r w:rsidRPr="005F6D7B">
        <w:lastRenderedPageBreak/>
        <w:t xml:space="preserve">Becoming a </w:t>
      </w:r>
      <w:r>
        <w:t>s</w:t>
      </w:r>
      <w:r w:rsidRPr="005F6D7B">
        <w:t xml:space="preserve">ubsidiary </w:t>
      </w:r>
      <w:r>
        <w:t>r</w:t>
      </w:r>
      <w:r w:rsidRPr="005F6D7B">
        <w:t xml:space="preserve">eporting </w:t>
      </w:r>
      <w:r>
        <w:t>e</w:t>
      </w:r>
      <w:r w:rsidRPr="005F6D7B">
        <w:t>ntity</w:t>
      </w:r>
      <w:bookmarkEnd w:id="71"/>
      <w:bookmarkEnd w:id="72"/>
    </w:p>
    <w:p w14:paraId="5BF3A36E" w14:textId="77777777" w:rsidR="000E0490" w:rsidRPr="00EA0A6E" w:rsidRDefault="000E0490" w:rsidP="00E27DE0">
      <w:pPr>
        <w:pStyle w:val="OutlineNumbered1"/>
        <w:ind w:left="567" w:hanging="567"/>
      </w:pPr>
      <w:r w:rsidRPr="00EA0A6E">
        <w:t xml:space="preserve">An entity can apply for subsidiary reporting entity status if it is a CCE and is controlled by a reporting entity. </w:t>
      </w:r>
    </w:p>
    <w:p w14:paraId="2CD19006" w14:textId="1AB0E78D" w:rsidR="000E0490" w:rsidRPr="00635DD4" w:rsidRDefault="000E0490" w:rsidP="00E27DE0">
      <w:pPr>
        <w:pStyle w:val="OutlineNumbered1"/>
        <w:ind w:left="567" w:hanging="567"/>
      </w:pPr>
      <w:r w:rsidRPr="00635DD4">
        <w:t>An application for subsidiary reporting entity status must be submitted to the Regulator</w:t>
      </w:r>
      <w:r>
        <w:t xml:space="preserve"> through </w:t>
      </w:r>
      <w:hyperlink r:id="rId38" w:history="1">
        <w:r w:rsidR="00E608F9">
          <w:rPr>
            <w:rStyle w:val="Hyperlink"/>
          </w:rPr>
          <w:t>the</w:t>
        </w:r>
        <w:r w:rsidR="00E608F9" w:rsidRPr="004979D3">
          <w:rPr>
            <w:rStyle w:val="Hyperlink"/>
          </w:rPr>
          <w:t xml:space="preserve"> Portal</w:t>
        </w:r>
      </w:hyperlink>
      <w:r w:rsidRPr="00635DD4">
        <w:t xml:space="preserve">. </w:t>
      </w:r>
      <w:r>
        <w:t xml:space="preserve">For more information, see </w:t>
      </w:r>
      <w:r w:rsidRPr="0048468E">
        <w:rPr>
          <w:b/>
          <w:bCs/>
          <w:color w:val="00827F" w:themeColor="accent2"/>
        </w:rPr>
        <w:fldChar w:fldCharType="begin"/>
      </w:r>
      <w:r w:rsidRPr="0048468E">
        <w:rPr>
          <w:b/>
          <w:bCs/>
          <w:color w:val="00827F" w:themeColor="accent2"/>
        </w:rPr>
        <w:instrText xml:space="preserve"> REF _Ref179826684 \h </w:instrText>
      </w:r>
      <w:r w:rsidR="0048468E">
        <w:rPr>
          <w:b/>
          <w:bCs/>
          <w:color w:val="00827F" w:themeColor="accent2"/>
        </w:rPr>
        <w:instrText xml:space="preserve"> \* MERGEFORMAT </w:instrText>
      </w:r>
      <w:r w:rsidRPr="0048468E">
        <w:rPr>
          <w:b/>
          <w:bCs/>
          <w:color w:val="00827F" w:themeColor="accent2"/>
        </w:rPr>
      </w:r>
      <w:r w:rsidRPr="0048468E">
        <w:rPr>
          <w:b/>
          <w:bCs/>
          <w:color w:val="00827F" w:themeColor="accent2"/>
        </w:rPr>
        <w:fldChar w:fldCharType="separate"/>
      </w:r>
      <w:r w:rsidRPr="0048468E">
        <w:rPr>
          <w:b/>
          <w:bCs/>
          <w:color w:val="00827F" w:themeColor="accent2"/>
        </w:rPr>
        <w:t>Nominee &amp; Subsidiary Reporting Entity Applications</w:t>
      </w:r>
      <w:r w:rsidRPr="0048468E">
        <w:rPr>
          <w:b/>
          <w:bCs/>
          <w:color w:val="00827F" w:themeColor="accent2"/>
        </w:rPr>
        <w:fldChar w:fldCharType="end"/>
      </w:r>
      <w:r w:rsidRPr="00EA0A6E">
        <w:t>.</w:t>
      </w:r>
    </w:p>
    <w:p w14:paraId="7E8F0094" w14:textId="77777777" w:rsidR="000E0490" w:rsidRPr="005F6D7B" w:rsidRDefault="000E0490" w:rsidP="000E0490">
      <w:pPr>
        <w:pStyle w:val="Heading3"/>
        <w:rPr>
          <w:b/>
          <w:sz w:val="24"/>
          <w:szCs w:val="24"/>
        </w:rPr>
      </w:pPr>
      <w:bookmarkStart w:id="73" w:name="_Toc180688131"/>
      <w:bookmarkStart w:id="74" w:name="_Toc184822210"/>
      <w:r w:rsidRPr="005F6D7B">
        <w:t xml:space="preserve">Obligations of </w:t>
      </w:r>
      <w:r>
        <w:t>s</w:t>
      </w:r>
      <w:r w:rsidRPr="005F6D7B">
        <w:t xml:space="preserve">ubsidiary </w:t>
      </w:r>
      <w:r>
        <w:t>r</w:t>
      </w:r>
      <w:r w:rsidRPr="005F6D7B">
        <w:t xml:space="preserve">eporting </w:t>
      </w:r>
      <w:r>
        <w:t>e</w:t>
      </w:r>
      <w:r w:rsidRPr="005F6D7B">
        <w:t>ntities</w:t>
      </w:r>
      <w:bookmarkEnd w:id="73"/>
      <w:bookmarkEnd w:id="74"/>
    </w:p>
    <w:p w14:paraId="4F163C21" w14:textId="77777777" w:rsidR="000E0490" w:rsidRPr="002D315B" w:rsidRDefault="000E0490" w:rsidP="00E27DE0">
      <w:pPr>
        <w:pStyle w:val="OutlineNumbered1"/>
        <w:ind w:left="567" w:hanging="567"/>
      </w:pPr>
      <w:r>
        <w:t>Subsidiary</w:t>
      </w:r>
      <w:r w:rsidRPr="002D315B">
        <w:t xml:space="preserve"> reporting entities must comply with the same reporting and record-keeping requirements as other reporting entities. The Regulator can publish any non-compliance by </w:t>
      </w:r>
      <w:r>
        <w:t>subsidiary</w:t>
      </w:r>
      <w:r w:rsidRPr="002D315B">
        <w:t xml:space="preserve"> reporting entities on the </w:t>
      </w:r>
      <w:hyperlink r:id="rId39" w:history="1">
        <w:r w:rsidRPr="00C56A98">
          <w:rPr>
            <w:rStyle w:val="Hyperlink"/>
          </w:rPr>
          <w:t>Register</w:t>
        </w:r>
      </w:hyperlink>
      <w:r w:rsidRPr="002D315B">
        <w:t>, and civil penalties can apply for breaches of the Act.</w:t>
      </w:r>
    </w:p>
    <w:p w14:paraId="230D9C53" w14:textId="77777777" w:rsidR="000E0490" w:rsidRPr="002D315B" w:rsidRDefault="000E0490" w:rsidP="00E27DE0">
      <w:pPr>
        <w:pStyle w:val="OutlineNumbered1"/>
        <w:ind w:left="567" w:hanging="567"/>
      </w:pPr>
      <w:r>
        <w:t>Subsidiary</w:t>
      </w:r>
      <w:r w:rsidRPr="002D315B">
        <w:t xml:space="preserve"> reporting entities may be publicly identified as fast or slow </w:t>
      </w:r>
      <w:r>
        <w:t xml:space="preserve">small business </w:t>
      </w:r>
      <w:r w:rsidRPr="002D315B">
        <w:t>payer</w:t>
      </w:r>
      <w:r>
        <w:t>s</w:t>
      </w:r>
      <w:r w:rsidRPr="002D315B">
        <w:t>.</w:t>
      </w:r>
    </w:p>
    <w:p w14:paraId="5C32E9ED" w14:textId="77777777" w:rsidR="000E0490" w:rsidRPr="005F6D7B" w:rsidRDefault="000E0490" w:rsidP="000E0490">
      <w:pPr>
        <w:pStyle w:val="Heading3"/>
        <w:rPr>
          <w:b/>
          <w:sz w:val="24"/>
          <w:szCs w:val="24"/>
        </w:rPr>
      </w:pPr>
      <w:bookmarkStart w:id="75" w:name="_Toc180688132"/>
      <w:bookmarkStart w:id="76" w:name="_Toc184822211"/>
      <w:r w:rsidRPr="005F6D7B">
        <w:t xml:space="preserve">Ceasing to </w:t>
      </w:r>
      <w:r>
        <w:t>b</w:t>
      </w:r>
      <w:r w:rsidRPr="005F6D7B">
        <w:t xml:space="preserve">e a </w:t>
      </w:r>
      <w:r>
        <w:t>s</w:t>
      </w:r>
      <w:r w:rsidRPr="005F6D7B">
        <w:t xml:space="preserve">ubsidiary </w:t>
      </w:r>
      <w:r>
        <w:t>r</w:t>
      </w:r>
      <w:r w:rsidRPr="005F6D7B">
        <w:t xml:space="preserve">eporting </w:t>
      </w:r>
      <w:r>
        <w:t>e</w:t>
      </w:r>
      <w:r w:rsidRPr="005F6D7B">
        <w:t>ntity</w:t>
      </w:r>
      <w:bookmarkEnd w:id="75"/>
      <w:bookmarkEnd w:id="76"/>
    </w:p>
    <w:p w14:paraId="284517C5" w14:textId="7AB2B16D" w:rsidR="000E0490" w:rsidRPr="002D315B" w:rsidRDefault="000E0490" w:rsidP="0048468E">
      <w:pPr>
        <w:pStyle w:val="OutlineNumbered1"/>
        <w:spacing w:before="120"/>
        <w:ind w:left="567" w:hanging="567"/>
      </w:pPr>
      <w:r w:rsidRPr="002D315B">
        <w:t xml:space="preserve">A </w:t>
      </w:r>
      <w:r>
        <w:t>subsidiary</w:t>
      </w:r>
      <w:r w:rsidRPr="002D315B">
        <w:t xml:space="preserve"> reporting entity can revoke its own status by giving the Regulator notice through </w:t>
      </w:r>
      <w:hyperlink r:id="rId40" w:history="1">
        <w:r w:rsidR="00841C0D">
          <w:rPr>
            <w:rStyle w:val="Hyperlink"/>
          </w:rPr>
          <w:t>the</w:t>
        </w:r>
        <w:r w:rsidR="00841C0D" w:rsidRPr="004979D3">
          <w:rPr>
            <w:rStyle w:val="Hyperlink"/>
          </w:rPr>
          <w:t xml:space="preserve"> Portal</w:t>
        </w:r>
      </w:hyperlink>
      <w:r w:rsidRPr="002D315B">
        <w:t xml:space="preserve">. The </w:t>
      </w:r>
      <w:r>
        <w:t xml:space="preserve">subsidiary reporting </w:t>
      </w:r>
      <w:r w:rsidRPr="002D315B">
        <w:t xml:space="preserve">entity can choose to stop reporting </w:t>
      </w:r>
      <w:r>
        <w:t xml:space="preserve">from </w:t>
      </w:r>
      <w:r w:rsidRPr="002D315B">
        <w:t xml:space="preserve">the </w:t>
      </w:r>
      <w:r>
        <w:t xml:space="preserve">start of its </w:t>
      </w:r>
      <w:r w:rsidRPr="002D315B">
        <w:t xml:space="preserve">current reporting period or </w:t>
      </w:r>
      <w:r>
        <w:t xml:space="preserve">from </w:t>
      </w:r>
      <w:r w:rsidRPr="002D315B">
        <w:t xml:space="preserve">the start of </w:t>
      </w:r>
      <w:r>
        <w:t>its</w:t>
      </w:r>
      <w:r w:rsidRPr="002D315B">
        <w:t xml:space="preserve"> next </w:t>
      </w:r>
      <w:r>
        <w:t xml:space="preserve">reporting </w:t>
      </w:r>
      <w:r w:rsidRPr="002D315B">
        <w:t>period.</w:t>
      </w:r>
    </w:p>
    <w:p w14:paraId="7DAD9EE7" w14:textId="77777777" w:rsidR="000E0490" w:rsidRPr="000D2BEB" w:rsidRDefault="000E0490" w:rsidP="0048468E">
      <w:pPr>
        <w:pStyle w:val="OutlineNumbered1"/>
        <w:spacing w:before="120"/>
        <w:ind w:left="567" w:hanging="567"/>
        <w:rPr>
          <w:rFonts w:ascii="Times New Roman" w:hAnsi="Times New Roman"/>
          <w:sz w:val="24"/>
          <w:szCs w:val="24"/>
        </w:rPr>
      </w:pPr>
      <w:r w:rsidRPr="002D315B">
        <w:t xml:space="preserve">The Regulator can also revoke </w:t>
      </w:r>
      <w:r>
        <w:t>subsidiary</w:t>
      </w:r>
      <w:r w:rsidRPr="002D315B">
        <w:t xml:space="preserve"> </w:t>
      </w:r>
      <w:r>
        <w:t xml:space="preserve">reporting entity </w:t>
      </w:r>
      <w:r w:rsidRPr="002D315B">
        <w:t>status</w:t>
      </w:r>
      <w:r>
        <w:t xml:space="preserve">. The Regulator may consider </w:t>
      </w:r>
      <w:r w:rsidRPr="002D315B">
        <w:t xml:space="preserve">the </w:t>
      </w:r>
      <w:r>
        <w:t>subsidiary reporting entit</w:t>
      </w:r>
      <w:r w:rsidRPr="002D315B">
        <w:t xml:space="preserve">y’s compliance history and whether </w:t>
      </w:r>
      <w:r>
        <w:t xml:space="preserve">changes in circumstances have affected the </w:t>
      </w:r>
      <w:r w:rsidRPr="002D315B">
        <w:t>transparency</w:t>
      </w:r>
      <w:r>
        <w:t xml:space="preserve"> of reporting when assessing whether subsidiary reporting entity status should be revoked.</w:t>
      </w:r>
    </w:p>
    <w:p w14:paraId="3E478007" w14:textId="77777777" w:rsidR="00DE344F" w:rsidRDefault="00DE344F">
      <w:pPr>
        <w:spacing w:before="0" w:after="160" w:line="259" w:lineRule="auto"/>
        <w:rPr>
          <w:rFonts w:cs="Arial"/>
          <w:color w:val="3A6FAF" w:themeColor="accent3"/>
          <w:kern w:val="32"/>
          <w:sz w:val="48"/>
          <w:szCs w:val="36"/>
        </w:rPr>
      </w:pPr>
      <w:bookmarkStart w:id="77" w:name="_Toc180688133"/>
      <w:r>
        <w:br w:type="page"/>
      </w:r>
    </w:p>
    <w:p w14:paraId="08B608EB" w14:textId="77777777" w:rsidR="000E0490" w:rsidRPr="005F6D7B" w:rsidRDefault="000E0490" w:rsidP="000E0490">
      <w:pPr>
        <w:pStyle w:val="Heading1"/>
      </w:pPr>
      <w:bookmarkStart w:id="78" w:name="_Toc184822212"/>
      <w:r w:rsidRPr="005F6D7B">
        <w:lastRenderedPageBreak/>
        <w:t xml:space="preserve">How and </w:t>
      </w:r>
      <w:r>
        <w:t>w</w:t>
      </w:r>
      <w:r w:rsidRPr="005F6D7B">
        <w:t xml:space="preserve">hen to </w:t>
      </w:r>
      <w:r>
        <w:t>r</w:t>
      </w:r>
      <w:r w:rsidRPr="005F6D7B">
        <w:t>eport</w:t>
      </w:r>
      <w:bookmarkEnd w:id="77"/>
      <w:bookmarkEnd w:id="78"/>
    </w:p>
    <w:p w14:paraId="4A80E2BB" w14:textId="77777777" w:rsidR="000E0490" w:rsidRPr="006B58B0" w:rsidRDefault="000E0490" w:rsidP="000E0490">
      <w:pPr>
        <w:pStyle w:val="Heading2"/>
      </w:pPr>
      <w:bookmarkStart w:id="79" w:name="_Toc180688134"/>
      <w:bookmarkStart w:id="80" w:name="_Toc184822213"/>
      <w:r w:rsidRPr="006B58B0">
        <w:t>Reporting periods</w:t>
      </w:r>
      <w:bookmarkEnd w:id="79"/>
      <w:bookmarkEnd w:id="80"/>
    </w:p>
    <w:p w14:paraId="4D870516" w14:textId="77777777" w:rsidR="000E0490" w:rsidRPr="00605DDA" w:rsidRDefault="000E0490" w:rsidP="000E0490">
      <w:pPr>
        <w:pStyle w:val="Heading3"/>
      </w:pPr>
      <w:bookmarkStart w:id="81" w:name="_Toc180688135"/>
      <w:bookmarkStart w:id="82" w:name="_Toc184822214"/>
      <w:r w:rsidRPr="006B58B0">
        <w:t xml:space="preserve">When to </w:t>
      </w:r>
      <w:r w:rsidRPr="00605DDA">
        <w:t>report</w:t>
      </w:r>
      <w:bookmarkEnd w:id="81"/>
      <w:bookmarkEnd w:id="82"/>
    </w:p>
    <w:p w14:paraId="4FDAFF13" w14:textId="5DB4DD10" w:rsidR="000E0490" w:rsidRPr="00EA0A6E" w:rsidRDefault="000E0490" w:rsidP="00DE344F">
      <w:pPr>
        <w:pStyle w:val="OutlineNumbered1"/>
        <w:ind w:left="567" w:hanging="567"/>
      </w:pPr>
      <w:r w:rsidRPr="00EA0A6E">
        <w:t xml:space="preserve">Reporting entities must submit two reports per year, each covering a six-month period based on </w:t>
      </w:r>
      <w:r>
        <w:t xml:space="preserve">their </w:t>
      </w:r>
      <w:r w:rsidRPr="00EA0A6E">
        <w:t>financial year.</w:t>
      </w:r>
      <w:r>
        <w:t xml:space="preserve"> </w:t>
      </w:r>
      <w:r w:rsidR="0079569E">
        <w:t>The following examples</w:t>
      </w:r>
      <w:r w:rsidR="00057FED">
        <w:t xml:space="preserve"> are for r</w:t>
      </w:r>
      <w:r w:rsidRPr="00EA0A6E">
        <w:t xml:space="preserve">eporting entities </w:t>
      </w:r>
      <w:r w:rsidR="00057FED">
        <w:t>that have</w:t>
      </w:r>
      <w:r w:rsidRPr="00EA0A6E">
        <w:t xml:space="preserve"> a standard 12-month financial year:</w:t>
      </w:r>
    </w:p>
    <w:p w14:paraId="1F784CD4" w14:textId="77777777" w:rsidR="000E0490" w:rsidRPr="00EA0A6E" w:rsidRDefault="000E0490" w:rsidP="00DE344F">
      <w:pPr>
        <w:pStyle w:val="OutlineNumberedDot"/>
        <w:ind w:left="851" w:hanging="284"/>
      </w:pPr>
      <w:r w:rsidRPr="00EA0A6E">
        <w:t>For a financial year ending on 30 June, reporting periods are:</w:t>
      </w:r>
    </w:p>
    <w:p w14:paraId="74C807EF" w14:textId="664AD98F" w:rsidR="00DE344F" w:rsidRDefault="000E0490" w:rsidP="00DE344F">
      <w:pPr>
        <w:pStyle w:val="OutlineNumberedDash"/>
        <w:numPr>
          <w:ilvl w:val="1"/>
          <w:numId w:val="1"/>
        </w:numPr>
        <w:ind w:left="1560"/>
        <w:rPr>
          <w:rFonts w:cstheme="minorHAnsi"/>
          <w:szCs w:val="22"/>
        </w:rPr>
      </w:pPr>
      <w:r w:rsidRPr="00EA0A6E">
        <w:rPr>
          <w:rFonts w:cstheme="minorHAnsi"/>
          <w:szCs w:val="22"/>
        </w:rPr>
        <w:t xml:space="preserve">1 July </w:t>
      </w:r>
      <w:r w:rsidR="00DE344F">
        <w:rPr>
          <w:rFonts w:cstheme="minorHAnsi"/>
          <w:szCs w:val="22"/>
        </w:rPr>
        <w:t>-</w:t>
      </w:r>
      <w:r w:rsidRPr="00EA0A6E">
        <w:rPr>
          <w:rFonts w:cstheme="minorHAnsi"/>
          <w:szCs w:val="22"/>
        </w:rPr>
        <w:t xml:space="preserve"> 31 December</w:t>
      </w:r>
      <w:r w:rsidR="00880FE9">
        <w:rPr>
          <w:rFonts w:cstheme="minorHAnsi"/>
          <w:szCs w:val="22"/>
        </w:rPr>
        <w:t>; and</w:t>
      </w:r>
    </w:p>
    <w:p w14:paraId="4EA3EC10" w14:textId="1BAF7741" w:rsidR="000E0490" w:rsidRPr="00DE344F" w:rsidRDefault="000E0490" w:rsidP="00DE344F">
      <w:pPr>
        <w:pStyle w:val="OutlineNumberedDash"/>
        <w:numPr>
          <w:ilvl w:val="1"/>
          <w:numId w:val="1"/>
        </w:numPr>
        <w:ind w:left="1560"/>
        <w:rPr>
          <w:rFonts w:cstheme="minorHAnsi"/>
          <w:szCs w:val="22"/>
        </w:rPr>
      </w:pPr>
      <w:r w:rsidRPr="00DE344F">
        <w:rPr>
          <w:rFonts w:cstheme="minorHAnsi"/>
          <w:szCs w:val="22"/>
        </w:rPr>
        <w:t xml:space="preserve">1 January </w:t>
      </w:r>
      <w:r w:rsidR="00DE344F">
        <w:rPr>
          <w:rFonts w:cstheme="minorHAnsi"/>
          <w:szCs w:val="22"/>
        </w:rPr>
        <w:t>-</w:t>
      </w:r>
      <w:r w:rsidRPr="00DE344F">
        <w:rPr>
          <w:rFonts w:cstheme="minorHAnsi"/>
          <w:szCs w:val="22"/>
        </w:rPr>
        <w:t xml:space="preserve"> 30 June.</w:t>
      </w:r>
    </w:p>
    <w:p w14:paraId="01A41030" w14:textId="77777777" w:rsidR="000E0490" w:rsidRPr="00EA0A6E" w:rsidRDefault="000E0490" w:rsidP="00DE344F">
      <w:pPr>
        <w:pStyle w:val="OutlineNumberedDot"/>
        <w:ind w:left="851" w:hanging="284"/>
      </w:pPr>
      <w:r w:rsidRPr="00EA0A6E">
        <w:t xml:space="preserve">For a financial year ending on 30 </w:t>
      </w:r>
      <w:r>
        <w:t>September</w:t>
      </w:r>
      <w:r w:rsidRPr="00EA0A6E">
        <w:t>, reporting periods are:</w:t>
      </w:r>
    </w:p>
    <w:p w14:paraId="543A7782" w14:textId="1E022A24" w:rsidR="00DE344F" w:rsidRDefault="000E0490" w:rsidP="00DE344F">
      <w:pPr>
        <w:pStyle w:val="OutlineNumberedDash"/>
        <w:numPr>
          <w:ilvl w:val="1"/>
          <w:numId w:val="1"/>
        </w:numPr>
        <w:ind w:left="1560"/>
        <w:rPr>
          <w:rFonts w:cstheme="minorHAnsi"/>
          <w:szCs w:val="22"/>
        </w:rPr>
      </w:pPr>
      <w:r w:rsidRPr="00EA0A6E">
        <w:rPr>
          <w:rFonts w:cstheme="minorHAnsi"/>
          <w:szCs w:val="22"/>
        </w:rPr>
        <w:t xml:space="preserve">1 </w:t>
      </w:r>
      <w:r>
        <w:rPr>
          <w:rFonts w:cstheme="minorHAnsi"/>
          <w:szCs w:val="22"/>
        </w:rPr>
        <w:t>October</w:t>
      </w:r>
      <w:r w:rsidRPr="00EA0A6E">
        <w:rPr>
          <w:rFonts w:cstheme="minorHAnsi"/>
          <w:szCs w:val="22"/>
        </w:rPr>
        <w:t xml:space="preserve"> </w:t>
      </w:r>
      <w:r w:rsidR="00DE344F">
        <w:rPr>
          <w:rFonts w:cstheme="minorHAnsi"/>
          <w:szCs w:val="22"/>
        </w:rPr>
        <w:t>-</w:t>
      </w:r>
      <w:r w:rsidRPr="00EA0A6E">
        <w:rPr>
          <w:rFonts w:cstheme="minorHAnsi"/>
          <w:szCs w:val="22"/>
        </w:rPr>
        <w:t xml:space="preserve"> 31 </w:t>
      </w:r>
      <w:r>
        <w:rPr>
          <w:rFonts w:cstheme="minorHAnsi"/>
          <w:szCs w:val="22"/>
        </w:rPr>
        <w:t>March</w:t>
      </w:r>
      <w:r w:rsidR="00880FE9">
        <w:rPr>
          <w:rFonts w:cstheme="minorHAnsi"/>
          <w:szCs w:val="22"/>
        </w:rPr>
        <w:t>; and</w:t>
      </w:r>
    </w:p>
    <w:p w14:paraId="3C55C40A" w14:textId="480E2076" w:rsidR="000E0490" w:rsidRPr="00DE344F" w:rsidRDefault="000E0490" w:rsidP="00DE344F">
      <w:pPr>
        <w:pStyle w:val="OutlineNumberedDash"/>
        <w:numPr>
          <w:ilvl w:val="1"/>
          <w:numId w:val="1"/>
        </w:numPr>
        <w:ind w:left="1560"/>
      </w:pPr>
      <w:r w:rsidRPr="00DE344F">
        <w:rPr>
          <w:rFonts w:cstheme="minorHAnsi"/>
          <w:szCs w:val="22"/>
        </w:rPr>
        <w:t xml:space="preserve">1 April </w:t>
      </w:r>
      <w:r w:rsidR="00DE344F">
        <w:rPr>
          <w:rFonts w:cstheme="minorHAnsi"/>
          <w:szCs w:val="22"/>
        </w:rPr>
        <w:t>-</w:t>
      </w:r>
      <w:r w:rsidRPr="00DE344F">
        <w:rPr>
          <w:rFonts w:cstheme="minorHAnsi"/>
          <w:szCs w:val="22"/>
        </w:rPr>
        <w:t xml:space="preserve"> 30 September.</w:t>
      </w:r>
    </w:p>
    <w:p w14:paraId="414E80EC" w14:textId="3DCCD0FE" w:rsidR="000E0490" w:rsidRPr="00DE344F" w:rsidRDefault="000E0490" w:rsidP="0074190D">
      <w:pPr>
        <w:pStyle w:val="OutlineNumbered1"/>
        <w:spacing w:after="240"/>
        <w:ind w:left="567" w:hanging="567"/>
        <w:rPr>
          <w:rFonts w:ascii="Times New Roman" w:hAnsi="Times New Roman"/>
          <w:b/>
          <w:bCs/>
          <w:sz w:val="24"/>
          <w:szCs w:val="24"/>
        </w:rPr>
      </w:pPr>
      <w:r w:rsidRPr="00EA0A6E">
        <w:t>Reporting entities using a 52-53 week financial year must</w:t>
      </w:r>
      <w:r>
        <w:t xml:space="preserve"> s</w:t>
      </w:r>
      <w:r w:rsidRPr="00EA0A6E">
        <w:t xml:space="preserve">ubmit a report covering the first six months of </w:t>
      </w:r>
      <w:r>
        <w:t>their</w:t>
      </w:r>
      <w:r w:rsidRPr="00EA0A6E">
        <w:t xml:space="preserve"> financial year</w:t>
      </w:r>
      <w:r>
        <w:t xml:space="preserve"> and </w:t>
      </w:r>
      <w:r w:rsidRPr="00EA0A6E">
        <w:t xml:space="preserve">a second report for the rest of </w:t>
      </w:r>
      <w:r>
        <w:t>their</w:t>
      </w:r>
      <w:r w:rsidRPr="00EA0A6E">
        <w:t xml:space="preserve"> financial year.</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E344F" w14:paraId="2E1131CF" w14:textId="77777777">
        <w:tc>
          <w:tcPr>
            <w:tcW w:w="5000" w:type="pct"/>
            <w:shd w:val="clear" w:color="auto" w:fill="EBF1F7"/>
          </w:tcPr>
          <w:p w14:paraId="176EC339" w14:textId="20C92E7B" w:rsidR="00DE344F" w:rsidRPr="000553FE" w:rsidRDefault="00D4065C">
            <w:pPr>
              <w:pStyle w:val="BoxHeading"/>
              <w:rPr>
                <w:b w:val="0"/>
              </w:rPr>
            </w:pPr>
            <w:r>
              <w:t>Example</w:t>
            </w:r>
            <w:r w:rsidR="00031282">
              <w:t xml:space="preserve"> 17</w:t>
            </w:r>
          </w:p>
          <w:p w14:paraId="0F441556" w14:textId="2D502193" w:rsidR="00DE344F" w:rsidRPr="00247BAC" w:rsidRDefault="00D4065C">
            <w:pPr>
              <w:pStyle w:val="BoxHeading2-Blue"/>
            </w:pPr>
            <w:r>
              <w:rPr>
                <w:rStyle w:val="Strong"/>
              </w:rPr>
              <w:t>52-53 week financial year</w:t>
            </w:r>
          </w:p>
          <w:p w14:paraId="67865513" w14:textId="4A851DA7" w:rsidR="00D4065C" w:rsidRDefault="00D4065C" w:rsidP="00D4065C">
            <w:pPr>
              <w:pStyle w:val="BoxText"/>
            </w:pPr>
            <w:r>
              <w:t>A reporting entity, with an ordinary</w:t>
            </w:r>
            <w:r w:rsidR="0044664D">
              <w:t xml:space="preserve"> financial</w:t>
            </w:r>
            <w:r>
              <w:t xml:space="preserve"> year end of 30 June, shortens and lengthens its financial year by up to 7 days as per section 323D of the Corporations Act.</w:t>
            </w:r>
          </w:p>
          <w:p w14:paraId="548EC006" w14:textId="77777777" w:rsidR="00D4065C" w:rsidRPr="00D4065C" w:rsidRDefault="00D4065C" w:rsidP="00D4065C">
            <w:pPr>
              <w:pStyle w:val="BoxBullet"/>
              <w:numPr>
                <w:ilvl w:val="0"/>
                <w:numId w:val="0"/>
              </w:numPr>
              <w:rPr>
                <w:u w:val="single"/>
              </w:rPr>
            </w:pPr>
            <w:r w:rsidRPr="00D4065C">
              <w:rPr>
                <w:u w:val="single"/>
              </w:rPr>
              <w:t xml:space="preserve">Scenario 1: </w:t>
            </w:r>
          </w:p>
          <w:p w14:paraId="209722F4" w14:textId="77777777" w:rsidR="00D4065C" w:rsidRDefault="00D4065C" w:rsidP="00D4065C">
            <w:pPr>
              <w:pStyle w:val="BoxBullet"/>
            </w:pPr>
            <w:r>
              <w:t xml:space="preserve">The entity shortens a financial year to 28 June. </w:t>
            </w:r>
          </w:p>
          <w:p w14:paraId="277A9CE2" w14:textId="229DF39A" w:rsidR="00D4065C" w:rsidRDefault="00D4065C" w:rsidP="00D4065C">
            <w:pPr>
              <w:pStyle w:val="BoxBullet"/>
            </w:pPr>
            <w:r>
              <w:t>The reporting periods are 1 July – 31 December and 1 January – 28 June.</w:t>
            </w:r>
          </w:p>
          <w:p w14:paraId="7C38F346" w14:textId="77777777" w:rsidR="00D4065C" w:rsidRPr="00D4065C" w:rsidRDefault="00D4065C" w:rsidP="00D4065C">
            <w:pPr>
              <w:pStyle w:val="BoxBullet"/>
              <w:numPr>
                <w:ilvl w:val="0"/>
                <w:numId w:val="0"/>
              </w:numPr>
              <w:rPr>
                <w:u w:val="single"/>
              </w:rPr>
            </w:pPr>
            <w:r w:rsidRPr="00D4065C">
              <w:rPr>
                <w:u w:val="single"/>
              </w:rPr>
              <w:t xml:space="preserve">Scenario 2: </w:t>
            </w:r>
          </w:p>
          <w:p w14:paraId="2D066580" w14:textId="77777777" w:rsidR="00D4065C" w:rsidRDefault="00D4065C" w:rsidP="00D4065C">
            <w:pPr>
              <w:pStyle w:val="BoxBullet"/>
            </w:pPr>
            <w:r>
              <w:t xml:space="preserve">The entity lengthens a financial year to 3 July. </w:t>
            </w:r>
          </w:p>
          <w:p w14:paraId="0363FDED" w14:textId="62E2ACA7" w:rsidR="00DE344F" w:rsidRPr="008950C5" w:rsidRDefault="00D4065C" w:rsidP="00D4065C">
            <w:pPr>
              <w:pStyle w:val="BoxBullet"/>
            </w:pPr>
            <w:r>
              <w:t>The reporting periods are 1 July – 31 December and 1 January – 3 July.</w:t>
            </w:r>
          </w:p>
        </w:tc>
      </w:tr>
    </w:tbl>
    <w:p w14:paraId="70450166" w14:textId="77777777" w:rsidR="000E0490" w:rsidRPr="006B58B0" w:rsidRDefault="000E0490" w:rsidP="000E0490">
      <w:pPr>
        <w:pStyle w:val="Heading4"/>
      </w:pPr>
      <w:r w:rsidRPr="006B58B0">
        <w:t>Changes in financial year</w:t>
      </w:r>
    </w:p>
    <w:p w14:paraId="22539DF1" w14:textId="77777777" w:rsidR="000E0490" w:rsidRDefault="000E0490" w:rsidP="00DE344F">
      <w:pPr>
        <w:pStyle w:val="OutlineNumbered1"/>
        <w:ind w:left="567" w:hanging="567"/>
      </w:pPr>
      <w:r w:rsidRPr="00EA0A6E">
        <w:t xml:space="preserve">If a reporting entity changes its financial year, such as to align with a parent company, it must report for every six-month period </w:t>
      </w:r>
      <w:r>
        <w:t>or shorter period in its transitional financial year</w:t>
      </w:r>
      <w:r w:rsidRPr="00EA0A6E">
        <w:t>. No report can exceed a six-month period</w:t>
      </w:r>
      <w:r>
        <w:t xml:space="preserve"> unless the entity is using a 52-53 week financial year</w:t>
      </w:r>
      <w:r w:rsidRPr="00EA0A6E">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E344F" w14:paraId="1AEA6E38" w14:textId="77777777">
        <w:tc>
          <w:tcPr>
            <w:tcW w:w="5000" w:type="pct"/>
            <w:shd w:val="clear" w:color="auto" w:fill="EBF1F7"/>
          </w:tcPr>
          <w:p w14:paraId="02214FB7" w14:textId="3AF299A2" w:rsidR="00DE344F" w:rsidRPr="000553FE" w:rsidRDefault="00B70258">
            <w:pPr>
              <w:pStyle w:val="BoxHeading"/>
              <w:rPr>
                <w:b w:val="0"/>
              </w:rPr>
            </w:pPr>
            <w:r>
              <w:lastRenderedPageBreak/>
              <w:t>Example</w:t>
            </w:r>
            <w:r w:rsidR="00031282">
              <w:t xml:space="preserve"> 18</w:t>
            </w:r>
          </w:p>
          <w:p w14:paraId="52FBDF8B" w14:textId="48AABEB0" w:rsidR="00DE344F" w:rsidRPr="00247BAC" w:rsidRDefault="00C40554">
            <w:pPr>
              <w:pStyle w:val="BoxHeading2-Blue"/>
            </w:pPr>
            <w:r>
              <w:rPr>
                <w:rStyle w:val="Strong"/>
              </w:rPr>
              <w:t>Synchronised financial year</w:t>
            </w:r>
          </w:p>
          <w:p w14:paraId="350F1F1B" w14:textId="7F7667B4" w:rsidR="00C40554" w:rsidRDefault="00C40554" w:rsidP="00C40554">
            <w:pPr>
              <w:pStyle w:val="BoxText"/>
            </w:pPr>
            <w:r>
              <w:t xml:space="preserve">A reporting entity with an ordinary </w:t>
            </w:r>
            <w:r w:rsidR="002A4F90">
              <w:t xml:space="preserve">financial </w:t>
            </w:r>
            <w:r>
              <w:t>year end of 30 June changes its financial year to 30 September to align with a foreign parent entity.</w:t>
            </w:r>
          </w:p>
          <w:p w14:paraId="7EAE1C35" w14:textId="77777777" w:rsidR="00C40554" w:rsidRPr="004875CB" w:rsidRDefault="00C40554" w:rsidP="00C40554">
            <w:pPr>
              <w:pStyle w:val="BoxBullet"/>
              <w:numPr>
                <w:ilvl w:val="0"/>
                <w:numId w:val="0"/>
              </w:numPr>
              <w:ind w:left="283" w:hanging="283"/>
              <w:rPr>
                <w:u w:val="single"/>
              </w:rPr>
            </w:pPr>
            <w:r w:rsidRPr="004875CB">
              <w:rPr>
                <w:u w:val="single"/>
              </w:rPr>
              <w:t xml:space="preserve">Scenario 1: </w:t>
            </w:r>
          </w:p>
          <w:p w14:paraId="6FA27061" w14:textId="04432479" w:rsidR="00EE53F3" w:rsidRDefault="00C40554" w:rsidP="00E14184">
            <w:pPr>
              <w:pStyle w:val="BoxBullet"/>
              <w:numPr>
                <w:ilvl w:val="0"/>
                <w:numId w:val="0"/>
              </w:numPr>
            </w:pPr>
            <w:r>
              <w:t>To align with its parent entity, the reporting entity shortens its financial year to have a</w:t>
            </w:r>
            <w:r w:rsidR="000376CC">
              <w:br/>
            </w:r>
            <w:r>
              <w:t xml:space="preserve">3-month ‘stub’ financial year. </w:t>
            </w:r>
          </w:p>
          <w:p w14:paraId="202912B2" w14:textId="44F1143E" w:rsidR="00C40554" w:rsidRDefault="00C40554" w:rsidP="00C40554">
            <w:pPr>
              <w:pStyle w:val="BoxBullet"/>
            </w:pPr>
            <w:r>
              <w:t>The reporting period is 1 July – 30 September.</w:t>
            </w:r>
          </w:p>
          <w:p w14:paraId="37EBB10C" w14:textId="77777777" w:rsidR="00C40554" w:rsidRPr="004875CB" w:rsidRDefault="00C40554" w:rsidP="004875CB">
            <w:pPr>
              <w:pStyle w:val="BoxBullet"/>
              <w:numPr>
                <w:ilvl w:val="0"/>
                <w:numId w:val="0"/>
              </w:numPr>
              <w:rPr>
                <w:u w:val="single"/>
              </w:rPr>
            </w:pPr>
            <w:r w:rsidRPr="004875CB">
              <w:rPr>
                <w:u w:val="single"/>
              </w:rPr>
              <w:t xml:space="preserve">Scenario 2: </w:t>
            </w:r>
          </w:p>
          <w:p w14:paraId="62753EFD" w14:textId="59C4150B" w:rsidR="00EE53F3" w:rsidRDefault="00C40554" w:rsidP="00E14184">
            <w:pPr>
              <w:pStyle w:val="BoxBullet"/>
              <w:numPr>
                <w:ilvl w:val="0"/>
                <w:numId w:val="0"/>
              </w:numPr>
              <w:ind w:left="-4"/>
            </w:pPr>
            <w:r>
              <w:t>To align with its parent entity, the reporting entity lengthens its financial year to have a</w:t>
            </w:r>
            <w:r w:rsidR="000376CC">
              <w:br/>
            </w:r>
            <w:r>
              <w:t xml:space="preserve">15-month financial year. </w:t>
            </w:r>
          </w:p>
          <w:p w14:paraId="3B5DDCBF" w14:textId="2F86D3B9" w:rsidR="00DE344F" w:rsidRPr="008950C5" w:rsidRDefault="00C40554" w:rsidP="00C40554">
            <w:pPr>
              <w:pStyle w:val="BoxBullet"/>
            </w:pPr>
            <w:r>
              <w:t>The reporting periods for the financial year are 1 July – 31 December, 1 January – 30 June and 1 July – 30 September of the next year.</w:t>
            </w:r>
          </w:p>
        </w:tc>
      </w:tr>
    </w:tbl>
    <w:p w14:paraId="2F90E318" w14:textId="77777777" w:rsidR="000E0490" w:rsidRPr="006B58B0" w:rsidRDefault="000E0490" w:rsidP="000E0490">
      <w:pPr>
        <w:pStyle w:val="Heading4"/>
      </w:pPr>
      <w:r w:rsidRPr="006B58B0">
        <w:t>Entities without a financial year</w:t>
      </w:r>
    </w:p>
    <w:p w14:paraId="6464E62F" w14:textId="77777777" w:rsidR="000E0490" w:rsidRPr="006B58B0" w:rsidRDefault="000E0490" w:rsidP="00DE344F">
      <w:pPr>
        <w:pStyle w:val="OutlineNumbered1"/>
        <w:ind w:left="567" w:hanging="567"/>
        <w:rPr>
          <w:rFonts w:ascii="Times New Roman" w:hAnsi="Times New Roman"/>
          <w:sz w:val="24"/>
          <w:szCs w:val="24"/>
        </w:rPr>
      </w:pPr>
      <w:r w:rsidRPr="00EA0A6E">
        <w:t xml:space="preserve">If a reporting entity does not have a financial year, </w:t>
      </w:r>
      <w:r>
        <w:t xml:space="preserve">it must </w:t>
      </w:r>
      <w:r w:rsidRPr="00EA0A6E">
        <w:t xml:space="preserve">use </w:t>
      </w:r>
      <w:r>
        <w:t xml:space="preserve">its </w:t>
      </w:r>
      <w:r w:rsidRPr="00EA0A6E">
        <w:t xml:space="preserve">income year as defined by the </w:t>
      </w:r>
      <w:r w:rsidRPr="00EA0A6E">
        <w:rPr>
          <w:i/>
        </w:rPr>
        <w:t>Income Tax Assessment Act 1997</w:t>
      </w:r>
      <w:r w:rsidRPr="00EA0A6E">
        <w:t>. If the entity does</w:t>
      </w:r>
      <w:r>
        <w:t xml:space="preserve"> </w:t>
      </w:r>
      <w:r w:rsidRPr="00EA0A6E">
        <w:t>n</w:t>
      </w:r>
      <w:r>
        <w:t>o</w:t>
      </w:r>
      <w:r w:rsidRPr="00EA0A6E">
        <w:t xml:space="preserve">t have an income year for tax purposes, </w:t>
      </w:r>
      <w:r>
        <w:t xml:space="preserve">it must use </w:t>
      </w:r>
      <w:r w:rsidRPr="00EA0A6E">
        <w:t>a standard 12</w:t>
      </w:r>
      <w:r>
        <w:noBreakHyphen/>
      </w:r>
      <w:r w:rsidRPr="00EA0A6E">
        <w:t xml:space="preserve">month </w:t>
      </w:r>
      <w:r>
        <w:t xml:space="preserve">income </w:t>
      </w:r>
      <w:r w:rsidRPr="00EA0A6E">
        <w:t>year beginning on 1 July.</w:t>
      </w:r>
      <w:r w:rsidRPr="00430421" w:rsidDel="00430421">
        <w:t xml:space="preserve"> </w:t>
      </w:r>
    </w:p>
    <w:p w14:paraId="0DDF8A72" w14:textId="77777777" w:rsidR="000E0490" w:rsidRPr="006B58B0" w:rsidRDefault="000E0490" w:rsidP="000E0490">
      <w:pPr>
        <w:pStyle w:val="Heading2"/>
      </w:pPr>
      <w:bookmarkStart w:id="83" w:name="_Toc180688136"/>
      <w:bookmarkStart w:id="84" w:name="_Toc184822215"/>
      <w:r w:rsidRPr="006B58B0">
        <w:t>Reporting deadlines</w:t>
      </w:r>
      <w:bookmarkEnd w:id="83"/>
      <w:bookmarkEnd w:id="84"/>
    </w:p>
    <w:p w14:paraId="53CEE412" w14:textId="669FD2DA" w:rsidR="000E0490" w:rsidRPr="00EA0A6E" w:rsidRDefault="000E0490" w:rsidP="00DE344F">
      <w:pPr>
        <w:pStyle w:val="OutlineNumbered1"/>
        <w:ind w:left="567" w:hanging="567"/>
      </w:pPr>
      <w:r>
        <w:t>A r</w:t>
      </w:r>
      <w:r w:rsidRPr="00EA0A6E">
        <w:t>eporting entit</w:t>
      </w:r>
      <w:r>
        <w:t>y</w:t>
      </w:r>
      <w:r w:rsidRPr="00EA0A6E">
        <w:t xml:space="preserve"> must submit its report</w:t>
      </w:r>
      <w:r>
        <w:t>s</w:t>
      </w:r>
      <w:r w:rsidRPr="00EA0A6E">
        <w:t xml:space="preserve"> within </w:t>
      </w:r>
      <w:r w:rsidR="00AB6D30">
        <w:t>3</w:t>
      </w:r>
      <w:r w:rsidRPr="00EA0A6E">
        <w:t xml:space="preserve"> months after the end of each </w:t>
      </w:r>
      <w:r w:rsidR="00695E31">
        <w:t xml:space="preserve">6 </w:t>
      </w:r>
      <w:r w:rsidRPr="00EA0A6E">
        <w:t>month reporting period.</w:t>
      </w:r>
      <w:r>
        <w:t xml:space="preserve"> A f</w:t>
      </w:r>
      <w:r w:rsidRPr="00EA0A6E">
        <w:t xml:space="preserve">ailure to report by the deadline could be made public on the </w:t>
      </w:r>
      <w:hyperlink r:id="rId41" w:history="1">
        <w:r w:rsidRPr="00C56A98">
          <w:rPr>
            <w:rStyle w:val="Hyperlink"/>
          </w:rPr>
          <w:t>Register</w:t>
        </w:r>
      </w:hyperlink>
      <w:r w:rsidRPr="00EA0A6E">
        <w:t xml:space="preserve"> and penalties</w:t>
      </w:r>
      <w:r>
        <w:t xml:space="preserve"> may apply</w:t>
      </w:r>
      <w:r w:rsidRPr="00EA0A6E">
        <w:t xml:space="preserve">. </w:t>
      </w:r>
    </w:p>
    <w:p w14:paraId="43106A45" w14:textId="1CC0F632" w:rsidR="000E0490" w:rsidRPr="006B58B0" w:rsidRDefault="000E0490" w:rsidP="00DE344F">
      <w:pPr>
        <w:pStyle w:val="OutlineNumbered1"/>
        <w:ind w:left="567" w:hanging="567"/>
        <w:rPr>
          <w:rFonts w:ascii="Times New Roman" w:hAnsi="Times New Roman"/>
          <w:sz w:val="24"/>
          <w:szCs w:val="24"/>
        </w:rPr>
      </w:pPr>
      <w:r w:rsidRPr="00EA0A6E">
        <w:t xml:space="preserve">Reporting entities that cannot meet </w:t>
      </w:r>
      <w:r>
        <w:t>a reporting</w:t>
      </w:r>
      <w:r w:rsidRPr="00EA0A6E">
        <w:t xml:space="preserve"> deadline may consider applying for an extension. </w:t>
      </w:r>
      <w:r>
        <w:t xml:space="preserve">For more information, see </w:t>
      </w:r>
      <w:r w:rsidRPr="00CB2EEA">
        <w:rPr>
          <w:b/>
          <w:bCs/>
          <w:color w:val="00827F" w:themeColor="accent2"/>
        </w:rPr>
        <w:fldChar w:fldCharType="begin"/>
      </w:r>
      <w:r w:rsidRPr="00CB2EEA">
        <w:rPr>
          <w:b/>
          <w:bCs/>
          <w:color w:val="00827F" w:themeColor="accent2"/>
        </w:rPr>
        <w:instrText xml:space="preserve"> REF _Ref179826917 \h  \* MERGEFORMAT </w:instrText>
      </w:r>
      <w:r w:rsidRPr="00CB2EEA">
        <w:rPr>
          <w:b/>
          <w:bCs/>
          <w:color w:val="00827F" w:themeColor="accent2"/>
        </w:rPr>
      </w:r>
      <w:r w:rsidRPr="00CB2EEA">
        <w:rPr>
          <w:b/>
          <w:bCs/>
          <w:color w:val="00827F" w:themeColor="accent2"/>
        </w:rPr>
        <w:fldChar w:fldCharType="separate"/>
      </w:r>
      <w:r w:rsidRPr="00CB2EEA">
        <w:rPr>
          <w:b/>
          <w:bCs/>
          <w:color w:val="00827F" w:themeColor="accent2"/>
        </w:rPr>
        <w:t>Relief applications</w:t>
      </w:r>
      <w:r w:rsidRPr="00CB2EEA">
        <w:rPr>
          <w:b/>
          <w:bCs/>
          <w:color w:val="00827F" w:themeColor="accent2"/>
        </w:rPr>
        <w:fldChar w:fldCharType="end"/>
      </w:r>
      <w:r w:rsidRPr="003C2458">
        <w:t>.</w:t>
      </w:r>
    </w:p>
    <w:p w14:paraId="67C9A9D6" w14:textId="77777777" w:rsidR="000E0490" w:rsidRPr="006B58B0" w:rsidRDefault="000E0490" w:rsidP="000E0490">
      <w:pPr>
        <w:pStyle w:val="Heading2"/>
      </w:pPr>
      <w:bookmarkStart w:id="85" w:name="_Toc180688137"/>
      <w:bookmarkStart w:id="86" w:name="_Toc184822216"/>
      <w:r w:rsidRPr="006B58B0">
        <w:t>How to report</w:t>
      </w:r>
      <w:bookmarkEnd w:id="85"/>
      <w:bookmarkEnd w:id="86"/>
    </w:p>
    <w:p w14:paraId="3E856F9A" w14:textId="5A993DE4" w:rsidR="000E0490" w:rsidRPr="00EA0A6E" w:rsidRDefault="000E0490" w:rsidP="00DE344F">
      <w:pPr>
        <w:pStyle w:val="OutlineNumbered1"/>
        <w:ind w:left="567" w:hanging="567"/>
      </w:pPr>
      <w:r>
        <w:t>A reporting entity must submit its r</w:t>
      </w:r>
      <w:r w:rsidRPr="00EA0A6E">
        <w:t xml:space="preserve">eports through </w:t>
      </w:r>
      <w:hyperlink r:id="rId42" w:history="1">
        <w:r w:rsidR="00841C0D">
          <w:rPr>
            <w:rStyle w:val="Hyperlink"/>
          </w:rPr>
          <w:t>the</w:t>
        </w:r>
        <w:r w:rsidR="00841C0D" w:rsidRPr="004979D3">
          <w:rPr>
            <w:rStyle w:val="Hyperlink"/>
          </w:rPr>
          <w:t xml:space="preserve"> Portal</w:t>
        </w:r>
      </w:hyperlink>
      <w:r w:rsidRPr="00EA0A6E">
        <w:t xml:space="preserve">. The report must be completed using the prescribed template. </w:t>
      </w:r>
      <w:hyperlink r:id="rId43" w:history="1">
        <w:r w:rsidR="00841C0D">
          <w:rPr>
            <w:rStyle w:val="Hyperlink"/>
          </w:rPr>
          <w:t>The</w:t>
        </w:r>
        <w:r w:rsidR="00841C0D" w:rsidRPr="004979D3">
          <w:rPr>
            <w:rStyle w:val="Hyperlink"/>
          </w:rPr>
          <w:t xml:space="preserve"> Portal</w:t>
        </w:r>
      </w:hyperlink>
      <w:r w:rsidRPr="00EA0A6E">
        <w:t xml:space="preserve"> can be accessed through </w:t>
      </w:r>
      <w:hyperlink r:id="rId44" w:tgtFrame="_new" w:history="1">
        <w:r w:rsidRPr="00EA0A6E">
          <w:rPr>
            <w:color w:val="0000FF"/>
            <w:u w:val="single"/>
          </w:rPr>
          <w:t>paymenttimes.gov.au</w:t>
        </w:r>
      </w:hyperlink>
      <w:r w:rsidRPr="00EA0A6E">
        <w:t>.</w:t>
      </w:r>
    </w:p>
    <w:p w14:paraId="20174043" w14:textId="3341D32A" w:rsidR="000E0490" w:rsidRPr="00EA0A6E" w:rsidRDefault="000E0490" w:rsidP="00DE344F">
      <w:pPr>
        <w:pStyle w:val="OutlineNumbered1"/>
        <w:ind w:left="567" w:hanging="567"/>
      </w:pPr>
      <w:r w:rsidRPr="00EA0A6E">
        <w:t xml:space="preserve">To access </w:t>
      </w:r>
      <w:hyperlink r:id="rId45" w:history="1">
        <w:r w:rsidR="00841C0D">
          <w:rPr>
            <w:rStyle w:val="Hyperlink"/>
          </w:rPr>
          <w:t>the</w:t>
        </w:r>
        <w:r w:rsidR="00841C0D" w:rsidRPr="004979D3">
          <w:rPr>
            <w:rStyle w:val="Hyperlink"/>
          </w:rPr>
          <w:t xml:space="preserve"> Portal</w:t>
        </w:r>
      </w:hyperlink>
      <w:r w:rsidRPr="00EA0A6E">
        <w:t xml:space="preserve">, the entity must have a representative with a </w:t>
      </w:r>
      <w:r w:rsidRPr="007E19D9">
        <w:t>myID</w:t>
      </w:r>
      <w:r w:rsidRPr="00EA0A6E">
        <w:t xml:space="preserve">, previously known as myGovID, which must be </w:t>
      </w:r>
      <w:r w:rsidR="000220CE">
        <w:t>linked</w:t>
      </w:r>
      <w:r w:rsidR="006F3314" w:rsidRPr="00EA0A6E">
        <w:t xml:space="preserve"> </w:t>
      </w:r>
      <w:r w:rsidRPr="00EA0A6E">
        <w:t xml:space="preserve">to the reporting entity’s </w:t>
      </w:r>
      <w:r w:rsidRPr="007E19D9">
        <w:t>RAM</w:t>
      </w:r>
      <w:r w:rsidRPr="00EA0A6E">
        <w:t>.</w:t>
      </w:r>
    </w:p>
    <w:p w14:paraId="37091199" w14:textId="0AB576D1" w:rsidR="000E0490" w:rsidRPr="006B58B0" w:rsidRDefault="000E0490" w:rsidP="00DE344F">
      <w:pPr>
        <w:pStyle w:val="OutlineNumbered1"/>
        <w:ind w:left="567" w:hanging="567"/>
        <w:rPr>
          <w:rFonts w:ascii="Times New Roman" w:hAnsi="Times New Roman"/>
          <w:sz w:val="24"/>
          <w:szCs w:val="24"/>
        </w:rPr>
      </w:pPr>
      <w:r w:rsidRPr="00EA0A6E">
        <w:t xml:space="preserve">If an entity is unable to access </w:t>
      </w:r>
      <w:hyperlink r:id="rId46" w:history="1">
        <w:r w:rsidR="00841C0D">
          <w:rPr>
            <w:rStyle w:val="Hyperlink"/>
          </w:rPr>
          <w:t>the</w:t>
        </w:r>
        <w:r w:rsidR="00841C0D" w:rsidRPr="004979D3">
          <w:rPr>
            <w:rStyle w:val="Hyperlink"/>
          </w:rPr>
          <w:t xml:space="preserve"> Portal</w:t>
        </w:r>
      </w:hyperlink>
      <w:r>
        <w:t xml:space="preserve"> as it does</w:t>
      </w:r>
      <w:r w:rsidRPr="00EA0A6E">
        <w:t xml:space="preserve"> not hav</w:t>
      </w:r>
      <w:r>
        <w:t>e</w:t>
      </w:r>
      <w:r w:rsidRPr="00EA0A6E">
        <w:t xml:space="preserve"> an ABN, or </w:t>
      </w:r>
      <w:r>
        <w:t xml:space="preserve">is </w:t>
      </w:r>
      <w:r w:rsidRPr="00EA0A6E">
        <w:t xml:space="preserve">not eligible for RAM access, </w:t>
      </w:r>
      <w:r>
        <w:t xml:space="preserve">it should </w:t>
      </w:r>
      <w:r w:rsidRPr="00EA0A6E">
        <w:t>contact the Regulator directly to</w:t>
      </w:r>
      <w:r>
        <w:t xml:space="preserve"> arrange an</w:t>
      </w:r>
      <w:r w:rsidRPr="00EA0A6E">
        <w:t xml:space="preserve"> alternative submission method.</w:t>
      </w:r>
    </w:p>
    <w:p w14:paraId="71F4EA74" w14:textId="77777777" w:rsidR="000E0490" w:rsidRPr="006B58B0" w:rsidRDefault="000E0490" w:rsidP="000E0490">
      <w:pPr>
        <w:pStyle w:val="Heading3"/>
      </w:pPr>
      <w:bookmarkStart w:id="87" w:name="_Ref179827385"/>
      <w:bookmarkStart w:id="88" w:name="_Toc180688138"/>
      <w:bookmarkStart w:id="89" w:name="_Toc184822217"/>
      <w:r>
        <w:t>Entity information</w:t>
      </w:r>
      <w:bookmarkEnd w:id="87"/>
      <w:bookmarkEnd w:id="88"/>
      <w:bookmarkEnd w:id="89"/>
    </w:p>
    <w:p w14:paraId="5BD3561B" w14:textId="77777777" w:rsidR="000E0490" w:rsidRPr="00EA0A6E" w:rsidRDefault="000E0490" w:rsidP="00DE344F">
      <w:pPr>
        <w:pStyle w:val="OutlineNumbered1"/>
        <w:ind w:left="567" w:hanging="567"/>
      </w:pPr>
      <w:r w:rsidRPr="00EA0A6E">
        <w:t xml:space="preserve">When submitting a report, </w:t>
      </w:r>
      <w:r>
        <w:t xml:space="preserve">a </w:t>
      </w:r>
      <w:r w:rsidRPr="00EA0A6E">
        <w:t>reporting entit</w:t>
      </w:r>
      <w:r>
        <w:t>y</w:t>
      </w:r>
      <w:r w:rsidRPr="00EA0A6E">
        <w:t xml:space="preserve"> must ensure that the following entity </w:t>
      </w:r>
      <w:r>
        <w:t>i</w:t>
      </w:r>
      <w:r w:rsidRPr="00EA0A6E">
        <w:t>nformation is accurate and up to date:</w:t>
      </w:r>
    </w:p>
    <w:p w14:paraId="559B2E49" w14:textId="77777777" w:rsidR="000E0490" w:rsidRPr="00EA0A6E" w:rsidRDefault="000E0490" w:rsidP="00CB2A67">
      <w:pPr>
        <w:pStyle w:val="OutlineNumberedDot"/>
        <w:ind w:left="851" w:hanging="284"/>
        <w:rPr>
          <w:rFonts w:cstheme="minorHAnsi"/>
          <w:szCs w:val="22"/>
        </w:rPr>
      </w:pPr>
      <w:r w:rsidRPr="002B5670">
        <w:rPr>
          <w:b/>
        </w:rPr>
        <w:t>Identifying</w:t>
      </w:r>
      <w:r w:rsidRPr="002B5670">
        <w:rPr>
          <w:rFonts w:cstheme="minorHAnsi"/>
          <w:b/>
          <w:szCs w:val="22"/>
        </w:rPr>
        <w:t xml:space="preserve"> and classifying details</w:t>
      </w:r>
      <w:r w:rsidRPr="00EA0A6E">
        <w:rPr>
          <w:rFonts w:cstheme="minorHAnsi"/>
          <w:b/>
          <w:szCs w:val="22"/>
        </w:rPr>
        <w:t>:</w:t>
      </w:r>
    </w:p>
    <w:p w14:paraId="3D4B969D" w14:textId="77777777" w:rsidR="000E0490" w:rsidRPr="00EA0A6E" w:rsidRDefault="000E0490" w:rsidP="002B5670">
      <w:pPr>
        <w:pStyle w:val="OutlineNumberedDash"/>
        <w:numPr>
          <w:ilvl w:val="1"/>
          <w:numId w:val="1"/>
        </w:numPr>
        <w:ind w:left="1560"/>
        <w:rPr>
          <w:rFonts w:cstheme="minorHAnsi"/>
          <w:szCs w:val="22"/>
        </w:rPr>
      </w:pPr>
      <w:r w:rsidRPr="00EA0A6E">
        <w:rPr>
          <w:rFonts w:cstheme="minorHAnsi"/>
          <w:szCs w:val="22"/>
        </w:rPr>
        <w:t>entity name, including any registered business names.</w:t>
      </w:r>
    </w:p>
    <w:p w14:paraId="17DDD4B0" w14:textId="71A412E1" w:rsidR="000E0490" w:rsidRPr="00EA0A6E" w:rsidRDefault="000E0490" w:rsidP="002B5670">
      <w:pPr>
        <w:pStyle w:val="OutlineNumberedDash"/>
        <w:numPr>
          <w:ilvl w:val="1"/>
          <w:numId w:val="1"/>
        </w:numPr>
        <w:ind w:left="1560"/>
        <w:rPr>
          <w:rFonts w:cstheme="minorHAnsi"/>
          <w:szCs w:val="22"/>
        </w:rPr>
      </w:pPr>
      <w:r w:rsidRPr="00EA0A6E">
        <w:rPr>
          <w:rFonts w:cstheme="minorHAnsi"/>
          <w:szCs w:val="22"/>
        </w:rPr>
        <w:lastRenderedPageBreak/>
        <w:t xml:space="preserve">ABN, </w:t>
      </w:r>
      <w:r w:rsidRPr="007E19D9">
        <w:rPr>
          <w:rFonts w:cstheme="minorHAnsi"/>
          <w:szCs w:val="22"/>
        </w:rPr>
        <w:t>ACN</w:t>
      </w:r>
      <w:r w:rsidRPr="00EA0A6E">
        <w:rPr>
          <w:rFonts w:cstheme="minorHAnsi"/>
          <w:szCs w:val="22"/>
        </w:rPr>
        <w:t xml:space="preserve">, or </w:t>
      </w:r>
      <w:r w:rsidRPr="007E19D9">
        <w:rPr>
          <w:rFonts w:cstheme="minorHAnsi"/>
          <w:szCs w:val="22"/>
        </w:rPr>
        <w:t>ARBN</w:t>
      </w:r>
      <w:r w:rsidRPr="00EA0A6E">
        <w:rPr>
          <w:rFonts w:cstheme="minorHAnsi"/>
          <w:szCs w:val="22"/>
        </w:rPr>
        <w:t>, if relevant.</w:t>
      </w:r>
    </w:p>
    <w:p w14:paraId="34351AA3" w14:textId="05518810" w:rsidR="000E0490" w:rsidRPr="00EA0A6E" w:rsidRDefault="002D6C3B" w:rsidP="002B5670">
      <w:pPr>
        <w:pStyle w:val="OutlineNumberedDash"/>
        <w:numPr>
          <w:ilvl w:val="1"/>
          <w:numId w:val="1"/>
        </w:numPr>
        <w:ind w:left="1560"/>
        <w:rPr>
          <w:rFonts w:cstheme="minorHAnsi"/>
          <w:szCs w:val="22"/>
        </w:rPr>
      </w:pPr>
      <w:r>
        <w:rPr>
          <w:rFonts w:cstheme="minorHAnsi"/>
          <w:szCs w:val="22"/>
        </w:rPr>
        <w:t xml:space="preserve">The subdivision of its </w:t>
      </w:r>
      <w:r w:rsidR="000E0490" w:rsidRPr="00EA0A6E">
        <w:rPr>
          <w:rFonts w:cstheme="minorHAnsi"/>
          <w:szCs w:val="22"/>
        </w:rPr>
        <w:t xml:space="preserve">primary business activity as classified under the </w:t>
      </w:r>
      <w:r w:rsidR="000E0490" w:rsidRPr="007E19D9">
        <w:rPr>
          <w:rFonts w:cstheme="minorHAnsi"/>
          <w:szCs w:val="22"/>
        </w:rPr>
        <w:t>ANZSIC</w:t>
      </w:r>
      <w:r w:rsidR="000E0490" w:rsidRPr="00EA0A6E">
        <w:rPr>
          <w:rFonts w:cstheme="minorHAnsi"/>
          <w:szCs w:val="22"/>
        </w:rPr>
        <w:t>.</w:t>
      </w:r>
      <w:r w:rsidR="00605A5A">
        <w:rPr>
          <w:rFonts w:cstheme="minorHAnsi"/>
          <w:szCs w:val="22"/>
        </w:rPr>
        <w:t xml:space="preserve"> Where </w:t>
      </w:r>
      <w:r w:rsidR="00407076">
        <w:rPr>
          <w:rFonts w:cstheme="minorHAnsi"/>
          <w:szCs w:val="22"/>
        </w:rPr>
        <w:t xml:space="preserve">there are multiple business activities, </w:t>
      </w:r>
      <w:r w:rsidR="00176A17">
        <w:rPr>
          <w:rFonts w:cstheme="minorHAnsi"/>
          <w:szCs w:val="22"/>
        </w:rPr>
        <w:t>the reporting entity may determine its</w:t>
      </w:r>
      <w:r w:rsidR="00BD7D2F">
        <w:rPr>
          <w:rFonts w:cstheme="minorHAnsi"/>
          <w:szCs w:val="22"/>
        </w:rPr>
        <w:t xml:space="preserve"> </w:t>
      </w:r>
      <w:r w:rsidR="007F79F6">
        <w:rPr>
          <w:rFonts w:cstheme="minorHAnsi"/>
          <w:szCs w:val="22"/>
        </w:rPr>
        <w:t>primary business activity using revenue</w:t>
      </w:r>
      <w:r w:rsidR="00655C63">
        <w:rPr>
          <w:rFonts w:cstheme="minorHAnsi"/>
          <w:szCs w:val="22"/>
        </w:rPr>
        <w:t xml:space="preserve"> or </w:t>
      </w:r>
      <w:r w:rsidR="00EB222D">
        <w:rPr>
          <w:rFonts w:cstheme="minorHAnsi"/>
          <w:szCs w:val="22"/>
        </w:rPr>
        <w:t>an</w:t>
      </w:r>
      <w:r w:rsidR="00655C63">
        <w:rPr>
          <w:rFonts w:cstheme="minorHAnsi"/>
          <w:szCs w:val="22"/>
        </w:rPr>
        <w:t xml:space="preserve">other </w:t>
      </w:r>
      <w:r w:rsidR="002C6200">
        <w:rPr>
          <w:rFonts w:cstheme="minorHAnsi"/>
          <w:szCs w:val="22"/>
        </w:rPr>
        <w:t>appropriate</w:t>
      </w:r>
      <w:r w:rsidR="00655C63">
        <w:rPr>
          <w:rFonts w:cstheme="minorHAnsi"/>
          <w:szCs w:val="22"/>
        </w:rPr>
        <w:t xml:space="preserve"> financial measure or </w:t>
      </w:r>
      <w:r w:rsidR="00091D89">
        <w:rPr>
          <w:rFonts w:cstheme="minorHAnsi"/>
          <w:szCs w:val="22"/>
        </w:rPr>
        <w:t>its</w:t>
      </w:r>
      <w:r w:rsidR="00655C63">
        <w:rPr>
          <w:rFonts w:cstheme="minorHAnsi"/>
          <w:szCs w:val="22"/>
        </w:rPr>
        <w:t xml:space="preserve"> business industry code for tax consolidated groups</w:t>
      </w:r>
      <w:r w:rsidR="00404E6F">
        <w:rPr>
          <w:rFonts w:cstheme="minorHAnsi"/>
          <w:szCs w:val="22"/>
        </w:rPr>
        <w:t xml:space="preserve"> if applicable</w:t>
      </w:r>
      <w:r w:rsidR="00655C63">
        <w:rPr>
          <w:rFonts w:cstheme="minorHAnsi"/>
          <w:szCs w:val="22"/>
        </w:rPr>
        <w:t>.</w:t>
      </w:r>
    </w:p>
    <w:p w14:paraId="744BA99E" w14:textId="77777777" w:rsidR="000E0490" w:rsidRPr="00EA0A6E" w:rsidRDefault="000E0490" w:rsidP="002B5670">
      <w:pPr>
        <w:pStyle w:val="OutlineNumberedDot"/>
        <w:ind w:left="851" w:hanging="284"/>
        <w:rPr>
          <w:rFonts w:cstheme="minorHAnsi"/>
          <w:szCs w:val="22"/>
        </w:rPr>
      </w:pPr>
      <w:r w:rsidRPr="00EA0A6E">
        <w:rPr>
          <w:rFonts w:cstheme="minorHAnsi"/>
          <w:b/>
          <w:szCs w:val="22"/>
        </w:rPr>
        <w:t>Contact information:</w:t>
      </w:r>
    </w:p>
    <w:p w14:paraId="15B6FA67" w14:textId="77777777" w:rsidR="000E0490" w:rsidRPr="00EA0A6E" w:rsidRDefault="000E0490" w:rsidP="008E44E6">
      <w:pPr>
        <w:pStyle w:val="OutlineNumberedDash"/>
        <w:numPr>
          <w:ilvl w:val="1"/>
          <w:numId w:val="1"/>
        </w:numPr>
        <w:ind w:left="1559" w:hanging="357"/>
        <w:rPr>
          <w:rFonts w:cstheme="minorHAnsi"/>
          <w:szCs w:val="22"/>
        </w:rPr>
      </w:pPr>
      <w:r w:rsidRPr="00EA0A6E">
        <w:rPr>
          <w:rFonts w:cstheme="minorHAnsi"/>
          <w:szCs w:val="22"/>
        </w:rPr>
        <w:t>A primary contact email address for communication.</w:t>
      </w:r>
    </w:p>
    <w:p w14:paraId="27B0F964" w14:textId="77777777" w:rsidR="000E0490" w:rsidRPr="00EA0A6E" w:rsidRDefault="000E0490" w:rsidP="008E44E6">
      <w:pPr>
        <w:pStyle w:val="OutlineNumberedDash"/>
        <w:numPr>
          <w:ilvl w:val="1"/>
          <w:numId w:val="1"/>
        </w:numPr>
        <w:ind w:left="1559" w:hanging="357"/>
        <w:rPr>
          <w:rFonts w:cstheme="minorHAnsi"/>
          <w:szCs w:val="22"/>
        </w:rPr>
      </w:pPr>
      <w:r w:rsidRPr="00EA0A6E">
        <w:rPr>
          <w:rFonts w:cstheme="minorHAnsi"/>
          <w:szCs w:val="22"/>
        </w:rPr>
        <w:t>A physical address for document service.</w:t>
      </w:r>
    </w:p>
    <w:p w14:paraId="4B5C3F1A" w14:textId="77777777" w:rsidR="000E0490" w:rsidRPr="00EA0A6E" w:rsidRDefault="000E0490" w:rsidP="008E44E6">
      <w:pPr>
        <w:pStyle w:val="OutlineNumberedDash"/>
        <w:numPr>
          <w:ilvl w:val="1"/>
          <w:numId w:val="1"/>
        </w:numPr>
        <w:ind w:left="1559" w:hanging="357"/>
        <w:rPr>
          <w:rFonts w:cstheme="minorHAnsi"/>
          <w:szCs w:val="22"/>
        </w:rPr>
      </w:pPr>
      <w:r w:rsidRPr="00EA0A6E">
        <w:rPr>
          <w:rFonts w:cstheme="minorHAnsi"/>
          <w:szCs w:val="22"/>
        </w:rPr>
        <w:t>The name, email</w:t>
      </w:r>
      <w:r>
        <w:rPr>
          <w:rFonts w:cstheme="minorHAnsi"/>
          <w:szCs w:val="22"/>
        </w:rPr>
        <w:t xml:space="preserve"> address</w:t>
      </w:r>
      <w:r w:rsidRPr="00EA0A6E">
        <w:rPr>
          <w:rFonts w:cstheme="minorHAnsi"/>
          <w:szCs w:val="22"/>
        </w:rPr>
        <w:t xml:space="preserve"> and phone number of a responsible person </w:t>
      </w:r>
      <w:r>
        <w:rPr>
          <w:rFonts w:cstheme="minorHAnsi"/>
          <w:szCs w:val="22"/>
        </w:rPr>
        <w:t>of</w:t>
      </w:r>
      <w:r w:rsidRPr="00EA0A6E">
        <w:rPr>
          <w:rFonts w:cstheme="minorHAnsi"/>
          <w:szCs w:val="22"/>
        </w:rPr>
        <w:t xml:space="preserve"> </w:t>
      </w:r>
      <w:r>
        <w:rPr>
          <w:rFonts w:cstheme="minorHAnsi"/>
          <w:szCs w:val="22"/>
        </w:rPr>
        <w:t>the entity</w:t>
      </w:r>
      <w:r w:rsidRPr="00EA0A6E">
        <w:rPr>
          <w:rFonts w:cstheme="minorHAnsi"/>
          <w:szCs w:val="22"/>
        </w:rPr>
        <w:t>.</w:t>
      </w:r>
    </w:p>
    <w:p w14:paraId="2CEDB71E" w14:textId="77777777" w:rsidR="000E0490" w:rsidRPr="00EA0A6E" w:rsidRDefault="000E0490" w:rsidP="008E44E6">
      <w:pPr>
        <w:pStyle w:val="OutlineNumberedDash"/>
        <w:numPr>
          <w:ilvl w:val="1"/>
          <w:numId w:val="1"/>
        </w:numPr>
        <w:ind w:left="1559" w:hanging="357"/>
        <w:rPr>
          <w:rFonts w:cstheme="minorHAnsi"/>
          <w:szCs w:val="22"/>
        </w:rPr>
      </w:pPr>
      <w:r>
        <w:rPr>
          <w:rFonts w:cstheme="minorHAnsi"/>
          <w:szCs w:val="22"/>
        </w:rPr>
        <w:t xml:space="preserve">The name, email address, and phone number </w:t>
      </w:r>
      <w:r w:rsidRPr="00EA0A6E">
        <w:rPr>
          <w:rFonts w:cstheme="minorHAnsi"/>
          <w:szCs w:val="22"/>
        </w:rPr>
        <w:t>of any authorised representative acting on behalf of</w:t>
      </w:r>
      <w:r>
        <w:rPr>
          <w:rFonts w:cstheme="minorHAnsi"/>
          <w:szCs w:val="22"/>
        </w:rPr>
        <w:t xml:space="preserve"> the entity</w:t>
      </w:r>
      <w:r w:rsidRPr="00EA0A6E">
        <w:rPr>
          <w:rFonts w:cstheme="minorHAnsi"/>
          <w:szCs w:val="22"/>
        </w:rPr>
        <w:t>.</w:t>
      </w:r>
    </w:p>
    <w:p w14:paraId="3696B83D" w14:textId="77777777" w:rsidR="000E0490" w:rsidRPr="00EA0A6E" w:rsidRDefault="000E0490" w:rsidP="002B5670">
      <w:pPr>
        <w:pStyle w:val="OutlineNumberedDot"/>
        <w:ind w:left="851" w:hanging="284"/>
        <w:rPr>
          <w:rFonts w:cstheme="minorHAnsi"/>
          <w:szCs w:val="22"/>
        </w:rPr>
      </w:pPr>
      <w:r w:rsidRPr="00EA0A6E">
        <w:rPr>
          <w:rFonts w:cstheme="minorHAnsi"/>
          <w:b/>
          <w:szCs w:val="22"/>
        </w:rPr>
        <w:t>Financial information:</w:t>
      </w:r>
    </w:p>
    <w:p w14:paraId="4F26DACB" w14:textId="77777777" w:rsidR="000E0490" w:rsidRPr="00EA0A6E" w:rsidRDefault="000E0490" w:rsidP="002B5670">
      <w:pPr>
        <w:pStyle w:val="OutlineNumberedDash"/>
        <w:numPr>
          <w:ilvl w:val="1"/>
          <w:numId w:val="1"/>
        </w:numPr>
        <w:ind w:left="1560"/>
        <w:rPr>
          <w:rFonts w:cstheme="minorHAnsi"/>
          <w:szCs w:val="22"/>
        </w:rPr>
      </w:pPr>
      <w:r w:rsidRPr="00EA0A6E">
        <w:rPr>
          <w:rFonts w:cstheme="minorHAnsi"/>
          <w:szCs w:val="22"/>
        </w:rPr>
        <w:t>Entity</w:t>
      </w:r>
      <w:r>
        <w:rPr>
          <w:rFonts w:cstheme="minorHAnsi"/>
          <w:szCs w:val="22"/>
        </w:rPr>
        <w:t>’s</w:t>
      </w:r>
      <w:r w:rsidRPr="00EA0A6E">
        <w:rPr>
          <w:rFonts w:cstheme="minorHAnsi"/>
          <w:szCs w:val="22"/>
        </w:rPr>
        <w:t xml:space="preserve"> financial year details.</w:t>
      </w:r>
    </w:p>
    <w:p w14:paraId="20A48766" w14:textId="77777777" w:rsidR="000E0490" w:rsidRPr="00EA0A6E" w:rsidRDefault="000E0490" w:rsidP="002B5670">
      <w:pPr>
        <w:pStyle w:val="OutlineNumberedDash"/>
        <w:numPr>
          <w:ilvl w:val="1"/>
          <w:numId w:val="1"/>
        </w:numPr>
        <w:ind w:left="1560"/>
        <w:rPr>
          <w:rFonts w:cstheme="minorHAnsi"/>
          <w:szCs w:val="22"/>
        </w:rPr>
      </w:pPr>
      <w:r w:rsidRPr="00EA0A6E">
        <w:rPr>
          <w:rFonts w:cstheme="minorHAnsi"/>
          <w:szCs w:val="22"/>
        </w:rPr>
        <w:t xml:space="preserve">Whether the entity must report </w:t>
      </w:r>
      <w:r>
        <w:rPr>
          <w:rFonts w:cstheme="minorHAnsi"/>
          <w:szCs w:val="22"/>
        </w:rPr>
        <w:t xml:space="preserve">on </w:t>
      </w:r>
      <w:r w:rsidRPr="00EA0A6E">
        <w:rPr>
          <w:rFonts w:cstheme="minorHAnsi"/>
          <w:szCs w:val="22"/>
        </w:rPr>
        <w:t xml:space="preserve">operating segments under </w:t>
      </w:r>
      <w:r w:rsidRPr="00EA0A6E">
        <w:rPr>
          <w:rFonts w:cstheme="minorHAnsi"/>
          <w:i/>
          <w:iCs/>
          <w:szCs w:val="22"/>
        </w:rPr>
        <w:t>AASB 8: Operating Segments</w:t>
      </w:r>
      <w:r w:rsidRPr="00EA0A6E">
        <w:rPr>
          <w:rFonts w:cstheme="minorHAnsi"/>
          <w:szCs w:val="22"/>
        </w:rPr>
        <w:t>.</w:t>
      </w:r>
    </w:p>
    <w:p w14:paraId="62EB0BE0" w14:textId="77777777" w:rsidR="000E0490" w:rsidRPr="00EA0A6E" w:rsidRDefault="000E0490" w:rsidP="002B5670">
      <w:pPr>
        <w:pStyle w:val="OutlineNumberedDot"/>
        <w:ind w:left="851" w:hanging="284"/>
        <w:rPr>
          <w:rFonts w:cstheme="minorHAnsi"/>
          <w:szCs w:val="22"/>
        </w:rPr>
      </w:pPr>
      <w:r w:rsidRPr="00EA0A6E">
        <w:rPr>
          <w:rFonts w:cstheme="minorHAnsi"/>
          <w:b/>
          <w:szCs w:val="22"/>
        </w:rPr>
        <w:t>Entity structure:</w:t>
      </w:r>
    </w:p>
    <w:p w14:paraId="6E337693" w14:textId="77777777" w:rsidR="000E0490" w:rsidRPr="00EA0A6E" w:rsidRDefault="000E0490" w:rsidP="002B5670">
      <w:pPr>
        <w:pStyle w:val="OutlineNumberedDash"/>
        <w:numPr>
          <w:ilvl w:val="1"/>
          <w:numId w:val="1"/>
        </w:numPr>
        <w:ind w:left="1560"/>
        <w:rPr>
          <w:rFonts w:cstheme="minorHAnsi"/>
          <w:szCs w:val="22"/>
        </w:rPr>
      </w:pPr>
      <w:r>
        <w:rPr>
          <w:rFonts w:cstheme="minorHAnsi"/>
          <w:szCs w:val="22"/>
        </w:rPr>
        <w:t>Details</w:t>
      </w:r>
      <w:r w:rsidRPr="00EA0A6E">
        <w:rPr>
          <w:rFonts w:cstheme="minorHAnsi"/>
          <w:szCs w:val="22"/>
        </w:rPr>
        <w:t xml:space="preserve"> of </w:t>
      </w:r>
      <w:r>
        <w:rPr>
          <w:rFonts w:cstheme="minorHAnsi"/>
          <w:szCs w:val="22"/>
        </w:rPr>
        <w:t xml:space="preserve">all </w:t>
      </w:r>
      <w:r w:rsidRPr="00EA0A6E">
        <w:rPr>
          <w:rFonts w:cstheme="minorHAnsi"/>
          <w:szCs w:val="22"/>
        </w:rPr>
        <w:t>entities controlled by the reporting entit</w:t>
      </w:r>
      <w:r>
        <w:rPr>
          <w:rFonts w:cstheme="minorHAnsi"/>
          <w:szCs w:val="22"/>
        </w:rPr>
        <w:t>y</w:t>
      </w:r>
      <w:r w:rsidRPr="00EA0A6E">
        <w:rPr>
          <w:rFonts w:cstheme="minorHAnsi"/>
          <w:szCs w:val="22"/>
        </w:rPr>
        <w:t>.</w:t>
      </w:r>
    </w:p>
    <w:p w14:paraId="4758DC50" w14:textId="77777777" w:rsidR="000E0490" w:rsidRPr="00EA0A6E" w:rsidRDefault="000E0490" w:rsidP="002B5670">
      <w:pPr>
        <w:pStyle w:val="OutlineNumberedDash"/>
        <w:numPr>
          <w:ilvl w:val="1"/>
          <w:numId w:val="1"/>
        </w:numPr>
        <w:ind w:left="1560"/>
        <w:rPr>
          <w:rFonts w:cstheme="minorHAnsi"/>
          <w:szCs w:val="22"/>
        </w:rPr>
      </w:pPr>
      <w:r w:rsidRPr="00EA0A6E">
        <w:rPr>
          <w:rFonts w:cstheme="minorHAnsi"/>
          <w:szCs w:val="22"/>
        </w:rPr>
        <w:t>Details of nominee or subsidiary reporting entities related to the entity.</w:t>
      </w:r>
    </w:p>
    <w:p w14:paraId="3708CD18" w14:textId="6E0D1AF1" w:rsidR="000E0490" w:rsidRPr="007F664B" w:rsidRDefault="000E0490" w:rsidP="002B5670">
      <w:pPr>
        <w:pStyle w:val="OutlineNumberedDash"/>
        <w:numPr>
          <w:ilvl w:val="1"/>
          <w:numId w:val="1"/>
        </w:numPr>
        <w:ind w:left="1560"/>
        <w:rPr>
          <w:rFonts w:cstheme="minorBidi"/>
        </w:rPr>
      </w:pPr>
      <w:r w:rsidRPr="2766A795">
        <w:rPr>
          <w:rFonts w:cstheme="minorBidi"/>
        </w:rPr>
        <w:t xml:space="preserve">Details of the ultimate parent entity </w:t>
      </w:r>
      <w:r>
        <w:t>in the entity’s group structure.</w:t>
      </w:r>
    </w:p>
    <w:p w14:paraId="35EF922F" w14:textId="736720D7" w:rsidR="00552CE4" w:rsidRPr="00552CE4" w:rsidRDefault="00552CE4" w:rsidP="007D5745">
      <w:pPr>
        <w:pStyle w:val="OutlineNumberedDash"/>
        <w:numPr>
          <w:ilvl w:val="1"/>
          <w:numId w:val="1"/>
        </w:numPr>
        <w:ind w:left="1560"/>
      </w:pPr>
      <w:r w:rsidRPr="2766A795">
        <w:rPr>
          <w:rFonts w:cstheme="minorBidi"/>
        </w:rPr>
        <w:t>For</w:t>
      </w:r>
      <w:r w:rsidRPr="00552CE4">
        <w:t xml:space="preserve"> </w:t>
      </w:r>
      <w:r>
        <w:t>nominee</w:t>
      </w:r>
      <w:r w:rsidRPr="00552CE4">
        <w:t xml:space="preserve"> reporting entities only, details of </w:t>
      </w:r>
      <w:r w:rsidR="001C0635">
        <w:t>all</w:t>
      </w:r>
      <w:r w:rsidR="00ED56C0">
        <w:t xml:space="preserve"> </w:t>
      </w:r>
      <w:r w:rsidR="00ED56C0" w:rsidRPr="00ED56C0">
        <w:t xml:space="preserve">controlled entities that are </w:t>
      </w:r>
      <w:r w:rsidR="000D1D81">
        <w:t>specified</w:t>
      </w:r>
      <w:r w:rsidR="00ED56C0" w:rsidRPr="00ED56C0">
        <w:t xml:space="preserve"> in their reporting </w:t>
      </w:r>
      <w:r w:rsidR="007536B3" w:rsidRPr="00ED56C0">
        <w:t xml:space="preserve">nominee </w:t>
      </w:r>
      <w:r w:rsidR="00ED56C0" w:rsidRPr="00ED56C0">
        <w:t>determination</w:t>
      </w:r>
      <w:r w:rsidR="00F466E8">
        <w:t>.</w:t>
      </w:r>
      <w:r w:rsidR="002200E1">
        <w:t xml:space="preserve"> </w:t>
      </w:r>
    </w:p>
    <w:p w14:paraId="67B0D800" w14:textId="77777777" w:rsidR="000E0490" w:rsidRPr="00EA0A6E" w:rsidRDefault="000E0490" w:rsidP="002B5670">
      <w:pPr>
        <w:pStyle w:val="OutlineNumberedDash"/>
        <w:numPr>
          <w:ilvl w:val="1"/>
          <w:numId w:val="1"/>
        </w:numPr>
        <w:ind w:left="1560"/>
        <w:rPr>
          <w:rFonts w:cstheme="minorHAnsi"/>
          <w:szCs w:val="22"/>
        </w:rPr>
      </w:pPr>
      <w:r>
        <w:t>For subsidiary reporting entities only, details of the controlling reporting entity.</w:t>
      </w:r>
    </w:p>
    <w:p w14:paraId="065B6061" w14:textId="77777777" w:rsidR="000E0490" w:rsidRPr="006B58B0" w:rsidRDefault="000E0490" w:rsidP="00070F22">
      <w:pPr>
        <w:pStyle w:val="OutlineNumbered1"/>
        <w:ind w:left="567" w:hanging="567"/>
        <w:rPr>
          <w:rFonts w:ascii="Times New Roman" w:hAnsi="Times New Roman"/>
          <w:sz w:val="24"/>
          <w:szCs w:val="24"/>
        </w:rPr>
      </w:pPr>
      <w:r>
        <w:t>Reporting entities must en</w:t>
      </w:r>
      <w:r w:rsidRPr="00EA0A6E">
        <w:t xml:space="preserve">sure that all information is correct when submitting the report. If errors are found after submission, the information </w:t>
      </w:r>
      <w:r>
        <w:t>should be updated</w:t>
      </w:r>
      <w:r w:rsidRPr="00EA0A6E">
        <w:t xml:space="preserve"> as soon as possible.</w:t>
      </w:r>
      <w:r w:rsidRPr="002F7757" w:rsidDel="002F7757">
        <w:t xml:space="preserve"> </w:t>
      </w:r>
    </w:p>
    <w:p w14:paraId="7A8D1DAF" w14:textId="77777777" w:rsidR="000E0490" w:rsidRPr="006B58B0" w:rsidRDefault="000E0490" w:rsidP="000E0490">
      <w:pPr>
        <w:pStyle w:val="Heading2"/>
      </w:pPr>
      <w:bookmarkStart w:id="90" w:name="_Toc180688139"/>
      <w:bookmarkStart w:id="91" w:name="_Toc184822218"/>
      <w:r w:rsidRPr="006B58B0">
        <w:t>Revising reports</w:t>
      </w:r>
      <w:bookmarkEnd w:id="90"/>
      <w:bookmarkEnd w:id="91"/>
    </w:p>
    <w:p w14:paraId="12B8C879" w14:textId="77777777" w:rsidR="000E0490" w:rsidRDefault="000E0490" w:rsidP="002B5670">
      <w:pPr>
        <w:pStyle w:val="OutlineNumbered1"/>
        <w:ind w:left="567" w:hanging="567"/>
      </w:pPr>
      <w:r w:rsidRPr="00EA0A6E">
        <w:t xml:space="preserve">If a reporting entity needs to revise a report, it can do so at any time. Approval from the Regulator is not required </w:t>
      </w:r>
      <w:r>
        <w:t xml:space="preserve">in order </w:t>
      </w:r>
      <w:r w:rsidRPr="00EA0A6E">
        <w:t xml:space="preserve">to correct or revise a report. </w:t>
      </w:r>
      <w:r>
        <w:t>T</w:t>
      </w:r>
      <w:r w:rsidRPr="00EA0A6E">
        <w:t xml:space="preserve">he </w:t>
      </w:r>
      <w:r>
        <w:t>revised report</w:t>
      </w:r>
      <w:r w:rsidRPr="00EA0A6E">
        <w:t xml:space="preserve"> must clearly state the date</w:t>
      </w:r>
      <w:r>
        <w:t xml:space="preserve"> of the revision</w:t>
      </w:r>
      <w:r w:rsidRPr="00EA0A6E">
        <w:t xml:space="preserve"> and provide a description of changes made</w:t>
      </w:r>
      <w:r>
        <w:t xml:space="preserve"> to the report</w:t>
      </w:r>
      <w:r w:rsidRPr="00EA0A6E">
        <w:t>.</w:t>
      </w:r>
    </w:p>
    <w:p w14:paraId="55EF9436" w14:textId="77777777" w:rsidR="000E0490" w:rsidRPr="00EA0A6E" w:rsidRDefault="000E0490" w:rsidP="002B5670">
      <w:pPr>
        <w:pStyle w:val="OutlineNumbered1"/>
        <w:ind w:left="567" w:hanging="567"/>
      </w:pPr>
      <w:r w:rsidRPr="00EA0A6E">
        <w:t xml:space="preserve">Revised reports will be clearly marked on the </w:t>
      </w:r>
      <w:hyperlink r:id="rId47" w:history="1">
        <w:r w:rsidRPr="008D7DF6">
          <w:rPr>
            <w:rStyle w:val="Hyperlink"/>
          </w:rPr>
          <w:t>Register</w:t>
        </w:r>
      </w:hyperlink>
      <w:r w:rsidRPr="00EA0A6E">
        <w:t xml:space="preserve"> to show the updates made and when they occurred.</w:t>
      </w:r>
    </w:p>
    <w:p w14:paraId="6315B5AE" w14:textId="77777777" w:rsidR="000E0490" w:rsidRDefault="000E0490" w:rsidP="002B5670">
      <w:pPr>
        <w:pStyle w:val="OutlineNumbered1"/>
        <w:ind w:left="567" w:hanging="567"/>
      </w:pPr>
      <w:r w:rsidRPr="00EA0A6E">
        <w:t xml:space="preserve">If the Regulator identifies material errors or omissions during compliance activities, it may recommend submission of a revised report to </w:t>
      </w:r>
      <w:r>
        <w:t xml:space="preserve">correct the </w:t>
      </w:r>
      <w:hyperlink r:id="rId48" w:history="1">
        <w:r w:rsidRPr="008D7DF6">
          <w:rPr>
            <w:rStyle w:val="Hyperlink"/>
          </w:rPr>
          <w:t>Register</w:t>
        </w:r>
      </w:hyperlink>
      <w:r w:rsidRPr="00EA0A6E">
        <w:t>.</w:t>
      </w:r>
      <w:r>
        <w:t xml:space="preserve"> </w:t>
      </w:r>
    </w:p>
    <w:p w14:paraId="52E7BAC9" w14:textId="77777777" w:rsidR="000E0490" w:rsidRPr="006B58B0" w:rsidRDefault="000E0490" w:rsidP="002B5670">
      <w:pPr>
        <w:pStyle w:val="OutlineNumbered1"/>
        <w:ind w:left="567" w:hanging="567"/>
        <w:rPr>
          <w:rFonts w:ascii="Times New Roman" w:hAnsi="Times New Roman"/>
          <w:sz w:val="24"/>
          <w:szCs w:val="24"/>
        </w:rPr>
      </w:pPr>
      <w:r w:rsidRPr="00EA0A6E">
        <w:t xml:space="preserve">Even if the information is corrected, </w:t>
      </w:r>
      <w:r>
        <w:t xml:space="preserve">other </w:t>
      </w:r>
      <w:r w:rsidRPr="00EA0A6E">
        <w:t xml:space="preserve">compliance action may still </w:t>
      </w:r>
      <w:r>
        <w:t xml:space="preserve">be taken, including penalties. </w:t>
      </w:r>
      <w:r w:rsidRPr="00EA0A6E">
        <w:t xml:space="preserve">For more information on the Regulator’s approach to compliance, visit the Regulator's </w:t>
      </w:r>
      <w:hyperlink r:id="rId49" w:history="1">
        <w:r w:rsidRPr="0011512E">
          <w:rPr>
            <w:rStyle w:val="Hyperlink"/>
          </w:rPr>
          <w:t>website</w:t>
        </w:r>
      </w:hyperlink>
      <w:r w:rsidRPr="00626C6A">
        <w:t>.</w:t>
      </w:r>
      <w:r w:rsidRPr="002F7757" w:rsidDel="002F7757">
        <w:t xml:space="preserve"> </w:t>
      </w:r>
    </w:p>
    <w:p w14:paraId="1EF5A469" w14:textId="77777777" w:rsidR="000E0490" w:rsidRPr="006B58B0" w:rsidRDefault="000E0490" w:rsidP="000E0490">
      <w:pPr>
        <w:pStyle w:val="Heading2"/>
      </w:pPr>
      <w:bookmarkStart w:id="92" w:name="_Toc180688140"/>
      <w:bookmarkStart w:id="93" w:name="_Toc184822219"/>
      <w:r w:rsidRPr="006B58B0">
        <w:lastRenderedPageBreak/>
        <w:t>Publishing reports</w:t>
      </w:r>
      <w:bookmarkEnd w:id="92"/>
      <w:bookmarkEnd w:id="93"/>
    </w:p>
    <w:p w14:paraId="50B11F7E" w14:textId="23DD91A0" w:rsidR="000E0490" w:rsidRPr="00EA0A6E" w:rsidRDefault="000E0490" w:rsidP="002B4186">
      <w:pPr>
        <w:pStyle w:val="OutlineNumbered1"/>
        <w:ind w:left="567" w:hanging="567"/>
      </w:pPr>
      <w:r w:rsidRPr="00EA0A6E">
        <w:t xml:space="preserve">Once submitted, reports are automatically published to the </w:t>
      </w:r>
      <w:hyperlink r:id="rId50" w:history="1">
        <w:r w:rsidRPr="008D7DF6">
          <w:rPr>
            <w:rStyle w:val="Hyperlink"/>
          </w:rPr>
          <w:t>Register</w:t>
        </w:r>
      </w:hyperlink>
      <w:r w:rsidRPr="00EA0A6E">
        <w:t>. The Regulator may redact information that is not in the public interest</w:t>
      </w:r>
      <w:r>
        <w:t xml:space="preserve"> to publish</w:t>
      </w:r>
      <w:r w:rsidRPr="00EA0A6E">
        <w:t>, such as third-party details</w:t>
      </w:r>
      <w:r>
        <w:t>,</w:t>
      </w:r>
      <w:r w:rsidRPr="00EA0A6E">
        <w:t xml:space="preserve"> commercial-in-confidence information</w:t>
      </w:r>
      <w:r>
        <w:t xml:space="preserve"> or personal information as defined in the </w:t>
      </w:r>
      <w:r w:rsidRPr="0011512E">
        <w:rPr>
          <w:i/>
          <w:iCs/>
        </w:rPr>
        <w:t>Privacy Act 1988</w:t>
      </w:r>
      <w:r w:rsidRPr="00EA0A6E">
        <w:t>.</w:t>
      </w:r>
    </w:p>
    <w:p w14:paraId="36120C53" w14:textId="77777777" w:rsidR="000E0490" w:rsidRPr="00EA0A6E" w:rsidRDefault="000E0490" w:rsidP="002B4186">
      <w:pPr>
        <w:pStyle w:val="OutlineNumbered1"/>
        <w:ind w:left="567" w:hanging="567"/>
      </w:pPr>
      <w:r w:rsidRPr="00EA0A6E">
        <w:t xml:space="preserve">If sensitive or incorrect information is published in error, a revised report </w:t>
      </w:r>
      <w:r>
        <w:t>should be submitted</w:t>
      </w:r>
      <w:r w:rsidRPr="00EA0A6E">
        <w:t xml:space="preserve"> as soon as possible to rectify the </w:t>
      </w:r>
      <w:r>
        <w:t>error</w:t>
      </w:r>
      <w:r w:rsidRPr="00EA0A6E">
        <w:t>.</w:t>
      </w:r>
      <w:r>
        <w:t xml:space="preserve"> </w:t>
      </w:r>
    </w:p>
    <w:p w14:paraId="6D6FA70A" w14:textId="77777777" w:rsidR="000E0490" w:rsidRPr="00EA0A6E" w:rsidRDefault="000E0490" w:rsidP="002B4186">
      <w:pPr>
        <w:pStyle w:val="OutlineNumbered1"/>
        <w:ind w:left="567" w:hanging="567"/>
      </w:pPr>
      <w:r w:rsidRPr="00EA0A6E">
        <w:t>Reports may be reviewed by the Regulator after publication, and action taken if the content does not comply with reporting standards.</w:t>
      </w:r>
    </w:p>
    <w:p w14:paraId="6F681122" w14:textId="77777777" w:rsidR="000E0490" w:rsidRDefault="000E0490" w:rsidP="000E0490">
      <w:pPr>
        <w:spacing w:after="0"/>
        <w:rPr>
          <w:rFonts w:ascii="Times New Roman" w:hAnsi="Times New Roman"/>
          <w:sz w:val="24"/>
          <w:szCs w:val="24"/>
        </w:rPr>
      </w:pPr>
      <w:r>
        <w:rPr>
          <w:rFonts w:ascii="Times New Roman" w:hAnsi="Times New Roman"/>
          <w:sz w:val="24"/>
          <w:szCs w:val="24"/>
        </w:rPr>
        <w:br w:type="page"/>
      </w:r>
    </w:p>
    <w:p w14:paraId="066631C7" w14:textId="77777777" w:rsidR="000E0490" w:rsidRPr="005F6D7B" w:rsidRDefault="000E0490" w:rsidP="000E0490">
      <w:pPr>
        <w:pStyle w:val="Heading1"/>
      </w:pPr>
      <w:bookmarkStart w:id="94" w:name="_Toc180688141"/>
      <w:bookmarkStart w:id="95" w:name="_Toc184822220"/>
      <w:r w:rsidRPr="005F6D7B">
        <w:lastRenderedPageBreak/>
        <w:t xml:space="preserve">What to </w:t>
      </w:r>
      <w:r>
        <w:t>r</w:t>
      </w:r>
      <w:r w:rsidRPr="005F6D7B">
        <w:t>eport</w:t>
      </w:r>
      <w:bookmarkEnd w:id="94"/>
      <w:bookmarkEnd w:id="95"/>
    </w:p>
    <w:p w14:paraId="19904C7A" w14:textId="77777777" w:rsidR="000E0490" w:rsidRPr="00EA0A6E" w:rsidRDefault="000E0490" w:rsidP="000D7ACB">
      <w:pPr>
        <w:pStyle w:val="OutlineNumbered1"/>
        <w:spacing w:before="120"/>
        <w:ind w:left="567" w:hanging="567"/>
      </w:pPr>
      <w:r w:rsidRPr="00EA0A6E">
        <w:t>Follow these steps when preparing a report:</w:t>
      </w:r>
    </w:p>
    <w:p w14:paraId="74211F42" w14:textId="62D111BE" w:rsidR="009C6AAA" w:rsidRDefault="009C6AAA" w:rsidP="000D7ACB">
      <w:pPr>
        <w:spacing w:before="60" w:after="60"/>
        <w:ind w:firstLine="567"/>
        <w:rPr>
          <w:rFonts w:cstheme="minorBidi"/>
        </w:rPr>
      </w:pPr>
      <w:r w:rsidRPr="007D5745">
        <w:rPr>
          <w:rFonts w:cstheme="minorBidi"/>
          <w:b/>
        </w:rPr>
        <w:t>Step 1:</w:t>
      </w:r>
      <w:r w:rsidRPr="2766A795">
        <w:rPr>
          <w:rFonts w:cstheme="minorBidi"/>
        </w:rPr>
        <w:t xml:space="preserve"> </w:t>
      </w:r>
      <w:r w:rsidR="000E0490" w:rsidRPr="008618A8">
        <w:t>Identify</w:t>
      </w:r>
      <w:r w:rsidR="000E0490" w:rsidRPr="2766A795">
        <w:rPr>
          <w:rFonts w:cstheme="minorBidi"/>
        </w:rPr>
        <w:t xml:space="preserve"> entities to consolidate</w:t>
      </w:r>
    </w:p>
    <w:p w14:paraId="6671B1F3" w14:textId="07C17737" w:rsidR="009C6AAA" w:rsidRDefault="009C6AAA" w:rsidP="000D7ACB">
      <w:pPr>
        <w:spacing w:before="60" w:after="60"/>
        <w:ind w:firstLine="567"/>
        <w:rPr>
          <w:rFonts w:cstheme="minorBidi"/>
        </w:rPr>
      </w:pPr>
      <w:r w:rsidRPr="2766A795">
        <w:rPr>
          <w:rFonts w:cstheme="minorBidi"/>
          <w:b/>
        </w:rPr>
        <w:t>Step 2:</w:t>
      </w:r>
      <w:r w:rsidRPr="2766A795">
        <w:rPr>
          <w:rFonts w:cstheme="minorBidi"/>
        </w:rPr>
        <w:t xml:space="preserve"> </w:t>
      </w:r>
      <w:r w:rsidR="000E0490" w:rsidRPr="2766A795">
        <w:rPr>
          <w:rFonts w:cstheme="minorBidi"/>
        </w:rPr>
        <w:t>Determine reporting requirements</w:t>
      </w:r>
    </w:p>
    <w:p w14:paraId="6891E4E9" w14:textId="192FC6C6" w:rsidR="009C6AAA" w:rsidRDefault="009C6AAA" w:rsidP="000D7ACB">
      <w:pPr>
        <w:spacing w:before="60" w:after="60"/>
        <w:ind w:firstLine="567"/>
        <w:rPr>
          <w:rFonts w:cstheme="minorBidi"/>
        </w:rPr>
      </w:pPr>
      <w:r w:rsidRPr="2766A795">
        <w:rPr>
          <w:rFonts w:cstheme="minorBidi"/>
          <w:b/>
        </w:rPr>
        <w:t>Step 3:</w:t>
      </w:r>
      <w:r w:rsidRPr="2766A795">
        <w:rPr>
          <w:rFonts w:cstheme="minorBidi"/>
        </w:rPr>
        <w:t xml:space="preserve"> </w:t>
      </w:r>
      <w:r w:rsidR="000E0490" w:rsidRPr="2766A795">
        <w:rPr>
          <w:rFonts w:cstheme="minorBidi"/>
        </w:rPr>
        <w:t>Prepare datasets</w:t>
      </w:r>
    </w:p>
    <w:p w14:paraId="575CFAEB" w14:textId="300D8116" w:rsidR="009C6AAA" w:rsidRDefault="009C6AAA" w:rsidP="000D7ACB">
      <w:pPr>
        <w:spacing w:before="60" w:after="60"/>
        <w:ind w:firstLine="567"/>
        <w:rPr>
          <w:rFonts w:cstheme="minorBidi"/>
        </w:rPr>
      </w:pPr>
      <w:r w:rsidRPr="2766A795">
        <w:rPr>
          <w:rFonts w:cstheme="minorBidi"/>
          <w:b/>
        </w:rPr>
        <w:t>Step 4:</w:t>
      </w:r>
      <w:r w:rsidRPr="2766A795">
        <w:rPr>
          <w:rFonts w:cstheme="minorBidi"/>
        </w:rPr>
        <w:t xml:space="preserve"> </w:t>
      </w:r>
      <w:r w:rsidR="000E0490" w:rsidRPr="2766A795">
        <w:rPr>
          <w:rFonts w:cstheme="minorBidi"/>
        </w:rPr>
        <w:t>Complete the payment times report</w:t>
      </w:r>
    </w:p>
    <w:p w14:paraId="07B80062" w14:textId="77777777" w:rsidR="000E0490" w:rsidRDefault="000E0490" w:rsidP="000E0490">
      <w:pPr>
        <w:pStyle w:val="Heading2"/>
      </w:pPr>
      <w:bookmarkStart w:id="96" w:name="_Toc180688142"/>
      <w:bookmarkStart w:id="97" w:name="_Toc184822221"/>
      <w:r>
        <w:t>Step 1: Identify entities to consolidate</w:t>
      </w:r>
      <w:bookmarkEnd w:id="96"/>
      <w:bookmarkEnd w:id="97"/>
    </w:p>
    <w:p w14:paraId="252A409D" w14:textId="73D46C4D" w:rsidR="00317396" w:rsidRDefault="000E0490" w:rsidP="000D7ACB">
      <w:pPr>
        <w:pStyle w:val="OutlineNumbered1"/>
        <w:spacing w:before="120"/>
        <w:ind w:left="567" w:hanging="567"/>
      </w:pPr>
      <w:r>
        <w:t xml:space="preserve">In </w:t>
      </w:r>
      <w:r w:rsidR="008B504B">
        <w:t xml:space="preserve">its </w:t>
      </w:r>
      <w:r>
        <w:t xml:space="preserve">report, </w:t>
      </w:r>
      <w:r w:rsidR="008B504B">
        <w:t xml:space="preserve">a </w:t>
      </w:r>
      <w:r>
        <w:t>r</w:t>
      </w:r>
      <w:r w:rsidRPr="00EA0A6E">
        <w:t>eporting entit</w:t>
      </w:r>
      <w:r w:rsidR="008B504B">
        <w:t>y</w:t>
      </w:r>
      <w:r w:rsidRPr="00EA0A6E">
        <w:t xml:space="preserve"> must </w:t>
      </w:r>
      <w:r>
        <w:t>consolidate</w:t>
      </w:r>
      <w:r w:rsidRPr="00EA0A6E">
        <w:t xml:space="preserve"> </w:t>
      </w:r>
      <w:r w:rsidR="00F161F8">
        <w:t xml:space="preserve">each </w:t>
      </w:r>
      <w:r w:rsidRPr="00EA0A6E">
        <w:t>payment</w:t>
      </w:r>
      <w:r w:rsidR="00F44DC2">
        <w:t xml:space="preserve"> </w:t>
      </w:r>
      <w:r w:rsidR="00AC6826">
        <w:t>under a</w:t>
      </w:r>
      <w:r w:rsidR="00F44DC2" w:rsidRPr="00E073E4">
        <w:rPr>
          <w:color w:val="00827F" w:themeColor="accent2"/>
        </w:rPr>
        <w:t xml:space="preserve"> </w:t>
      </w:r>
      <w:r w:rsidR="00E073E4" w:rsidRPr="00CB2EEA">
        <w:rPr>
          <w:b/>
          <w:bCs/>
          <w:color w:val="00827F" w:themeColor="accent2"/>
        </w:rPr>
        <w:fldChar w:fldCharType="begin"/>
      </w:r>
      <w:r w:rsidR="00E073E4" w:rsidRPr="00CB2EEA">
        <w:rPr>
          <w:b/>
          <w:bCs/>
          <w:color w:val="00827F" w:themeColor="accent2"/>
        </w:rPr>
        <w:instrText xml:space="preserve"> REF _Ref184651686 \h </w:instrText>
      </w:r>
      <w:r w:rsidR="00CB2EEA">
        <w:rPr>
          <w:b/>
          <w:bCs/>
          <w:color w:val="00827F" w:themeColor="accent2"/>
        </w:rPr>
        <w:instrText xml:space="preserve"> \* MERGEFORMAT </w:instrText>
      </w:r>
      <w:r w:rsidR="00E073E4" w:rsidRPr="00CB2EEA">
        <w:rPr>
          <w:b/>
          <w:bCs/>
          <w:color w:val="00827F" w:themeColor="accent2"/>
        </w:rPr>
      </w:r>
      <w:r w:rsidR="00E073E4" w:rsidRPr="00CB2EEA">
        <w:rPr>
          <w:b/>
          <w:bCs/>
          <w:color w:val="00827F" w:themeColor="accent2"/>
        </w:rPr>
        <w:fldChar w:fldCharType="separate"/>
      </w:r>
      <w:r w:rsidR="00E073E4" w:rsidRPr="00CB2EEA">
        <w:rPr>
          <w:b/>
          <w:bCs/>
          <w:color w:val="00827F" w:themeColor="accent2"/>
        </w:rPr>
        <w:t>Trade Credit Arrangement</w:t>
      </w:r>
      <w:r w:rsidR="00E073E4" w:rsidRPr="00CB2EEA">
        <w:rPr>
          <w:b/>
          <w:bCs/>
          <w:color w:val="00827F" w:themeColor="accent2"/>
        </w:rPr>
        <w:fldChar w:fldCharType="end"/>
      </w:r>
      <w:r w:rsidRPr="00EA0A6E">
        <w:t xml:space="preserve"> </w:t>
      </w:r>
      <w:r>
        <w:t xml:space="preserve">made </w:t>
      </w:r>
      <w:r w:rsidR="00F161F8">
        <w:t>by</w:t>
      </w:r>
      <w:r>
        <w:t xml:space="preserve"> </w:t>
      </w:r>
      <w:r w:rsidR="008B504B">
        <w:t>itself</w:t>
      </w:r>
      <w:r>
        <w:t xml:space="preserve"> </w:t>
      </w:r>
      <w:r w:rsidR="00501343">
        <w:t>or any</w:t>
      </w:r>
      <w:r>
        <w:t xml:space="preserve"> </w:t>
      </w:r>
      <w:r w:rsidR="00B32D24">
        <w:t xml:space="preserve">of its </w:t>
      </w:r>
      <w:r w:rsidR="0026741B">
        <w:t xml:space="preserve">controlled </w:t>
      </w:r>
      <w:r w:rsidRPr="00EA0A6E">
        <w:t>entit</w:t>
      </w:r>
      <w:r w:rsidR="00B32D24">
        <w:t>ies</w:t>
      </w:r>
      <w:r w:rsidR="005A6C05">
        <w:t xml:space="preserve">, including those </w:t>
      </w:r>
      <w:r w:rsidR="00CD1362">
        <w:t xml:space="preserve">that </w:t>
      </w:r>
      <w:r w:rsidR="005A18C2">
        <w:t xml:space="preserve">are not a CCE </w:t>
      </w:r>
      <w:r w:rsidR="00CE425F">
        <w:t xml:space="preserve">or </w:t>
      </w:r>
      <w:r w:rsidR="0062297A">
        <w:t>do not have a connection to Australia.</w:t>
      </w:r>
      <w:r>
        <w:t xml:space="preserve"> </w:t>
      </w:r>
    </w:p>
    <w:p w14:paraId="04D9347A" w14:textId="16AEBF06" w:rsidR="008D267F" w:rsidRDefault="000E0490" w:rsidP="000D7ACB">
      <w:pPr>
        <w:pStyle w:val="OutlineNumbered1"/>
        <w:spacing w:before="120"/>
        <w:ind w:left="567" w:hanging="567"/>
      </w:pPr>
      <w:r>
        <w:t xml:space="preserve">The only </w:t>
      </w:r>
      <w:r w:rsidR="007238D7">
        <w:t>exceptions</w:t>
      </w:r>
      <w:r>
        <w:t xml:space="preserve"> to consolidation of all controlled entities are</w:t>
      </w:r>
      <w:r w:rsidR="003A5B84">
        <w:t xml:space="preserve"> as follows</w:t>
      </w:r>
      <w:r w:rsidR="008D267F">
        <w:t>:</w:t>
      </w:r>
    </w:p>
    <w:p w14:paraId="141324ED" w14:textId="4D77ABDF" w:rsidR="008D267F" w:rsidRPr="00EE530A" w:rsidRDefault="009A5CAF" w:rsidP="000D7ACB">
      <w:pPr>
        <w:pStyle w:val="OutlineNumberedDot"/>
        <w:spacing w:before="120"/>
        <w:ind w:left="851" w:hanging="284"/>
      </w:pPr>
      <w:r>
        <w:t xml:space="preserve">Where a controlled entity has been determined by the Regulator to be a subsidiary </w:t>
      </w:r>
      <w:r w:rsidR="003852FF">
        <w:t xml:space="preserve">reporting entity. In </w:t>
      </w:r>
      <w:r w:rsidR="00455648">
        <w:t xml:space="preserve">these circumstances, payments made by the subsidiary reporting entity (and its controlled entities) are not consolidated with payments made by the reporting entity. </w:t>
      </w:r>
      <w:r w:rsidR="00441D28" w:rsidRPr="00EE530A" w:rsidDel="00123583">
        <w:t>This is because</w:t>
      </w:r>
      <w:r w:rsidR="004413E0" w:rsidRPr="00EE530A" w:rsidDel="00123583">
        <w:t xml:space="preserve"> a subsidiary reporting entity reports separately from the consolidated grou</w:t>
      </w:r>
      <w:r w:rsidR="00441D28" w:rsidRPr="00EE530A" w:rsidDel="00123583">
        <w:t xml:space="preserve">p; </w:t>
      </w:r>
      <w:r w:rsidR="00A42590" w:rsidRPr="00EE530A" w:rsidDel="00123583">
        <w:t>and</w:t>
      </w:r>
    </w:p>
    <w:p w14:paraId="46C042B0" w14:textId="175F483C" w:rsidR="00AA4D02" w:rsidRDefault="003D0F0A" w:rsidP="000D7ACB">
      <w:pPr>
        <w:pStyle w:val="OutlineNumberedDot"/>
        <w:spacing w:before="120"/>
        <w:ind w:left="851" w:hanging="284"/>
      </w:pPr>
      <w:r>
        <w:t xml:space="preserve">Where the entity is a nominee reporting entity. A nominee reporting entity must only consolidate payments made by </w:t>
      </w:r>
      <w:r w:rsidR="00771756">
        <w:t>a nominated entity.</w:t>
      </w:r>
    </w:p>
    <w:p w14:paraId="3AEB4B1A" w14:textId="77777777" w:rsidR="000E0490" w:rsidRPr="00EA0A6E" w:rsidRDefault="000E0490" w:rsidP="000D7ACB">
      <w:pPr>
        <w:pStyle w:val="OutlineNumbered1"/>
        <w:spacing w:before="120"/>
        <w:ind w:left="567" w:hanging="567"/>
      </w:pPr>
      <w:r w:rsidRPr="00EA0A6E">
        <w:t xml:space="preserve">Control </w:t>
      </w:r>
      <w:r>
        <w:t xml:space="preserve">of an entity for consolidated reporting purposes </w:t>
      </w:r>
      <w:r w:rsidRPr="00EA0A6E">
        <w:t xml:space="preserve">is assessed the same way as </w:t>
      </w:r>
      <w:r>
        <w:t xml:space="preserve">it is </w:t>
      </w:r>
      <w:r w:rsidRPr="00EA0A6E">
        <w:t xml:space="preserve">for consolidating revenue. If </w:t>
      </w:r>
      <w:r>
        <w:t xml:space="preserve">a reporting entity </w:t>
      </w:r>
      <w:r w:rsidRPr="00EA0A6E">
        <w:t>control</w:t>
      </w:r>
      <w:r>
        <w:t>s</w:t>
      </w:r>
      <w:r w:rsidRPr="00EA0A6E">
        <w:t xml:space="preserve"> an</w:t>
      </w:r>
      <w:r>
        <w:t>other</w:t>
      </w:r>
      <w:r w:rsidRPr="00EA0A6E">
        <w:t xml:space="preserve"> entity for </w:t>
      </w:r>
      <w:r>
        <w:t xml:space="preserve">the purpose of </w:t>
      </w:r>
      <w:r w:rsidRPr="00EA0A6E">
        <w:t xml:space="preserve">revenue consolidation, payments </w:t>
      </w:r>
      <w:r>
        <w:t xml:space="preserve">by the controlled entity </w:t>
      </w:r>
      <w:r w:rsidRPr="00EA0A6E">
        <w:t xml:space="preserve">must be </w:t>
      </w:r>
      <w:r>
        <w:t>included in reporting</w:t>
      </w:r>
      <w:r w:rsidRPr="00EA0A6E">
        <w:t>.</w:t>
      </w:r>
    </w:p>
    <w:p w14:paraId="0689A87F" w14:textId="4FF33F9C" w:rsidR="00852417" w:rsidRDefault="00852417" w:rsidP="000D7ACB">
      <w:pPr>
        <w:pStyle w:val="OutlineNumbered1"/>
        <w:spacing w:before="120"/>
        <w:ind w:left="567" w:hanging="567"/>
      </w:pPr>
      <w:r w:rsidRPr="00DE3BEF">
        <w:t xml:space="preserve">For more information, see </w:t>
      </w:r>
      <w:r w:rsidRPr="00CB2EEA">
        <w:rPr>
          <w:b/>
          <w:bCs/>
          <w:color w:val="00827F" w:themeColor="accent2"/>
        </w:rPr>
        <w:fldChar w:fldCharType="begin"/>
      </w:r>
      <w:r w:rsidRPr="00CB2EEA">
        <w:rPr>
          <w:b/>
          <w:bCs/>
          <w:color w:val="00827F" w:themeColor="accent2"/>
        </w:rPr>
        <w:instrText xml:space="preserve"> REF _Ref179826956 \h  \* MERGEFORMAT </w:instrText>
      </w:r>
      <w:r w:rsidRPr="00CB2EEA">
        <w:rPr>
          <w:b/>
          <w:bCs/>
          <w:color w:val="00827F" w:themeColor="accent2"/>
        </w:rPr>
      </w:r>
      <w:r w:rsidRPr="00CB2EEA">
        <w:rPr>
          <w:b/>
          <w:bCs/>
          <w:color w:val="00827F" w:themeColor="accent2"/>
        </w:rPr>
        <w:fldChar w:fldCharType="separate"/>
      </w:r>
      <w:r w:rsidRPr="00CB2EEA">
        <w:rPr>
          <w:b/>
          <w:bCs/>
          <w:color w:val="00827F" w:themeColor="accent2"/>
        </w:rPr>
        <w:t>Identifying controlled entities</w:t>
      </w:r>
      <w:r w:rsidRPr="00CB2EEA">
        <w:rPr>
          <w:b/>
          <w:bCs/>
          <w:color w:val="00827F" w:themeColor="accent2"/>
        </w:rPr>
        <w:fldChar w:fldCharType="end"/>
      </w:r>
      <w:r w:rsidRPr="003C2458">
        <w:t>.</w:t>
      </w:r>
    </w:p>
    <w:p w14:paraId="6EB180F7" w14:textId="557EBDA3" w:rsidR="0007670D" w:rsidRDefault="00086169" w:rsidP="000D7ACB">
      <w:pPr>
        <w:pStyle w:val="OutlineNumbered1"/>
        <w:spacing w:before="120"/>
        <w:ind w:left="567" w:hanging="567"/>
      </w:pPr>
      <w:r>
        <w:t>C</w:t>
      </w:r>
      <w:r w:rsidR="00CC44BB">
        <w:t xml:space="preserve">onsolidation of payments </w:t>
      </w:r>
      <w:r w:rsidR="00A53D0C">
        <w:t xml:space="preserve">by a reporting entity </w:t>
      </w:r>
      <w:r w:rsidR="00CC44BB">
        <w:t>appl</w:t>
      </w:r>
      <w:r w:rsidR="000F1E87">
        <w:t>ies</w:t>
      </w:r>
      <w:r w:rsidR="00CC44BB">
        <w:t xml:space="preserve"> to all </w:t>
      </w:r>
      <w:r w:rsidR="00B87736">
        <w:t>of its</w:t>
      </w:r>
      <w:r w:rsidR="00CC44BB">
        <w:t xml:space="preserve"> foreign controlled entities, however</w:t>
      </w:r>
      <w:r w:rsidR="00066181">
        <w:t xml:space="preserve">, for the purposes of creating a </w:t>
      </w:r>
      <w:r w:rsidR="00163B4D">
        <w:t>TCP</w:t>
      </w:r>
      <w:r w:rsidR="007D4BD0">
        <w:t xml:space="preserve"> Dataset</w:t>
      </w:r>
      <w:r w:rsidR="00CC44BB">
        <w:t xml:space="preserve"> only payments to Australian businesses with an ABN </w:t>
      </w:r>
      <w:r w:rsidR="007508DB">
        <w:t xml:space="preserve">are </w:t>
      </w:r>
      <w:r w:rsidR="00475762">
        <w:t>included in this regard</w:t>
      </w:r>
      <w:r w:rsidR="00866307">
        <w:t>. If the foreign entity does not make payments to Australian business</w:t>
      </w:r>
      <w:r w:rsidR="00810951">
        <w:t>es or record ABNs of payees, its payments</w:t>
      </w:r>
      <w:r w:rsidR="00456704">
        <w:t xml:space="preserve"> can be excluded</w:t>
      </w:r>
      <w:r w:rsidR="007865CB">
        <w:t>. S</w:t>
      </w:r>
      <w:r w:rsidR="0007670D">
        <w:t>ee</w:t>
      </w:r>
      <w:r w:rsidR="000D4E79">
        <w:br/>
      </w:r>
      <w:r w:rsidR="0007670D" w:rsidRPr="00C416E6">
        <w:rPr>
          <w:b/>
          <w:bCs/>
          <w:color w:val="00827F" w:themeColor="accent2"/>
        </w:rPr>
        <w:t>Excluded payment – Entity without an ABN</w:t>
      </w:r>
      <w:r w:rsidR="0007670D">
        <w:t xml:space="preserve"> for more details</w:t>
      </w:r>
      <w:r w:rsidR="00CC44BB">
        <w:t xml:space="preserve">. </w:t>
      </w:r>
    </w:p>
    <w:p w14:paraId="7A53075F" w14:textId="666872A3" w:rsidR="00726DB9" w:rsidRDefault="00AC493B" w:rsidP="000D7ACB">
      <w:pPr>
        <w:pStyle w:val="OutlineNumbered1"/>
        <w:spacing w:before="120"/>
        <w:ind w:left="567" w:hanging="567"/>
      </w:pPr>
      <w:r>
        <w:t>O</w:t>
      </w:r>
      <w:r w:rsidR="009352FC">
        <w:t xml:space="preserve">nly payments made to </w:t>
      </w:r>
      <w:r w:rsidR="00E13B19">
        <w:t xml:space="preserve">Australian </w:t>
      </w:r>
      <w:r w:rsidR="00E13B19" w:rsidRPr="007D5745">
        <w:rPr>
          <w:u w:val="single"/>
        </w:rPr>
        <w:t xml:space="preserve">small </w:t>
      </w:r>
      <w:r w:rsidR="00413655" w:rsidRPr="007D5745">
        <w:rPr>
          <w:u w:val="single"/>
        </w:rPr>
        <w:t>business</w:t>
      </w:r>
      <w:r w:rsidR="00CF0188">
        <w:rPr>
          <w:u w:val="single"/>
        </w:rPr>
        <w:t xml:space="preserve"> suppliers</w:t>
      </w:r>
      <w:r w:rsidR="00E13B19">
        <w:t xml:space="preserve"> will</w:t>
      </w:r>
      <w:r w:rsidR="002660DB" w:rsidDel="00354683">
        <w:t xml:space="preserve"> </w:t>
      </w:r>
      <w:r w:rsidR="00E13B19">
        <w:t>be used</w:t>
      </w:r>
      <w:r w:rsidR="002660DB">
        <w:t xml:space="preserve"> </w:t>
      </w:r>
      <w:r w:rsidR="0011730D">
        <w:t xml:space="preserve">in payment times calculations </w:t>
      </w:r>
      <w:r w:rsidR="00D3472B">
        <w:t>i</w:t>
      </w:r>
      <w:r w:rsidR="009F6B50">
        <w:t>n a payment times repor</w:t>
      </w:r>
      <w:r w:rsidR="00D3472B">
        <w:t>t and included in</w:t>
      </w:r>
      <w:r w:rsidR="00F25C17">
        <w:t xml:space="preserve"> the</w:t>
      </w:r>
      <w:r w:rsidR="00D3472B">
        <w:t xml:space="preserve"> </w:t>
      </w:r>
      <w:r w:rsidR="00D6372A" w:rsidRPr="006B7251">
        <w:t>SBTCP</w:t>
      </w:r>
      <w:r w:rsidR="00050E93">
        <w:t xml:space="preserve"> </w:t>
      </w:r>
      <w:r w:rsidR="00F25C17">
        <w:t>Dataset (discussed below)</w:t>
      </w:r>
      <w:r w:rsidR="009F6B50">
        <w:t>.</w:t>
      </w:r>
      <w:r w:rsidR="00461155">
        <w:t xml:space="preserve"> </w:t>
      </w:r>
    </w:p>
    <w:p w14:paraId="111A870E" w14:textId="0B9719C0" w:rsidR="00413655" w:rsidRDefault="00AC493B" w:rsidP="000D7ACB">
      <w:pPr>
        <w:pStyle w:val="OutlineNumbered1"/>
        <w:spacing w:before="120"/>
        <w:ind w:left="567" w:hanging="567"/>
      </w:pPr>
      <w:r>
        <w:t>However, p</w:t>
      </w:r>
      <w:r w:rsidR="001E47A1">
        <w:t xml:space="preserve">ayments </w:t>
      </w:r>
      <w:r w:rsidR="004562CB">
        <w:t xml:space="preserve">to all Australian </w:t>
      </w:r>
      <w:r w:rsidR="00536CA5">
        <w:t>b</w:t>
      </w:r>
      <w:r w:rsidR="004562CB">
        <w:t xml:space="preserve">usinesses with an ABN </w:t>
      </w:r>
      <w:r w:rsidR="00461155" w:rsidRPr="00461155">
        <w:t xml:space="preserve">must be included in the </w:t>
      </w:r>
      <w:r w:rsidR="0003462C" w:rsidRPr="007E19D9">
        <w:t>TCP</w:t>
      </w:r>
      <w:r w:rsidR="00461155" w:rsidRPr="00461155">
        <w:t xml:space="preserve"> Dataset</w:t>
      </w:r>
      <w:r w:rsidR="009C632A">
        <w:t xml:space="preserve"> (discussed below)</w:t>
      </w:r>
      <w:r w:rsidR="00461155" w:rsidRPr="00461155">
        <w:t xml:space="preserve"> to enable the reporting entity to calculate its </w:t>
      </w:r>
      <w:r w:rsidR="0075381D" w:rsidRPr="00C416E6">
        <w:rPr>
          <w:b/>
          <w:bCs/>
          <w:color w:val="00827F" w:themeColor="accent2"/>
        </w:rPr>
        <w:fldChar w:fldCharType="begin"/>
      </w:r>
      <w:r w:rsidR="0075381D" w:rsidRPr="00C416E6">
        <w:rPr>
          <w:b/>
          <w:bCs/>
          <w:color w:val="00827F" w:themeColor="accent2"/>
        </w:rPr>
        <w:instrText xml:space="preserve"> REF _Ref184648556 \h </w:instrText>
      </w:r>
      <w:r w:rsidR="00C416E6">
        <w:rPr>
          <w:b/>
          <w:bCs/>
          <w:color w:val="00827F" w:themeColor="accent2"/>
        </w:rPr>
        <w:instrText xml:space="preserve"> \* MERGEFORMAT </w:instrText>
      </w:r>
      <w:r w:rsidR="0075381D" w:rsidRPr="00C416E6">
        <w:rPr>
          <w:b/>
          <w:bCs/>
          <w:color w:val="00827F" w:themeColor="accent2"/>
        </w:rPr>
      </w:r>
      <w:r w:rsidR="0075381D" w:rsidRPr="00C416E6">
        <w:rPr>
          <w:b/>
          <w:bCs/>
          <w:color w:val="00827F" w:themeColor="accent2"/>
        </w:rPr>
        <w:fldChar w:fldCharType="separate"/>
      </w:r>
      <w:r w:rsidR="0075381D" w:rsidRPr="00C416E6">
        <w:rPr>
          <w:b/>
          <w:bCs/>
          <w:color w:val="00827F" w:themeColor="accent2"/>
        </w:rPr>
        <w:t>percentage of small business procurement</w:t>
      </w:r>
      <w:r w:rsidR="0075381D" w:rsidRPr="00C416E6">
        <w:rPr>
          <w:b/>
          <w:bCs/>
          <w:color w:val="00827F" w:themeColor="accent2"/>
        </w:rPr>
        <w:fldChar w:fldCharType="end"/>
      </w:r>
      <w:r w:rsidR="0075381D">
        <w:t>.</w:t>
      </w:r>
    </w:p>
    <w:p w14:paraId="72B3011E" w14:textId="41BBDDC8" w:rsidR="00CC44BB" w:rsidRDefault="00CC44BB" w:rsidP="000D7ACB">
      <w:pPr>
        <w:pStyle w:val="OutlineNumbered1"/>
        <w:numPr>
          <w:ilvl w:val="0"/>
          <w:numId w:val="0"/>
        </w:numPr>
        <w:spacing w:before="120"/>
        <w:ind w:left="567"/>
      </w:pPr>
    </w:p>
    <w:p w14:paraId="19E34747" w14:textId="77777777" w:rsidR="00CC44BB" w:rsidRDefault="00CC44BB" w:rsidP="007D5745">
      <w:pPr>
        <w:pStyle w:val="OutlineNumbered1"/>
        <w:numPr>
          <w:ilvl w:val="0"/>
          <w:numId w:val="0"/>
        </w:numPr>
        <w:ind w:left="567"/>
      </w:pPr>
    </w:p>
    <w:p w14:paraId="00EDAC5D" w14:textId="77777777" w:rsidR="00852417" w:rsidRDefault="00852417" w:rsidP="00852417">
      <w:pPr>
        <w:pStyle w:val="OutlineNumbered1"/>
        <w:numPr>
          <w:ilvl w:val="0"/>
          <w:numId w:val="0"/>
        </w:numPr>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B306CF" w14:paraId="693F9802" w14:textId="77777777">
        <w:tc>
          <w:tcPr>
            <w:tcW w:w="5000" w:type="pct"/>
            <w:shd w:val="clear" w:color="auto" w:fill="EBF1F7"/>
          </w:tcPr>
          <w:p w14:paraId="36C0AC52" w14:textId="4BC9A5F9" w:rsidR="00B306CF" w:rsidRPr="000553FE" w:rsidRDefault="004356B1">
            <w:pPr>
              <w:pStyle w:val="BoxHeading"/>
              <w:rPr>
                <w:b w:val="0"/>
              </w:rPr>
            </w:pPr>
            <w:r>
              <w:lastRenderedPageBreak/>
              <w:t>Example</w:t>
            </w:r>
            <w:r w:rsidR="00031282">
              <w:t xml:space="preserve"> 19</w:t>
            </w:r>
          </w:p>
          <w:p w14:paraId="189F8E8C" w14:textId="5EC3E740" w:rsidR="00B306CF" w:rsidRPr="00247BAC" w:rsidRDefault="00666BEE">
            <w:pPr>
              <w:pStyle w:val="BoxHeading2-Blue"/>
            </w:pPr>
            <w:r>
              <w:rPr>
                <w:rStyle w:val="Strong"/>
              </w:rPr>
              <w:t>Entities to consolidate</w:t>
            </w:r>
            <w:r w:rsidR="00896C71">
              <w:rPr>
                <w:rStyle w:val="Strong"/>
              </w:rPr>
              <w:t xml:space="preserve"> </w:t>
            </w:r>
            <w:r w:rsidR="006D0BE7">
              <w:rPr>
                <w:rStyle w:val="Strong"/>
              </w:rPr>
              <w:t>for consolidated payment times reporting</w:t>
            </w:r>
          </w:p>
          <w:p w14:paraId="35E7D2D8" w14:textId="77777777" w:rsidR="003135CB" w:rsidRDefault="00CE3A11" w:rsidP="00C43AC1">
            <w:pPr>
              <w:pStyle w:val="BoxBullet"/>
              <w:numPr>
                <w:ilvl w:val="0"/>
                <w:numId w:val="0"/>
              </w:numPr>
            </w:pPr>
            <w:r w:rsidRPr="007D5745">
              <w:rPr>
                <w:u w:val="single"/>
              </w:rPr>
              <w:t>Scenario 1:</w:t>
            </w:r>
            <w:r>
              <w:t xml:space="preserve"> </w:t>
            </w:r>
          </w:p>
          <w:p w14:paraId="0D7D6481" w14:textId="0E322CA8" w:rsidR="00C43AC1" w:rsidRDefault="00CE3A11" w:rsidP="00C43AC1">
            <w:pPr>
              <w:pStyle w:val="BoxBullet"/>
              <w:numPr>
                <w:ilvl w:val="0"/>
                <w:numId w:val="0"/>
              </w:numPr>
            </w:pPr>
            <w:r w:rsidRPr="00264841">
              <w:t xml:space="preserve">A </w:t>
            </w:r>
            <w:r w:rsidR="00627B05">
              <w:t xml:space="preserve">reporting </w:t>
            </w:r>
            <w:r w:rsidRPr="00264841">
              <w:t xml:space="preserve">entity </w:t>
            </w:r>
            <w:r w:rsidR="00EB5C63">
              <w:t>holds</w:t>
            </w:r>
            <w:r w:rsidRPr="00264841">
              <w:t xml:space="preserve"> </w:t>
            </w:r>
            <w:r w:rsidR="00EE1EBC">
              <w:t>100%</w:t>
            </w:r>
            <w:r w:rsidR="00A90BF9">
              <w:t xml:space="preserve"> of units </w:t>
            </w:r>
            <w:r w:rsidR="00384D41">
              <w:t>in a unit trust</w:t>
            </w:r>
            <w:r w:rsidR="00C43AC1">
              <w:t xml:space="preserve">. </w:t>
            </w:r>
            <w:r w:rsidR="003978A0">
              <w:t xml:space="preserve">The unit trust is fully consolidated in the reporting entity’s consolidated financial statements, thus indicating the control test in AASB 10 has been met. The unit trust </w:t>
            </w:r>
            <w:r w:rsidR="00453396">
              <w:t>is assessed by the reporting entity as not being a CCE</w:t>
            </w:r>
            <w:r w:rsidR="00DD7C60">
              <w:t>.</w:t>
            </w:r>
          </w:p>
          <w:p w14:paraId="15DE178A" w14:textId="1BE3CD4E" w:rsidR="00DD7C60" w:rsidRDefault="00DD7C60" w:rsidP="00DD7C60">
            <w:pPr>
              <w:pStyle w:val="BoxBullet"/>
            </w:pPr>
            <w:r>
              <w:t xml:space="preserve">The reporting entity must report on payments by the trust in its </w:t>
            </w:r>
            <w:r w:rsidR="00F9658B">
              <w:t xml:space="preserve">payments times report. It </w:t>
            </w:r>
            <w:r w:rsidR="00237748">
              <w:t xml:space="preserve">does not matter that the </w:t>
            </w:r>
            <w:r w:rsidR="00150A57">
              <w:t xml:space="preserve">controlled </w:t>
            </w:r>
            <w:r w:rsidR="00237748">
              <w:t>unit trust</w:t>
            </w:r>
            <w:r w:rsidR="00150A57">
              <w:t xml:space="preserve"> itself</w:t>
            </w:r>
            <w:r w:rsidR="00237748">
              <w:t xml:space="preserve"> i</w:t>
            </w:r>
            <w:r w:rsidR="00381CD3">
              <w:t>s not a CCE.</w:t>
            </w:r>
          </w:p>
          <w:p w14:paraId="12E1760E" w14:textId="77777777" w:rsidR="003135CB" w:rsidRDefault="00E86287" w:rsidP="00E86287">
            <w:pPr>
              <w:pStyle w:val="BoxBullet"/>
              <w:numPr>
                <w:ilvl w:val="0"/>
                <w:numId w:val="0"/>
              </w:numPr>
            </w:pPr>
            <w:r w:rsidRPr="000B3D68">
              <w:rPr>
                <w:u w:val="single"/>
              </w:rPr>
              <w:t xml:space="preserve">Scenario </w:t>
            </w:r>
            <w:r>
              <w:rPr>
                <w:u w:val="single"/>
              </w:rPr>
              <w:t>2</w:t>
            </w:r>
            <w:r w:rsidRPr="000B3D68">
              <w:rPr>
                <w:u w:val="single"/>
              </w:rPr>
              <w:t>:</w:t>
            </w:r>
            <w:r>
              <w:t xml:space="preserve"> </w:t>
            </w:r>
          </w:p>
          <w:p w14:paraId="6F895844" w14:textId="1D34EFD5" w:rsidR="00E86287" w:rsidRDefault="00E86287" w:rsidP="00E86287">
            <w:pPr>
              <w:pStyle w:val="BoxBullet"/>
              <w:numPr>
                <w:ilvl w:val="0"/>
                <w:numId w:val="0"/>
              </w:numPr>
            </w:pPr>
            <w:r w:rsidRPr="00264841">
              <w:t xml:space="preserve">A </w:t>
            </w:r>
            <w:r>
              <w:t xml:space="preserve">reporting </w:t>
            </w:r>
            <w:r w:rsidRPr="00264841">
              <w:t xml:space="preserve">entity </w:t>
            </w:r>
            <w:r>
              <w:t>has a wholly-owned foreign subsidiary. The foreign subsidiary is fully consolidated in the reporting entity’s consolidated financial statements, thus indicating the control test in AASB 10 has been met.</w:t>
            </w:r>
          </w:p>
          <w:p w14:paraId="793503C4" w14:textId="209B5612" w:rsidR="00E86287" w:rsidRDefault="00381CD3" w:rsidP="00DD7C60">
            <w:pPr>
              <w:pStyle w:val="BoxBullet"/>
            </w:pPr>
            <w:r>
              <w:t xml:space="preserve">The </w:t>
            </w:r>
            <w:r w:rsidRPr="00E86287">
              <w:t xml:space="preserve">reporting entity must report on </w:t>
            </w:r>
            <w:r w:rsidR="003638AD" w:rsidRPr="00E86287">
              <w:t xml:space="preserve">the </w:t>
            </w:r>
            <w:r w:rsidRPr="00E86287">
              <w:t xml:space="preserve">payments by the </w:t>
            </w:r>
            <w:r w:rsidR="003638AD" w:rsidRPr="00E86287">
              <w:t>foreign subsidiary</w:t>
            </w:r>
            <w:r w:rsidRPr="00E86287">
              <w:t xml:space="preserve"> in its payments times report</w:t>
            </w:r>
            <w:r w:rsidR="00AC4D51">
              <w:t xml:space="preserve">, </w:t>
            </w:r>
            <w:r w:rsidR="00AC4D51" w:rsidRPr="00E86287">
              <w:t>however</w:t>
            </w:r>
            <w:r w:rsidR="00DD4623" w:rsidRPr="00E86287">
              <w:t xml:space="preserve"> only </w:t>
            </w:r>
            <w:r w:rsidR="00AB36ED" w:rsidRPr="00E86287">
              <w:t xml:space="preserve">the foreign subsidiary’s </w:t>
            </w:r>
            <w:r w:rsidR="00F33202" w:rsidRPr="00E86287">
              <w:t xml:space="preserve">payments </w:t>
            </w:r>
            <w:r w:rsidR="00AB36ED" w:rsidRPr="00E86287">
              <w:t xml:space="preserve">that are </w:t>
            </w:r>
            <w:r w:rsidR="00BF2B65" w:rsidRPr="00E86287">
              <w:t xml:space="preserve">made to Australian </w:t>
            </w:r>
            <w:r w:rsidR="00AC4D51" w:rsidRPr="00E86287">
              <w:t>businesses</w:t>
            </w:r>
            <w:r w:rsidR="00DD4623" w:rsidRPr="00E86287">
              <w:t xml:space="preserve"> with an ABN </w:t>
            </w:r>
            <w:r w:rsidR="00E86287" w:rsidRPr="00E86287">
              <w:t>are</w:t>
            </w:r>
            <w:r w:rsidR="00DD4623" w:rsidRPr="00E86287">
              <w:t xml:space="preserve"> included </w:t>
            </w:r>
            <w:r w:rsidR="007D1E1C" w:rsidRPr="00E86287">
              <w:t>in the preparation of datasets</w:t>
            </w:r>
            <w:r w:rsidR="008C0C41" w:rsidRPr="00E86287">
              <w:t xml:space="preserve"> required for a payment times report</w:t>
            </w:r>
            <w:r w:rsidR="007D1E1C" w:rsidRPr="00E86287">
              <w:t>,</w:t>
            </w:r>
            <w:r w:rsidR="00867A4B" w:rsidRPr="00E86287">
              <w:t xml:space="preserve"> see </w:t>
            </w:r>
            <w:r w:rsidR="00867A4B" w:rsidRPr="00C416E6">
              <w:rPr>
                <w:b/>
                <w:bCs/>
                <w:color w:val="00827F" w:themeColor="accent2"/>
              </w:rPr>
              <w:t>Excluded payment – Entity without an ABN</w:t>
            </w:r>
            <w:r w:rsidR="00867A4B" w:rsidRPr="00E86287">
              <w:t xml:space="preserve"> for more details</w:t>
            </w:r>
            <w:r w:rsidR="005B38B5" w:rsidRPr="00E86287">
              <w:t>.</w:t>
            </w:r>
          </w:p>
          <w:p w14:paraId="33BCB384" w14:textId="05431B42" w:rsidR="00B306CF" w:rsidRPr="008950C5" w:rsidRDefault="00B306CF" w:rsidP="007D5745">
            <w:pPr>
              <w:pStyle w:val="BoxBullet"/>
              <w:numPr>
                <w:ilvl w:val="0"/>
                <w:numId w:val="0"/>
              </w:numPr>
            </w:pPr>
          </w:p>
        </w:tc>
      </w:tr>
    </w:tbl>
    <w:p w14:paraId="5C6D13A1" w14:textId="77777777" w:rsidR="000E0490" w:rsidRDefault="000E0490" w:rsidP="000E0490">
      <w:pPr>
        <w:pStyle w:val="Heading3"/>
      </w:pPr>
      <w:bookmarkStart w:id="98" w:name="_Toc180688143"/>
      <w:bookmarkStart w:id="99" w:name="_Toc184822222"/>
      <w:r>
        <w:t>Acquisitions and divestments</w:t>
      </w:r>
      <w:bookmarkEnd w:id="98"/>
      <w:bookmarkEnd w:id="99"/>
    </w:p>
    <w:p w14:paraId="5F96DDE1" w14:textId="77777777" w:rsidR="000E0490" w:rsidRPr="00EA0A6E" w:rsidRDefault="000E0490" w:rsidP="00782738">
      <w:pPr>
        <w:pStyle w:val="OutlineNumbered1"/>
        <w:ind w:left="567" w:hanging="567"/>
      </w:pPr>
      <w:r>
        <w:t>A r</w:t>
      </w:r>
      <w:r w:rsidRPr="00EA0A6E">
        <w:t>eporting entit</w:t>
      </w:r>
      <w:r>
        <w:t>y</w:t>
      </w:r>
      <w:r w:rsidRPr="00EA0A6E">
        <w:t xml:space="preserve"> must report on payments made by entities it controlled at the end of the reporting period.</w:t>
      </w:r>
    </w:p>
    <w:p w14:paraId="39CAEB23" w14:textId="77777777" w:rsidR="000E0490" w:rsidRPr="00B066D4" w:rsidRDefault="000E0490" w:rsidP="000E0490">
      <w:pPr>
        <w:pStyle w:val="Heading4"/>
      </w:pPr>
      <w:r w:rsidRPr="00B066D4">
        <w:t>Acquisitions and Obtaining Control</w:t>
      </w:r>
    </w:p>
    <w:p w14:paraId="38AB74DB" w14:textId="77777777" w:rsidR="000E0490" w:rsidRPr="00EA0A6E" w:rsidRDefault="000E0490" w:rsidP="00782738">
      <w:pPr>
        <w:pStyle w:val="OutlineNumbered1"/>
        <w:ind w:left="567" w:hanging="567"/>
      </w:pPr>
      <w:r w:rsidRPr="00EA0A6E">
        <w:t xml:space="preserve">If a reporting entity acquires </w:t>
      </w:r>
      <w:r>
        <w:t xml:space="preserve">control of an </w:t>
      </w:r>
      <w:r w:rsidRPr="00EA0A6E">
        <w:t>entity during the reporting period, it must include all payments made by the acquired entity in the reporting period.</w:t>
      </w:r>
    </w:p>
    <w:p w14:paraId="24AED8EA" w14:textId="323EA4EE" w:rsidR="000E0490" w:rsidRDefault="000E0490" w:rsidP="00782738">
      <w:pPr>
        <w:pStyle w:val="OutlineNumbered1"/>
        <w:ind w:left="567" w:hanging="567"/>
      </w:pPr>
      <w:r w:rsidRPr="00EA0A6E">
        <w:t>If the entity cannot access payment data for transactions before the acquisition, it can exclude those payments, provided it makes the necessary disclosures. For more information</w:t>
      </w:r>
      <w:r>
        <w:t xml:space="preserve">, see </w:t>
      </w:r>
      <w:r w:rsidRPr="00C416E6">
        <w:rPr>
          <w:b/>
          <w:bCs/>
          <w:color w:val="00827F" w:themeColor="accent2"/>
        </w:rPr>
        <w:fldChar w:fldCharType="begin"/>
      </w:r>
      <w:r w:rsidRPr="00C416E6">
        <w:rPr>
          <w:b/>
          <w:bCs/>
          <w:color w:val="00827F" w:themeColor="accent2"/>
        </w:rPr>
        <w:instrText xml:space="preserve"> REF _Ref179827150 \h  \* MERGEFORMAT </w:instrText>
      </w:r>
      <w:r w:rsidRPr="00C416E6">
        <w:rPr>
          <w:b/>
          <w:bCs/>
          <w:color w:val="00827F" w:themeColor="accent2"/>
        </w:rPr>
      </w:r>
      <w:r w:rsidRPr="00C416E6">
        <w:rPr>
          <w:b/>
          <w:bCs/>
          <w:color w:val="00827F" w:themeColor="accent2"/>
        </w:rPr>
        <w:fldChar w:fldCharType="separate"/>
      </w:r>
      <w:r w:rsidRPr="00C416E6">
        <w:rPr>
          <w:b/>
          <w:bCs/>
          <w:color w:val="00827F" w:themeColor="accent2"/>
        </w:rPr>
        <w:t>Controlled Entity Data Not Accessible</w:t>
      </w:r>
      <w:r w:rsidRPr="00C416E6">
        <w:rPr>
          <w:b/>
          <w:bCs/>
          <w:color w:val="00827F" w:themeColor="accent2"/>
        </w:rPr>
        <w:fldChar w:fldCharType="end"/>
      </w:r>
      <w:r w:rsidRPr="003C2458">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782738" w14:paraId="2D7FF34D" w14:textId="77777777">
        <w:tc>
          <w:tcPr>
            <w:tcW w:w="5000" w:type="pct"/>
            <w:shd w:val="clear" w:color="auto" w:fill="EBF1F7"/>
          </w:tcPr>
          <w:p w14:paraId="3E370A5C" w14:textId="33DA8261" w:rsidR="00782738" w:rsidRPr="000553FE" w:rsidRDefault="007F1C6D">
            <w:pPr>
              <w:pStyle w:val="BoxHeading"/>
              <w:rPr>
                <w:b w:val="0"/>
              </w:rPr>
            </w:pPr>
            <w:r>
              <w:lastRenderedPageBreak/>
              <w:t>Example</w:t>
            </w:r>
            <w:r w:rsidR="00031282">
              <w:t xml:space="preserve"> 20</w:t>
            </w:r>
          </w:p>
          <w:p w14:paraId="60953872" w14:textId="41A6CF23" w:rsidR="00782738" w:rsidRPr="00247BAC" w:rsidRDefault="007F1C6D">
            <w:pPr>
              <w:pStyle w:val="BoxHeading2-Blue"/>
            </w:pPr>
            <w:r>
              <w:rPr>
                <w:rStyle w:val="Strong"/>
              </w:rPr>
              <w:t>Acquisition of a controlled entity</w:t>
            </w:r>
          </w:p>
          <w:p w14:paraId="72458663" w14:textId="77777777" w:rsidR="003135CB" w:rsidRDefault="007F1C6D" w:rsidP="00354F22">
            <w:pPr>
              <w:pStyle w:val="BoxBullet"/>
              <w:numPr>
                <w:ilvl w:val="0"/>
                <w:numId w:val="0"/>
              </w:numPr>
              <w:ind w:left="1" w:hanging="1"/>
              <w:rPr>
                <w:u w:val="single"/>
              </w:rPr>
            </w:pPr>
            <w:r w:rsidRPr="007F1C6D">
              <w:rPr>
                <w:u w:val="single"/>
              </w:rPr>
              <w:t xml:space="preserve">Scenario 1: </w:t>
            </w:r>
          </w:p>
          <w:p w14:paraId="68F4A6BC" w14:textId="1CA147A0" w:rsidR="007F1C6D" w:rsidRPr="00354F22" w:rsidRDefault="007F1C6D" w:rsidP="00354F22">
            <w:pPr>
              <w:pStyle w:val="BoxBullet"/>
              <w:numPr>
                <w:ilvl w:val="0"/>
                <w:numId w:val="0"/>
              </w:numPr>
              <w:ind w:left="1" w:hanging="1"/>
              <w:rPr>
                <w:u w:val="single"/>
              </w:rPr>
            </w:pPr>
            <w:r>
              <w:t xml:space="preserve">A reporting entity with a reporting period ending 30 June, acquires 100% of another company on 1 June. </w:t>
            </w:r>
          </w:p>
          <w:p w14:paraId="276A46FC" w14:textId="66DA8A33" w:rsidR="007F1C6D" w:rsidRDefault="007F1C6D" w:rsidP="007F1C6D">
            <w:pPr>
              <w:pStyle w:val="BoxBullet"/>
            </w:pPr>
            <w:r>
              <w:t>The reporting entity must report on payments by the acquired company from 1 January to 30 June in its 30 June payment times report.</w:t>
            </w:r>
          </w:p>
          <w:p w14:paraId="3228616B" w14:textId="77777777" w:rsidR="003135CB" w:rsidRDefault="007F1C6D" w:rsidP="00354F22">
            <w:pPr>
              <w:pStyle w:val="BoxBullet"/>
              <w:numPr>
                <w:ilvl w:val="0"/>
                <w:numId w:val="0"/>
              </w:numPr>
              <w:rPr>
                <w:u w:val="single"/>
              </w:rPr>
            </w:pPr>
            <w:r w:rsidRPr="007F1C6D">
              <w:rPr>
                <w:u w:val="single"/>
              </w:rPr>
              <w:t xml:space="preserve">Scenario 2: </w:t>
            </w:r>
          </w:p>
          <w:p w14:paraId="19EE43FD" w14:textId="2AFC752F" w:rsidR="007F1C6D" w:rsidRPr="00354F22" w:rsidRDefault="007F1C6D" w:rsidP="00354F22">
            <w:pPr>
              <w:pStyle w:val="BoxBullet"/>
              <w:numPr>
                <w:ilvl w:val="0"/>
                <w:numId w:val="0"/>
              </w:numPr>
              <w:rPr>
                <w:u w:val="single"/>
              </w:rPr>
            </w:pPr>
            <w:r>
              <w:t xml:space="preserve">The same circumstances as Scenario 1 but the reporting entity cannot access information about payments by the acquired company that occurred before 1 June. </w:t>
            </w:r>
          </w:p>
          <w:p w14:paraId="33320B76" w14:textId="7C8B8151" w:rsidR="007F1C6D" w:rsidRDefault="007F1C6D" w:rsidP="007F1C6D">
            <w:pPr>
              <w:pStyle w:val="BoxBullet"/>
            </w:pPr>
            <w:r>
              <w:t xml:space="preserve">The reporting entity relies on the exclusion in section 15 of the </w:t>
            </w:r>
            <w:r w:rsidDel="00CB4951">
              <w:t xml:space="preserve">Rules </w:t>
            </w:r>
            <w:r>
              <w:t xml:space="preserve">and makes disclosures about the exclusions in its report. </w:t>
            </w:r>
          </w:p>
          <w:p w14:paraId="092022CC" w14:textId="77777777" w:rsidR="003135CB" w:rsidRDefault="007F1C6D" w:rsidP="00354F22">
            <w:pPr>
              <w:pStyle w:val="BoxBullet"/>
              <w:numPr>
                <w:ilvl w:val="0"/>
                <w:numId w:val="0"/>
              </w:numPr>
              <w:rPr>
                <w:u w:val="single"/>
              </w:rPr>
            </w:pPr>
            <w:r w:rsidRPr="007F1C6D">
              <w:rPr>
                <w:u w:val="single"/>
              </w:rPr>
              <w:t xml:space="preserve">Scenario 3: </w:t>
            </w:r>
          </w:p>
          <w:p w14:paraId="5C30419F" w14:textId="3D0BCF65" w:rsidR="007F1C6D" w:rsidRPr="00354F22" w:rsidRDefault="007F1C6D" w:rsidP="00354F22">
            <w:pPr>
              <w:pStyle w:val="BoxBullet"/>
              <w:numPr>
                <w:ilvl w:val="0"/>
                <w:numId w:val="0"/>
              </w:numPr>
              <w:rPr>
                <w:u w:val="single"/>
              </w:rPr>
            </w:pPr>
            <w:r>
              <w:t xml:space="preserve">A reporting entity with a reporting period ending 30 June increases its ownership of another company from 20% to 60% on 1 June. After the increase, the reporting entity assesses it controls the company. </w:t>
            </w:r>
          </w:p>
          <w:p w14:paraId="6C395F52" w14:textId="77777777" w:rsidR="00782738" w:rsidRDefault="007F1C6D" w:rsidP="007F1C6D">
            <w:pPr>
              <w:pStyle w:val="BoxBullet"/>
            </w:pPr>
            <w:r>
              <w:t>The reporting entity must report on payments by the company from 1 January to 30 June in its 30 June payment times report.</w:t>
            </w:r>
          </w:p>
          <w:p w14:paraId="6FD51BCE" w14:textId="77777777" w:rsidR="003135CB" w:rsidRDefault="00354F22" w:rsidP="008062A8">
            <w:pPr>
              <w:pStyle w:val="BoxBullet"/>
              <w:numPr>
                <w:ilvl w:val="0"/>
                <w:numId w:val="0"/>
              </w:numPr>
            </w:pPr>
            <w:r w:rsidRPr="00354F22">
              <w:rPr>
                <w:u w:val="single"/>
              </w:rPr>
              <w:t xml:space="preserve">Scenario </w:t>
            </w:r>
            <w:r>
              <w:rPr>
                <w:u w:val="single"/>
              </w:rPr>
              <w:t>4</w:t>
            </w:r>
            <w:r>
              <w:t xml:space="preserve">: </w:t>
            </w:r>
          </w:p>
          <w:p w14:paraId="21AED74E" w14:textId="3380D0C0" w:rsidR="008062A8" w:rsidRDefault="008062A8" w:rsidP="008062A8">
            <w:pPr>
              <w:pStyle w:val="BoxBullet"/>
              <w:numPr>
                <w:ilvl w:val="0"/>
                <w:numId w:val="0"/>
              </w:numPr>
            </w:pPr>
            <w:r>
              <w:t xml:space="preserve">A reporting entity with a reporting period ending 30 June, acquires 100% of another company on 1 </w:t>
            </w:r>
            <w:r w:rsidR="008E43CB">
              <w:t>August</w:t>
            </w:r>
            <w:r>
              <w:t xml:space="preserve">. </w:t>
            </w:r>
            <w:r w:rsidR="00796E2E">
              <w:t xml:space="preserve">On </w:t>
            </w:r>
            <w:r w:rsidR="00C9173D">
              <w:t xml:space="preserve">30 </w:t>
            </w:r>
            <w:r w:rsidR="00796E2E">
              <w:t>September, t</w:t>
            </w:r>
            <w:r w:rsidR="00C64911">
              <w:t xml:space="preserve">he reporting entity gives its payment times report </w:t>
            </w:r>
            <w:r w:rsidR="00796E2E">
              <w:t>for the period ended 30 June</w:t>
            </w:r>
            <w:r w:rsidR="00C9173D">
              <w:t>.</w:t>
            </w:r>
          </w:p>
          <w:p w14:paraId="07B4D869" w14:textId="77777777" w:rsidR="00D91CC2" w:rsidRDefault="00796E2E" w:rsidP="000F4886">
            <w:pPr>
              <w:pStyle w:val="BoxBullet"/>
            </w:pPr>
            <w:r>
              <w:t>Despite controll</w:t>
            </w:r>
            <w:r w:rsidR="00CD44F2">
              <w:t xml:space="preserve">ing the </w:t>
            </w:r>
            <w:r w:rsidR="009A3552">
              <w:t>acquired company at the time of giving its report</w:t>
            </w:r>
            <w:r w:rsidR="00CB1122">
              <w:t>, it does not include</w:t>
            </w:r>
            <w:r w:rsidR="00D15FC2">
              <w:t xml:space="preserve"> that company’s </w:t>
            </w:r>
            <w:r w:rsidR="000F4886">
              <w:t>payments</w:t>
            </w:r>
            <w:r w:rsidR="008062A8">
              <w:t xml:space="preserve"> on the </w:t>
            </w:r>
            <w:r w:rsidR="000F4886">
              <w:t>report.</w:t>
            </w:r>
          </w:p>
          <w:p w14:paraId="5D735B3C" w14:textId="1253E9AA" w:rsidR="00782738" w:rsidRPr="008950C5" w:rsidRDefault="00D91CC2" w:rsidP="000F4886">
            <w:pPr>
              <w:pStyle w:val="BoxBullet"/>
            </w:pPr>
            <w:r>
              <w:t xml:space="preserve">However, </w:t>
            </w:r>
            <w:r w:rsidR="00E239A2">
              <w:t xml:space="preserve">the </w:t>
            </w:r>
            <w:r w:rsidR="00BA1076">
              <w:t>reporting entity should ensure</w:t>
            </w:r>
            <w:r w:rsidR="0091633C">
              <w:t xml:space="preserve"> that</w:t>
            </w:r>
            <w:r w:rsidR="00BA1076">
              <w:t xml:space="preserve"> its </w:t>
            </w:r>
            <w:r w:rsidR="00853653" w:rsidRPr="00C416E6">
              <w:rPr>
                <w:b/>
                <w:bCs/>
                <w:color w:val="00827F" w:themeColor="accent2"/>
              </w:rPr>
              <w:fldChar w:fldCharType="begin"/>
            </w:r>
            <w:r w:rsidR="00853653" w:rsidRPr="00C416E6">
              <w:rPr>
                <w:b/>
                <w:bCs/>
                <w:color w:val="00827F" w:themeColor="accent2"/>
              </w:rPr>
              <w:instrText xml:space="preserve"> REF _Ref179827385 \h  \* MERGEFORMAT </w:instrText>
            </w:r>
            <w:r w:rsidR="00853653" w:rsidRPr="00C416E6">
              <w:rPr>
                <w:b/>
                <w:bCs/>
                <w:color w:val="00827F" w:themeColor="accent2"/>
              </w:rPr>
            </w:r>
            <w:r w:rsidR="00853653" w:rsidRPr="00C416E6">
              <w:rPr>
                <w:b/>
                <w:bCs/>
                <w:color w:val="00827F" w:themeColor="accent2"/>
              </w:rPr>
              <w:fldChar w:fldCharType="separate"/>
            </w:r>
            <w:r w:rsidR="00853653" w:rsidRPr="00C416E6">
              <w:rPr>
                <w:b/>
                <w:bCs/>
                <w:color w:val="00827F" w:themeColor="accent2"/>
              </w:rPr>
              <w:t>entity information</w:t>
            </w:r>
            <w:r w:rsidR="00853653" w:rsidRPr="00C416E6">
              <w:rPr>
                <w:b/>
                <w:bCs/>
                <w:color w:val="00827F" w:themeColor="accent2"/>
              </w:rPr>
              <w:fldChar w:fldCharType="end"/>
            </w:r>
            <w:r w:rsidR="00694586">
              <w:rPr>
                <w:color w:val="00827F" w:themeColor="accent2"/>
              </w:rPr>
              <w:t xml:space="preserve">, </w:t>
            </w:r>
            <w:r w:rsidR="00694586" w:rsidRPr="00777F37">
              <w:t>including</w:t>
            </w:r>
            <w:r w:rsidR="00D15FC2" w:rsidRPr="00777F37">
              <w:t xml:space="preserve"> </w:t>
            </w:r>
            <w:r w:rsidR="002E7924" w:rsidRPr="00777F37">
              <w:t>details of all controlled entities,</w:t>
            </w:r>
            <w:r w:rsidR="002E7924">
              <w:t xml:space="preserve"> </w:t>
            </w:r>
            <w:r w:rsidR="0091633C">
              <w:t>at the time of giving the report is accurate</w:t>
            </w:r>
            <w:r w:rsidR="00EC1E22">
              <w:t>,</w:t>
            </w:r>
            <w:r w:rsidR="0091633C">
              <w:t xml:space="preserve"> </w:t>
            </w:r>
            <w:r w:rsidR="00474E08">
              <w:t>up to</w:t>
            </w:r>
            <w:r w:rsidR="0091633C">
              <w:t xml:space="preserve"> date and reflects</w:t>
            </w:r>
            <w:r w:rsidR="00E410A8">
              <w:t xml:space="preserve"> that</w:t>
            </w:r>
            <w:r w:rsidR="0091633C">
              <w:t xml:space="preserve"> the</w:t>
            </w:r>
            <w:r w:rsidR="00E410A8">
              <w:t xml:space="preserve"> acquired</w:t>
            </w:r>
            <w:r w:rsidR="0091633C">
              <w:t xml:space="preserve"> company </w:t>
            </w:r>
            <w:r w:rsidR="00E410A8">
              <w:t>is</w:t>
            </w:r>
            <w:r w:rsidR="0091633C">
              <w:t xml:space="preserve"> a controlled entity.</w:t>
            </w:r>
          </w:p>
        </w:tc>
      </w:tr>
    </w:tbl>
    <w:p w14:paraId="7B900FB3" w14:textId="2021AF2D" w:rsidR="000E0490" w:rsidRPr="000B035A" w:rsidRDefault="000E0490" w:rsidP="000E0490">
      <w:pPr>
        <w:pStyle w:val="Heading4"/>
        <w:rPr>
          <w:sz w:val="27"/>
          <w:szCs w:val="27"/>
        </w:rPr>
      </w:pPr>
      <w:r w:rsidRPr="000B035A">
        <w:rPr>
          <w:sz w:val="27"/>
          <w:szCs w:val="27"/>
        </w:rPr>
        <w:t xml:space="preserve">Divestments and </w:t>
      </w:r>
      <w:r>
        <w:rPr>
          <w:sz w:val="27"/>
          <w:szCs w:val="27"/>
        </w:rPr>
        <w:t>l</w:t>
      </w:r>
      <w:r w:rsidRPr="000B035A">
        <w:rPr>
          <w:sz w:val="27"/>
          <w:szCs w:val="27"/>
        </w:rPr>
        <w:t xml:space="preserve">oss of </w:t>
      </w:r>
      <w:r>
        <w:rPr>
          <w:sz w:val="27"/>
          <w:szCs w:val="27"/>
        </w:rPr>
        <w:t>c</w:t>
      </w:r>
      <w:r w:rsidRPr="000B035A">
        <w:rPr>
          <w:sz w:val="27"/>
          <w:szCs w:val="27"/>
        </w:rPr>
        <w:t>ontrol</w:t>
      </w:r>
    </w:p>
    <w:p w14:paraId="60B73C90" w14:textId="33668772" w:rsidR="000E0490" w:rsidRDefault="000E0490" w:rsidP="00782738">
      <w:pPr>
        <w:pStyle w:val="OutlineNumbered1"/>
        <w:ind w:left="567" w:hanging="567"/>
      </w:pPr>
      <w:r w:rsidRPr="00EA0A6E">
        <w:t xml:space="preserve">If a reporting entity </w:t>
      </w:r>
      <w:r>
        <w:t>ceases</w:t>
      </w:r>
      <w:r w:rsidR="00BF7E70">
        <w:t xml:space="preserve"> to</w:t>
      </w:r>
      <w:r>
        <w:t xml:space="preserve"> </w:t>
      </w:r>
      <w:r w:rsidRPr="00EA0A6E">
        <w:t>control another entity during the reporting period, it must exclude payments made by that entity in the reporting period</w:t>
      </w:r>
      <w:r>
        <w:t xml:space="preserve"> from its report.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782738" w14:paraId="0BE97525" w14:textId="77777777">
        <w:tc>
          <w:tcPr>
            <w:tcW w:w="5000" w:type="pct"/>
            <w:shd w:val="clear" w:color="auto" w:fill="EBF1F7"/>
          </w:tcPr>
          <w:p w14:paraId="7F8812CF" w14:textId="7EBC92E5" w:rsidR="00782738" w:rsidRPr="000553FE" w:rsidRDefault="00E258DC">
            <w:pPr>
              <w:pStyle w:val="BoxHeading"/>
              <w:rPr>
                <w:b w:val="0"/>
              </w:rPr>
            </w:pPr>
            <w:r>
              <w:lastRenderedPageBreak/>
              <w:t>Example</w:t>
            </w:r>
            <w:r w:rsidR="00031282">
              <w:t xml:space="preserve"> 21</w:t>
            </w:r>
          </w:p>
          <w:p w14:paraId="22468A62" w14:textId="5F600C9B" w:rsidR="00782738" w:rsidRPr="00247BAC" w:rsidRDefault="00E258DC">
            <w:pPr>
              <w:pStyle w:val="BoxHeading2-Blue"/>
            </w:pPr>
            <w:r>
              <w:rPr>
                <w:rStyle w:val="Strong"/>
              </w:rPr>
              <w:t>Divestment of a controlled entity</w:t>
            </w:r>
          </w:p>
          <w:p w14:paraId="743CA31E" w14:textId="77777777" w:rsidR="00410FD2" w:rsidRPr="00410FD2" w:rsidRDefault="00E258DC" w:rsidP="00410FD2">
            <w:pPr>
              <w:pStyle w:val="BoxBullet"/>
              <w:numPr>
                <w:ilvl w:val="0"/>
                <w:numId w:val="0"/>
              </w:numPr>
              <w:ind w:left="283" w:hanging="283"/>
              <w:rPr>
                <w:u w:val="single"/>
              </w:rPr>
            </w:pPr>
            <w:r w:rsidRPr="00410FD2">
              <w:rPr>
                <w:u w:val="single"/>
              </w:rPr>
              <w:t xml:space="preserve">Scenario 1: </w:t>
            </w:r>
          </w:p>
          <w:p w14:paraId="72213A51" w14:textId="401A3D84" w:rsidR="00410FD2" w:rsidRDefault="00E258DC" w:rsidP="00764179">
            <w:pPr>
              <w:pStyle w:val="BoxBullet"/>
              <w:numPr>
                <w:ilvl w:val="0"/>
                <w:numId w:val="0"/>
              </w:numPr>
              <w:ind w:left="1" w:hanging="1"/>
            </w:pPr>
            <w:r>
              <w:t xml:space="preserve">A reporting entity with a reporting period ending 30 June sells a </w:t>
            </w:r>
            <w:r w:rsidR="003E2400">
              <w:t>controlled entity</w:t>
            </w:r>
            <w:r>
              <w:t xml:space="preserve"> on 1 March. </w:t>
            </w:r>
          </w:p>
          <w:p w14:paraId="63007F06" w14:textId="49B6C5B2" w:rsidR="00E258DC" w:rsidRDefault="00E258DC" w:rsidP="00E258DC">
            <w:pPr>
              <w:pStyle w:val="BoxBullet"/>
            </w:pPr>
            <w:r>
              <w:t xml:space="preserve">The reporting entity excludes all payments by the </w:t>
            </w:r>
            <w:r w:rsidR="0008548D">
              <w:t xml:space="preserve">formerly controlled entity </w:t>
            </w:r>
            <w:r>
              <w:t>from its 30 June payment times report.</w:t>
            </w:r>
          </w:p>
          <w:p w14:paraId="49F9BC69" w14:textId="77777777" w:rsidR="00410FD2" w:rsidRPr="00410FD2" w:rsidRDefault="00E258DC" w:rsidP="00410FD2">
            <w:pPr>
              <w:pStyle w:val="BoxBullet"/>
              <w:numPr>
                <w:ilvl w:val="0"/>
                <w:numId w:val="0"/>
              </w:numPr>
              <w:rPr>
                <w:u w:val="single"/>
              </w:rPr>
            </w:pPr>
            <w:r w:rsidRPr="00410FD2">
              <w:rPr>
                <w:u w:val="single"/>
              </w:rPr>
              <w:t xml:space="preserve">Scenario 2: </w:t>
            </w:r>
          </w:p>
          <w:p w14:paraId="0939A39D" w14:textId="7E53014C" w:rsidR="00410FD2" w:rsidRDefault="00E258DC" w:rsidP="00764179">
            <w:pPr>
              <w:pStyle w:val="BoxBullet"/>
              <w:numPr>
                <w:ilvl w:val="0"/>
                <w:numId w:val="0"/>
              </w:numPr>
              <w:ind w:left="1" w:hanging="1"/>
            </w:pPr>
            <w:r>
              <w:t xml:space="preserve">A reporting entity with a reporting period ending 30 June decreases its ownership of a </w:t>
            </w:r>
            <w:r w:rsidR="003E2400">
              <w:t xml:space="preserve">controlled entity </w:t>
            </w:r>
            <w:r>
              <w:t>from 95% to 25% on 1 April. After the decrease, the reporting entity ceased control</w:t>
            </w:r>
            <w:r w:rsidR="00E736F1">
              <w:t>ling</w:t>
            </w:r>
            <w:r>
              <w:t xml:space="preserve"> </w:t>
            </w:r>
            <w:r w:rsidR="00CB1D04">
              <w:t>that entity</w:t>
            </w:r>
            <w:r>
              <w:t xml:space="preserve">. </w:t>
            </w:r>
          </w:p>
          <w:p w14:paraId="26ABC995" w14:textId="5916F140" w:rsidR="00782738" w:rsidRDefault="00E258DC" w:rsidP="00E258DC">
            <w:pPr>
              <w:pStyle w:val="BoxBullet"/>
            </w:pPr>
            <w:r>
              <w:t xml:space="preserve">The reporting entity excludes all payments by the </w:t>
            </w:r>
            <w:r w:rsidR="0008548D">
              <w:t xml:space="preserve">formerly controlled entity </w:t>
            </w:r>
            <w:r>
              <w:t>from its 30</w:t>
            </w:r>
            <w:r w:rsidR="00EC3999">
              <w:t> </w:t>
            </w:r>
            <w:r>
              <w:t>June payment times report.</w:t>
            </w:r>
          </w:p>
          <w:p w14:paraId="2F147BDE" w14:textId="3F22954A" w:rsidR="003E07BA" w:rsidRPr="00410FD2" w:rsidRDefault="003E07BA" w:rsidP="003E07BA">
            <w:pPr>
              <w:pStyle w:val="BoxBullet"/>
              <w:numPr>
                <w:ilvl w:val="0"/>
                <w:numId w:val="0"/>
              </w:numPr>
              <w:rPr>
                <w:u w:val="single"/>
              </w:rPr>
            </w:pPr>
            <w:r w:rsidRPr="00410FD2">
              <w:rPr>
                <w:u w:val="single"/>
              </w:rPr>
              <w:t xml:space="preserve">Scenario </w:t>
            </w:r>
            <w:r>
              <w:rPr>
                <w:u w:val="single"/>
              </w:rPr>
              <w:t>3</w:t>
            </w:r>
            <w:r w:rsidRPr="00410FD2">
              <w:rPr>
                <w:u w:val="single"/>
              </w:rPr>
              <w:t xml:space="preserve">: </w:t>
            </w:r>
          </w:p>
          <w:p w14:paraId="5F04237C" w14:textId="52F1CB8E" w:rsidR="00683B0D" w:rsidRDefault="00683B0D" w:rsidP="00683B0D">
            <w:pPr>
              <w:pStyle w:val="BoxBullet"/>
              <w:numPr>
                <w:ilvl w:val="0"/>
                <w:numId w:val="0"/>
              </w:numPr>
            </w:pPr>
            <w:r>
              <w:t xml:space="preserve">A reporting entity with a reporting period ending 30 June, </w:t>
            </w:r>
            <w:r w:rsidR="00823D4A">
              <w:t xml:space="preserve">sells a </w:t>
            </w:r>
            <w:r w:rsidR="00CB1D04">
              <w:t>controlled entity</w:t>
            </w:r>
            <w:r>
              <w:t xml:space="preserve"> on 1 August. </w:t>
            </w:r>
            <w:r w:rsidDel="00784A1C">
              <w:t>On 30 September, the reporting entity gives its payment times report for the period ended 30</w:t>
            </w:r>
            <w:r w:rsidR="00EC3999">
              <w:t> </w:t>
            </w:r>
            <w:r w:rsidDel="00784A1C">
              <w:t>June.</w:t>
            </w:r>
          </w:p>
          <w:p w14:paraId="622A936E" w14:textId="77777777" w:rsidR="00754C9A" w:rsidRDefault="00050C17">
            <w:pPr>
              <w:pStyle w:val="BoxBullet"/>
            </w:pPr>
            <w:r>
              <w:t xml:space="preserve">The reporting entity includes all payments by the </w:t>
            </w:r>
            <w:r w:rsidR="0008548D">
              <w:t>formerly controlled entity</w:t>
            </w:r>
            <w:r>
              <w:t xml:space="preserve"> </w:t>
            </w:r>
            <w:r w:rsidR="00FC4495">
              <w:t>in</w:t>
            </w:r>
            <w:r>
              <w:t xml:space="preserve"> its 30 June payment times report.</w:t>
            </w:r>
            <w:r w:rsidR="00777F37">
              <w:t xml:space="preserve"> </w:t>
            </w:r>
          </w:p>
          <w:p w14:paraId="4A828307" w14:textId="281FAC88" w:rsidR="00782738" w:rsidRPr="008950C5" w:rsidRDefault="000E5D5D">
            <w:pPr>
              <w:pStyle w:val="BoxBullet"/>
            </w:pPr>
            <w:r w:rsidRPr="000E5D5D">
              <w:t xml:space="preserve">However, the reporting entity should ensure that its </w:t>
            </w:r>
            <w:r w:rsidR="00853653" w:rsidRPr="00C416E6">
              <w:rPr>
                <w:b/>
                <w:bCs/>
                <w:color w:val="00827F" w:themeColor="accent2"/>
              </w:rPr>
              <w:fldChar w:fldCharType="begin"/>
            </w:r>
            <w:r w:rsidR="00853653" w:rsidRPr="00C416E6">
              <w:rPr>
                <w:b/>
                <w:bCs/>
                <w:color w:val="00827F" w:themeColor="accent2"/>
              </w:rPr>
              <w:instrText xml:space="preserve"> REF _Ref179827385 \h  \* MERGEFORMAT </w:instrText>
            </w:r>
            <w:r w:rsidR="00853653" w:rsidRPr="00C416E6">
              <w:rPr>
                <w:b/>
                <w:bCs/>
                <w:color w:val="00827F" w:themeColor="accent2"/>
              </w:rPr>
            </w:r>
            <w:r w:rsidR="00853653" w:rsidRPr="00C416E6">
              <w:rPr>
                <w:b/>
                <w:bCs/>
                <w:color w:val="00827F" w:themeColor="accent2"/>
              </w:rPr>
              <w:fldChar w:fldCharType="separate"/>
            </w:r>
            <w:r w:rsidR="00853653" w:rsidRPr="00C416E6">
              <w:rPr>
                <w:b/>
                <w:bCs/>
                <w:color w:val="00827F" w:themeColor="accent2"/>
              </w:rPr>
              <w:t>entity information</w:t>
            </w:r>
            <w:r w:rsidR="00853653" w:rsidRPr="00C416E6">
              <w:rPr>
                <w:b/>
                <w:bCs/>
                <w:color w:val="00827F" w:themeColor="accent2"/>
              </w:rPr>
              <w:fldChar w:fldCharType="end"/>
            </w:r>
            <w:r w:rsidR="00C15E0C">
              <w:rPr>
                <w:bCs/>
              </w:rPr>
              <w:t>,</w:t>
            </w:r>
            <w:r>
              <w:rPr>
                <w:color w:val="00827F" w:themeColor="accent2"/>
              </w:rPr>
              <w:t xml:space="preserve"> </w:t>
            </w:r>
            <w:r w:rsidR="007F46B4" w:rsidRPr="00D01EA5">
              <w:t>including details of all controlled entities,</w:t>
            </w:r>
            <w:r w:rsidR="00EC1E22" w:rsidRPr="00D01EA5">
              <w:t xml:space="preserve"> </w:t>
            </w:r>
            <w:r w:rsidRPr="000E5D5D">
              <w:t>at the time of giving the report is accurate</w:t>
            </w:r>
            <w:r w:rsidR="007F46B4">
              <w:t xml:space="preserve">, </w:t>
            </w:r>
            <w:r w:rsidRPr="000E5D5D">
              <w:t xml:space="preserve">up to date and </w:t>
            </w:r>
            <w:r w:rsidR="007F46B4">
              <w:t>does</w:t>
            </w:r>
            <w:r w:rsidR="00694586">
              <w:t xml:space="preserve"> not include the formerly</w:t>
            </w:r>
            <w:r w:rsidRPr="000E5D5D">
              <w:t xml:space="preserve"> controlled entity.</w:t>
            </w:r>
          </w:p>
        </w:tc>
      </w:tr>
    </w:tbl>
    <w:p w14:paraId="6FA83B69" w14:textId="77777777" w:rsidR="000E0490" w:rsidRPr="000B035A" w:rsidRDefault="000E0490" w:rsidP="000E0490">
      <w:pPr>
        <w:pStyle w:val="Heading2"/>
      </w:pPr>
      <w:bookmarkStart w:id="100" w:name="_Ref179826768"/>
      <w:bookmarkStart w:id="101" w:name="_Toc180688144"/>
      <w:bookmarkStart w:id="102" w:name="_Toc184822223"/>
      <w:r w:rsidRPr="000B035A">
        <w:t>Step 2: Identify Reporting Requirements</w:t>
      </w:r>
      <w:bookmarkEnd w:id="100"/>
      <w:bookmarkEnd w:id="101"/>
      <w:bookmarkEnd w:id="102"/>
    </w:p>
    <w:p w14:paraId="23FC1937" w14:textId="6FD90CD1" w:rsidR="000E0490" w:rsidRPr="00EA0A6E" w:rsidRDefault="000E0490" w:rsidP="00782738">
      <w:pPr>
        <w:pStyle w:val="OutlineNumbered1"/>
        <w:ind w:left="567" w:hanging="567"/>
      </w:pPr>
      <w:r w:rsidRPr="00EA0A6E">
        <w:t xml:space="preserve">A reporting entity may need to modify its reporting based on specific circumstances. Entities can skip </w:t>
      </w:r>
      <w:r>
        <w:t xml:space="preserve">steps 3 </w:t>
      </w:r>
      <w:r w:rsidR="005B2334">
        <w:t>and</w:t>
      </w:r>
      <w:r>
        <w:t xml:space="preserve"> </w:t>
      </w:r>
      <w:r w:rsidR="000E587B">
        <w:t>4</w:t>
      </w:r>
      <w:r>
        <w:t xml:space="preserve"> and go </w:t>
      </w:r>
      <w:r w:rsidRPr="00EA0A6E">
        <w:t>to</w:t>
      </w:r>
      <w:r>
        <w:t xml:space="preserve"> </w:t>
      </w:r>
      <w:r w:rsidRPr="00C416E6">
        <w:rPr>
          <w:b/>
          <w:bCs/>
          <w:color w:val="00827F" w:themeColor="accent2"/>
        </w:rPr>
        <w:fldChar w:fldCharType="begin"/>
      </w:r>
      <w:r w:rsidRPr="00C416E6">
        <w:rPr>
          <w:b/>
          <w:bCs/>
          <w:color w:val="00827F" w:themeColor="accent2"/>
        </w:rPr>
        <w:instrText xml:space="preserve"> REF _Ref179827100 \h  \* MERGEFORMAT </w:instrText>
      </w:r>
      <w:r w:rsidRPr="00C416E6">
        <w:rPr>
          <w:b/>
          <w:bCs/>
          <w:color w:val="00827F" w:themeColor="accent2"/>
        </w:rPr>
      </w:r>
      <w:r w:rsidRPr="00C416E6">
        <w:rPr>
          <w:b/>
          <w:bCs/>
          <w:color w:val="00827F" w:themeColor="accent2"/>
        </w:rPr>
        <w:fldChar w:fldCharType="separate"/>
      </w:r>
      <w:r w:rsidRPr="00C416E6">
        <w:rPr>
          <w:b/>
          <w:bCs/>
          <w:color w:val="00827F" w:themeColor="accent2"/>
        </w:rPr>
        <w:t>Modified Reporting</w:t>
      </w:r>
      <w:r w:rsidRPr="00C416E6">
        <w:rPr>
          <w:b/>
          <w:bCs/>
          <w:color w:val="00827F" w:themeColor="accent2"/>
        </w:rPr>
        <w:fldChar w:fldCharType="end"/>
      </w:r>
      <w:r w:rsidRPr="00EA0A6E">
        <w:t xml:space="preserve"> if:</w:t>
      </w:r>
    </w:p>
    <w:p w14:paraId="19602661" w14:textId="77777777" w:rsidR="000E0490" w:rsidRPr="00EA0A6E" w:rsidRDefault="000E0490" w:rsidP="00782738">
      <w:pPr>
        <w:pStyle w:val="OutlineNumberedDot"/>
        <w:ind w:left="851" w:hanging="284"/>
      </w:pPr>
      <w:r w:rsidRPr="00EA0A6E">
        <w:t>the entity is in external administration</w:t>
      </w:r>
    </w:p>
    <w:p w14:paraId="18AD1116" w14:textId="5EB8E340" w:rsidR="000E0490" w:rsidRPr="00EA0A6E" w:rsidRDefault="000E0490" w:rsidP="00782738">
      <w:pPr>
        <w:pStyle w:val="OutlineNumberedDot"/>
        <w:ind w:left="851" w:hanging="284"/>
      </w:pPr>
      <w:r w:rsidRPr="00EA0A6E">
        <w:t xml:space="preserve">the entity </w:t>
      </w:r>
      <w:r w:rsidR="00351FA7">
        <w:t>and all its controlled entities</w:t>
      </w:r>
      <w:r w:rsidRPr="00EA0A6E">
        <w:t xml:space="preserve"> </w:t>
      </w:r>
      <w:r w:rsidR="009B3BDE">
        <w:t xml:space="preserve">have not made </w:t>
      </w:r>
      <w:r w:rsidRPr="00EA0A6E">
        <w:t>payments to Australian small business suppliers</w:t>
      </w:r>
      <w:r w:rsidR="004B4395">
        <w:t xml:space="preserve"> (per the</w:t>
      </w:r>
      <w:r w:rsidR="00434BAE">
        <w:t xml:space="preserve"> </w:t>
      </w:r>
      <w:r w:rsidR="00B56CA4" w:rsidRPr="00C416E6">
        <w:rPr>
          <w:color w:val="00827F" w:themeColor="accent2"/>
        </w:rPr>
        <w:fldChar w:fldCharType="begin"/>
      </w:r>
      <w:r w:rsidR="00B56CA4" w:rsidRPr="00C416E6">
        <w:rPr>
          <w:color w:val="00827F" w:themeColor="accent2"/>
        </w:rPr>
        <w:instrText xml:space="preserve"> REF _Ref184649365 \h </w:instrText>
      </w:r>
      <w:r w:rsidR="00C416E6" w:rsidRPr="00C416E6">
        <w:rPr>
          <w:color w:val="00827F" w:themeColor="accent2"/>
        </w:rPr>
        <w:instrText xml:space="preserve"> \* MERGEFORMAT </w:instrText>
      </w:r>
      <w:r w:rsidR="00B56CA4" w:rsidRPr="00C416E6">
        <w:rPr>
          <w:color w:val="00827F" w:themeColor="accent2"/>
        </w:rPr>
      </w:r>
      <w:r w:rsidR="00B56CA4" w:rsidRPr="00C416E6">
        <w:rPr>
          <w:color w:val="00827F" w:themeColor="accent2"/>
        </w:rPr>
        <w:fldChar w:fldCharType="separate"/>
      </w:r>
      <w:r w:rsidR="00B56CA4" w:rsidRPr="00C416E6">
        <w:rPr>
          <w:rStyle w:val="Strong"/>
          <w:color w:val="00827F" w:themeColor="accent2"/>
        </w:rPr>
        <w:t>SBI Tool</w:t>
      </w:r>
      <w:r w:rsidR="00B56CA4" w:rsidRPr="00C416E6">
        <w:rPr>
          <w:color w:val="00827F" w:themeColor="accent2"/>
        </w:rPr>
        <w:fldChar w:fldCharType="end"/>
      </w:r>
      <w:r w:rsidR="004B4395">
        <w:t>)</w:t>
      </w:r>
      <w:r w:rsidRPr="00EA0A6E">
        <w:t>, or</w:t>
      </w:r>
    </w:p>
    <w:p w14:paraId="42753529" w14:textId="6BF4F0E6" w:rsidR="000E0490" w:rsidRPr="00EA0A6E" w:rsidRDefault="000E0490" w:rsidP="00782738">
      <w:pPr>
        <w:pStyle w:val="OutlineNumberedDot"/>
        <w:ind w:left="851" w:hanging="284"/>
      </w:pPr>
      <w:r w:rsidRPr="00EA0A6E">
        <w:t xml:space="preserve">the entity is </w:t>
      </w:r>
      <w:r w:rsidR="00CE4E94">
        <w:t>nominated entity</w:t>
      </w:r>
      <w:r w:rsidR="00407352" w:rsidRPr="00EA0A6E">
        <w:t xml:space="preserve"> </w:t>
      </w:r>
      <w:r w:rsidRPr="00EA0A6E">
        <w:t>under a nominee reporting entity.</w:t>
      </w:r>
    </w:p>
    <w:p w14:paraId="25853A44" w14:textId="77777777" w:rsidR="000E0490" w:rsidRPr="00EA0A6E" w:rsidRDefault="000E0490" w:rsidP="00782738">
      <w:pPr>
        <w:pStyle w:val="OutlineNumbered1"/>
        <w:ind w:left="567" w:hanging="567"/>
      </w:pPr>
      <w:r w:rsidRPr="00EA0A6E">
        <w:t xml:space="preserve">A reporting entity must provide additional </w:t>
      </w:r>
      <w:r>
        <w:t xml:space="preserve">information in its report </w:t>
      </w:r>
      <w:r w:rsidRPr="00EA0A6E">
        <w:t>if:</w:t>
      </w:r>
    </w:p>
    <w:p w14:paraId="72B13176" w14:textId="465AB4C4" w:rsidR="000E0490" w:rsidRPr="00EA0A6E" w:rsidRDefault="000E0490" w:rsidP="00782738">
      <w:pPr>
        <w:pStyle w:val="OutlineNumberedDot"/>
        <w:ind w:left="851" w:hanging="284"/>
      </w:pPr>
      <w:r w:rsidRPr="00EA0A6E">
        <w:t xml:space="preserve">the entity prepares financial statements disclosing operating segments under </w:t>
      </w:r>
      <w:r w:rsidRPr="00EA0A6E">
        <w:rPr>
          <w:i/>
        </w:rPr>
        <w:t>AASB 8: Operating segments</w:t>
      </w:r>
      <w:r w:rsidRPr="00EA0A6E">
        <w:t xml:space="preserve"> or an equivalent standard</w:t>
      </w:r>
      <w:r w:rsidR="00AA78A8">
        <w:t xml:space="preserve"> of a foreign jurisdiction</w:t>
      </w:r>
      <w:r w:rsidRPr="00EA0A6E">
        <w:t>. In this case, some information is reported at both the consolidated and segment level.</w:t>
      </w:r>
    </w:p>
    <w:p w14:paraId="12C37B7A" w14:textId="6606215E" w:rsidR="000E0490" w:rsidRPr="000B035A" w:rsidRDefault="005C74C4" w:rsidP="00782738">
      <w:pPr>
        <w:pStyle w:val="OutlineNumbered1"/>
        <w:ind w:left="567" w:hanging="567"/>
        <w:rPr>
          <w:rFonts w:ascii="Times New Roman" w:hAnsi="Times New Roman"/>
          <w:sz w:val="24"/>
          <w:szCs w:val="24"/>
        </w:rPr>
      </w:pPr>
      <w:hyperlink r:id="rId51" w:history="1">
        <w:r w:rsidR="00841C0D">
          <w:rPr>
            <w:rStyle w:val="Hyperlink"/>
          </w:rPr>
          <w:t>The</w:t>
        </w:r>
        <w:r w:rsidR="00841C0D" w:rsidRPr="004979D3">
          <w:rPr>
            <w:rStyle w:val="Hyperlink"/>
          </w:rPr>
          <w:t xml:space="preserve"> Portal</w:t>
        </w:r>
      </w:hyperlink>
      <w:r w:rsidR="000E0490" w:rsidRPr="00EA0A6E">
        <w:t xml:space="preserve"> will </w:t>
      </w:r>
      <w:r w:rsidR="000E0490">
        <w:t xml:space="preserve">give guidance </w:t>
      </w:r>
      <w:r w:rsidR="000E0490" w:rsidRPr="00EA0A6E">
        <w:t>on content requirements</w:t>
      </w:r>
      <w:r w:rsidR="000E0490">
        <w:t>,</w:t>
      </w:r>
      <w:r w:rsidR="000E0490" w:rsidRPr="00EA0A6E">
        <w:t xml:space="preserve"> provided </w:t>
      </w:r>
      <w:r w:rsidR="00853653" w:rsidRPr="00C416E6">
        <w:rPr>
          <w:b/>
          <w:bCs/>
          <w:color w:val="00827F" w:themeColor="accent2"/>
        </w:rPr>
        <w:fldChar w:fldCharType="begin"/>
      </w:r>
      <w:r w:rsidR="00853653" w:rsidRPr="00C416E6">
        <w:rPr>
          <w:b/>
          <w:bCs/>
          <w:color w:val="00827F" w:themeColor="accent2"/>
        </w:rPr>
        <w:instrText xml:space="preserve"> REF _Ref179827385 \h  \* MERGEFORMAT </w:instrText>
      </w:r>
      <w:r w:rsidR="00853653" w:rsidRPr="00C416E6">
        <w:rPr>
          <w:b/>
          <w:bCs/>
          <w:color w:val="00827F" w:themeColor="accent2"/>
        </w:rPr>
      </w:r>
      <w:r w:rsidR="00853653" w:rsidRPr="00C416E6">
        <w:rPr>
          <w:b/>
          <w:bCs/>
          <w:color w:val="00827F" w:themeColor="accent2"/>
        </w:rPr>
        <w:fldChar w:fldCharType="separate"/>
      </w:r>
      <w:r w:rsidR="00853653" w:rsidRPr="00C416E6">
        <w:rPr>
          <w:b/>
          <w:bCs/>
          <w:color w:val="00827F" w:themeColor="accent2"/>
        </w:rPr>
        <w:t>entity information</w:t>
      </w:r>
      <w:r w:rsidR="00853653" w:rsidRPr="00C416E6">
        <w:rPr>
          <w:b/>
          <w:bCs/>
          <w:color w:val="00827F" w:themeColor="accent2"/>
        </w:rPr>
        <w:fldChar w:fldCharType="end"/>
      </w:r>
      <w:r w:rsidR="000E0490" w:rsidRPr="00EA0A6E">
        <w:t xml:space="preserve"> is accurate and up to date.</w:t>
      </w:r>
      <w:r w:rsidR="000E0490" w:rsidRPr="00FE59D7" w:rsidDel="00FE59D7">
        <w:t xml:space="preserve"> </w:t>
      </w:r>
    </w:p>
    <w:p w14:paraId="7064A83F" w14:textId="77777777" w:rsidR="000E0490" w:rsidRPr="000B035A" w:rsidRDefault="000E0490" w:rsidP="000E0490">
      <w:pPr>
        <w:pStyle w:val="Heading2"/>
      </w:pPr>
      <w:bookmarkStart w:id="103" w:name="_Toc180688145"/>
      <w:bookmarkStart w:id="104" w:name="_Toc184822224"/>
      <w:r w:rsidRPr="000B035A">
        <w:lastRenderedPageBreak/>
        <w:t>Step 3: Prepare Datasets</w:t>
      </w:r>
      <w:bookmarkEnd w:id="103"/>
      <w:bookmarkEnd w:id="104"/>
    </w:p>
    <w:p w14:paraId="60976A2D" w14:textId="07E3F481" w:rsidR="000E0490" w:rsidRDefault="000E0490" w:rsidP="000D7ACB">
      <w:pPr>
        <w:pStyle w:val="OutlineNumbered1"/>
        <w:spacing w:before="120"/>
        <w:ind w:left="567" w:hanging="567"/>
      </w:pPr>
      <w:r w:rsidRPr="00EA0A6E">
        <w:t>To prepare a report, a reporting entity must compile a dataset of payments, ensuring that the data is sorted and classified correctly. If a</w:t>
      </w:r>
      <w:r>
        <w:t xml:space="preserve"> reporting</w:t>
      </w:r>
      <w:r w:rsidRPr="00EA0A6E">
        <w:t xml:space="preserve"> entity takes a</w:t>
      </w:r>
      <w:r>
        <w:t xml:space="preserve"> different approach</w:t>
      </w:r>
      <w:r w:rsidRPr="00EA0A6E">
        <w:t xml:space="preserve"> </w:t>
      </w:r>
      <w:r>
        <w:t xml:space="preserve">to preparing datasets to what is provided </w:t>
      </w:r>
      <w:r w:rsidRPr="00EA0A6E">
        <w:t xml:space="preserve">in this </w:t>
      </w:r>
      <w:r w:rsidR="009B6045">
        <w:t>G</w:t>
      </w:r>
      <w:r w:rsidRPr="00EA0A6E">
        <w:t xml:space="preserve">uidance, it must ensure the approach complies with the Rules. </w:t>
      </w:r>
    </w:p>
    <w:p w14:paraId="2BD132C4" w14:textId="77777777" w:rsidR="000E0490" w:rsidRPr="00EA0A6E" w:rsidRDefault="000E0490" w:rsidP="000D7ACB">
      <w:pPr>
        <w:pStyle w:val="OutlineNumbered1"/>
        <w:spacing w:before="120"/>
        <w:ind w:left="567" w:hanging="567"/>
      </w:pPr>
      <w:r w:rsidRPr="00EA0A6E">
        <w:t xml:space="preserve">The Regulator may </w:t>
      </w:r>
      <w:r>
        <w:t xml:space="preserve">undertake compliance activities to </w:t>
      </w:r>
      <w:r w:rsidRPr="00EA0A6E">
        <w:t xml:space="preserve">review </w:t>
      </w:r>
      <w:r>
        <w:t xml:space="preserve">the </w:t>
      </w:r>
      <w:r w:rsidRPr="00EA0A6E">
        <w:t xml:space="preserve">methodology </w:t>
      </w:r>
      <w:r>
        <w:t>used to compile datasets to ensure it meets requirements</w:t>
      </w:r>
      <w:r w:rsidRPr="00EA0A6E">
        <w:t>.</w:t>
      </w:r>
    </w:p>
    <w:p w14:paraId="13954AB2" w14:textId="77777777" w:rsidR="000E0490" w:rsidRPr="000B035A" w:rsidRDefault="000E0490" w:rsidP="000E0490">
      <w:pPr>
        <w:pStyle w:val="Heading3"/>
      </w:pPr>
      <w:bookmarkStart w:id="105" w:name="_Toc180688146"/>
      <w:bookmarkStart w:id="106" w:name="_Ref184651686"/>
      <w:bookmarkStart w:id="107" w:name="_Toc184822225"/>
      <w:r w:rsidRPr="000B035A">
        <w:t>Trade Credit Arrangements</w:t>
      </w:r>
      <w:bookmarkEnd w:id="105"/>
      <w:bookmarkEnd w:id="106"/>
      <w:bookmarkEnd w:id="107"/>
    </w:p>
    <w:p w14:paraId="63A7F0EA" w14:textId="36C64F21" w:rsidR="000E0490" w:rsidRDefault="000E0490" w:rsidP="00782738">
      <w:pPr>
        <w:pStyle w:val="OutlineNumbered1"/>
        <w:ind w:left="567" w:hanging="567"/>
      </w:pPr>
      <w:r>
        <w:t>Reporting entities must i</w:t>
      </w:r>
      <w:r w:rsidRPr="00EA0A6E">
        <w:t xml:space="preserve">dentify payments made under trade credit arrangements to create the </w:t>
      </w:r>
      <w:r w:rsidRPr="009D0B22">
        <w:rPr>
          <w:bCs/>
        </w:rPr>
        <w:t>TCP Dataset</w:t>
      </w:r>
      <w:r w:rsidRPr="00EA0A6E">
        <w:t>. A trade credit arrangement occurs when a payment is made, or can be made, at least one calendar day after the supply of goods or services.</w:t>
      </w:r>
    </w:p>
    <w:p w14:paraId="70A8B06C" w14:textId="77777777" w:rsidR="000D7ACB" w:rsidRDefault="000D7ACB" w:rsidP="000D7ACB">
      <w:pPr>
        <w:pStyle w:val="OutlineNumbered1"/>
        <w:numPr>
          <w:ilvl w:val="0"/>
          <w:numId w:val="0"/>
        </w:numPr>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782738" w14:paraId="2F82D1AF" w14:textId="77777777">
        <w:tc>
          <w:tcPr>
            <w:tcW w:w="5000" w:type="pct"/>
            <w:shd w:val="clear" w:color="auto" w:fill="EBF1F7"/>
          </w:tcPr>
          <w:p w14:paraId="39C8FDDB" w14:textId="05746C9F" w:rsidR="00782738" w:rsidRPr="000553FE" w:rsidRDefault="00410FD2">
            <w:pPr>
              <w:pStyle w:val="BoxHeading"/>
              <w:rPr>
                <w:b w:val="0"/>
              </w:rPr>
            </w:pPr>
            <w:r>
              <w:t>Example</w:t>
            </w:r>
            <w:r w:rsidR="00031282">
              <w:t xml:space="preserve"> 22</w:t>
            </w:r>
          </w:p>
          <w:p w14:paraId="473F7821" w14:textId="16662EB7" w:rsidR="00782738" w:rsidRPr="00EA1AFD" w:rsidRDefault="00410FD2" w:rsidP="00410FD2">
            <w:pPr>
              <w:pStyle w:val="BoxHeading2-Blue"/>
            </w:pPr>
            <w:r>
              <w:rPr>
                <w:rStyle w:val="Strong"/>
              </w:rPr>
              <w:t>Trade credit arrangements</w:t>
            </w:r>
          </w:p>
          <w:p w14:paraId="6DE0F877" w14:textId="77777777" w:rsidR="006B7AF2" w:rsidRDefault="00410FD2" w:rsidP="00B43A39">
            <w:pPr>
              <w:pStyle w:val="BoxBullet"/>
              <w:numPr>
                <w:ilvl w:val="0"/>
                <w:numId w:val="0"/>
              </w:numPr>
            </w:pPr>
            <w:r w:rsidRPr="00410FD2">
              <w:rPr>
                <w:u w:val="single"/>
              </w:rPr>
              <w:t>Scenario 1:</w:t>
            </w:r>
            <w:r w:rsidR="00BA42C5">
              <w:t xml:space="preserve"> </w:t>
            </w:r>
          </w:p>
          <w:p w14:paraId="20CEB0BC" w14:textId="2C12F22A" w:rsidR="00410FD2" w:rsidRPr="00B43A39" w:rsidRDefault="00410FD2" w:rsidP="00B43A39">
            <w:pPr>
              <w:pStyle w:val="BoxBullet"/>
              <w:numPr>
                <w:ilvl w:val="0"/>
                <w:numId w:val="0"/>
              </w:numPr>
              <w:rPr>
                <w:u w:val="single"/>
              </w:rPr>
            </w:pPr>
            <w:r>
              <w:t xml:space="preserve">An entity and supplier agree payment is to be made 7 days after the day of supply of goods. Despite agreed terms, the entity pays the day goods are supplied. </w:t>
            </w:r>
          </w:p>
          <w:p w14:paraId="3B817E55" w14:textId="45A9AB04" w:rsidR="00410FD2" w:rsidRDefault="00410FD2" w:rsidP="00410FD2">
            <w:pPr>
              <w:pStyle w:val="BoxBullet"/>
            </w:pPr>
            <w:r>
              <w:t>The arrangement is a trade credit arrangement because payment could have been made 1</w:t>
            </w:r>
            <w:r w:rsidR="00EC3999">
              <w:t> </w:t>
            </w:r>
            <w:r>
              <w:t>calendar day or more after the goods were supplied.</w:t>
            </w:r>
          </w:p>
          <w:p w14:paraId="1709E586" w14:textId="574E4D53" w:rsidR="006B7AF2" w:rsidRDefault="006B7AF2" w:rsidP="006B7AF2">
            <w:pPr>
              <w:pStyle w:val="BoxBullet"/>
              <w:numPr>
                <w:ilvl w:val="0"/>
                <w:numId w:val="0"/>
              </w:numPr>
            </w:pPr>
            <w:r w:rsidRPr="00410FD2">
              <w:rPr>
                <w:u w:val="single"/>
              </w:rPr>
              <w:t xml:space="preserve">Scenario </w:t>
            </w:r>
            <w:r>
              <w:rPr>
                <w:u w:val="single"/>
              </w:rPr>
              <w:t>2</w:t>
            </w:r>
            <w:r w:rsidRPr="00410FD2">
              <w:rPr>
                <w:u w:val="single"/>
              </w:rPr>
              <w:t>:</w:t>
            </w:r>
            <w:r>
              <w:t xml:space="preserve"> </w:t>
            </w:r>
          </w:p>
          <w:p w14:paraId="0939A714" w14:textId="4E29074D" w:rsidR="006B7AF2" w:rsidRPr="00BA42C5" w:rsidRDefault="006B7AF2" w:rsidP="006B7AF2">
            <w:pPr>
              <w:pStyle w:val="BoxBullet"/>
              <w:numPr>
                <w:ilvl w:val="0"/>
                <w:numId w:val="0"/>
              </w:numPr>
              <w:rPr>
                <w:u w:val="single"/>
              </w:rPr>
            </w:pPr>
            <w:r>
              <w:t>An entity and supplier agree payment is to be made 7 days after the day of supply of goods. Despite agreed terms, the entity pays before the goods are supplied (prepayment).</w:t>
            </w:r>
          </w:p>
          <w:p w14:paraId="79CCCB0B" w14:textId="48DAC975" w:rsidR="006B7AF2" w:rsidRDefault="006B7AF2" w:rsidP="006B7AF2">
            <w:pPr>
              <w:pStyle w:val="BoxBullet"/>
            </w:pPr>
            <w:r>
              <w:t>The arrangement is a trade credit arrangement because payment could have been made 1</w:t>
            </w:r>
            <w:r w:rsidR="00EC3999">
              <w:t> </w:t>
            </w:r>
            <w:r>
              <w:t>calendar day or more after the goods were supplied.</w:t>
            </w:r>
          </w:p>
          <w:p w14:paraId="1287D2A5" w14:textId="77777777" w:rsidR="006B7AF2" w:rsidRDefault="006B7AF2" w:rsidP="006B7AF2">
            <w:pPr>
              <w:pStyle w:val="BoxBullet"/>
              <w:numPr>
                <w:ilvl w:val="0"/>
                <w:numId w:val="0"/>
              </w:numPr>
            </w:pPr>
            <w:r w:rsidRPr="00410FD2">
              <w:rPr>
                <w:u w:val="single"/>
              </w:rPr>
              <w:t xml:space="preserve">Scenario </w:t>
            </w:r>
            <w:r>
              <w:rPr>
                <w:u w:val="single"/>
              </w:rPr>
              <w:t>3</w:t>
            </w:r>
            <w:r w:rsidRPr="00410FD2">
              <w:rPr>
                <w:u w:val="single"/>
              </w:rPr>
              <w:t>:</w:t>
            </w:r>
            <w:r>
              <w:t xml:space="preserve"> </w:t>
            </w:r>
          </w:p>
          <w:p w14:paraId="23BE2E62" w14:textId="14BC2FF0" w:rsidR="006B7AF2" w:rsidRPr="00BA42C5" w:rsidRDefault="006B7AF2" w:rsidP="006B7AF2">
            <w:pPr>
              <w:pStyle w:val="BoxBullet"/>
              <w:numPr>
                <w:ilvl w:val="0"/>
                <w:numId w:val="0"/>
              </w:numPr>
              <w:rPr>
                <w:u w:val="single"/>
              </w:rPr>
            </w:pPr>
            <w:r>
              <w:t xml:space="preserve">An entity and supplier agree payment is to be made on the day of supply of goods. Despite agreed terms, the entity pays two days after the goods are supplied. </w:t>
            </w:r>
          </w:p>
          <w:p w14:paraId="6C23ABCD" w14:textId="1029CF4E" w:rsidR="00782738" w:rsidRPr="008950C5" w:rsidRDefault="00410FD2" w:rsidP="0003442F">
            <w:pPr>
              <w:pStyle w:val="BoxBullet"/>
            </w:pPr>
            <w:r>
              <w:t>The arrangement is a trade credit arrangement because payment was made more than 1</w:t>
            </w:r>
            <w:r w:rsidR="00EC3999">
              <w:t> </w:t>
            </w:r>
            <w:r>
              <w:t>calendar day after supply.</w:t>
            </w:r>
          </w:p>
        </w:tc>
      </w:tr>
    </w:tbl>
    <w:p w14:paraId="0C5B2A4E" w14:textId="77777777" w:rsidR="000E0490" w:rsidRPr="00EA0A6E" w:rsidRDefault="000E0490" w:rsidP="000E0490">
      <w:pPr>
        <w:pStyle w:val="Heading4"/>
        <w:rPr>
          <w:rFonts w:asciiTheme="minorHAnsi" w:hAnsiTheme="minorHAnsi"/>
        </w:rPr>
      </w:pPr>
      <w:r>
        <w:t>Agreements with multiple arrangements</w:t>
      </w:r>
    </w:p>
    <w:p w14:paraId="20729A20" w14:textId="77777777" w:rsidR="000E0490" w:rsidRDefault="000E0490" w:rsidP="00782738">
      <w:pPr>
        <w:pStyle w:val="OutlineNumbered1"/>
        <w:ind w:left="567" w:hanging="567"/>
      </w:pPr>
      <w:r w:rsidRPr="00EA0A6E">
        <w:t>One agreement may include multiple trade credit arrangements, each requiring classification.</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782738" w14:paraId="2F9C468F" w14:textId="77777777">
        <w:tc>
          <w:tcPr>
            <w:tcW w:w="5000" w:type="pct"/>
            <w:shd w:val="clear" w:color="auto" w:fill="EBF1F7"/>
          </w:tcPr>
          <w:p w14:paraId="5AA54F47" w14:textId="503C0AA3" w:rsidR="00782738" w:rsidRPr="000553FE" w:rsidRDefault="00410FD2">
            <w:pPr>
              <w:pStyle w:val="BoxHeading"/>
              <w:rPr>
                <w:b w:val="0"/>
              </w:rPr>
            </w:pPr>
            <w:r>
              <w:lastRenderedPageBreak/>
              <w:t>Example</w:t>
            </w:r>
            <w:r w:rsidR="00031282">
              <w:t xml:space="preserve"> 23</w:t>
            </w:r>
          </w:p>
          <w:p w14:paraId="12DF391A" w14:textId="6F3A50AD" w:rsidR="00782738" w:rsidRPr="00247BAC" w:rsidRDefault="00410FD2">
            <w:pPr>
              <w:pStyle w:val="BoxHeading2-Blue"/>
            </w:pPr>
            <w:r>
              <w:rPr>
                <w:rStyle w:val="Strong"/>
              </w:rPr>
              <w:t>One agreement with multiple arrangements</w:t>
            </w:r>
          </w:p>
          <w:p w14:paraId="173B235B" w14:textId="77777777" w:rsidR="0014713A" w:rsidRDefault="0014713A" w:rsidP="0079060F">
            <w:pPr>
              <w:pStyle w:val="BoxText"/>
            </w:pPr>
            <w:r>
              <w:t>An entity contracts a supplier to provide goods and services over an extended period. The contract requires payment of a deposit, 2 payments for goods on delivery and 3 payments for services in monthly arrears.</w:t>
            </w:r>
          </w:p>
          <w:p w14:paraId="52C81242" w14:textId="77777777" w:rsidR="0014713A" w:rsidRDefault="0014713A" w:rsidP="00C50835">
            <w:pPr>
              <w:pStyle w:val="BoxDash"/>
              <w:numPr>
                <w:ilvl w:val="0"/>
                <w:numId w:val="0"/>
              </w:numPr>
            </w:pPr>
            <w:r>
              <w:t xml:space="preserve">Each of the agreed payments is a separate arrangement. </w:t>
            </w:r>
          </w:p>
          <w:p w14:paraId="38BD9D4C" w14:textId="77777777" w:rsidR="0014713A" w:rsidRDefault="0014713A" w:rsidP="0014713A">
            <w:pPr>
              <w:pStyle w:val="BoxBullet"/>
            </w:pPr>
            <w:r>
              <w:t>Assuming payments are made in accordance with the contract terms, the deposit and payment for goods are not trade credit arrangements because there is not a delay between supply and payment.</w:t>
            </w:r>
          </w:p>
          <w:p w14:paraId="1ACC6DC8" w14:textId="07D95C7B" w:rsidR="00782738" w:rsidRPr="008950C5" w:rsidRDefault="0014713A" w:rsidP="00EC48A8">
            <w:pPr>
              <w:pStyle w:val="BoxBullet"/>
            </w:pPr>
            <w:r>
              <w:t>The services payments are 3 separate arrangements, and each is a trade credit arrangement because there is a delay of 1 calendar day or more between the period of supply and payment.</w:t>
            </w:r>
          </w:p>
        </w:tc>
      </w:tr>
    </w:tbl>
    <w:p w14:paraId="36AD21B6" w14:textId="77777777" w:rsidR="00782738" w:rsidRDefault="00782738" w:rsidP="00782738">
      <w:pPr>
        <w:pStyle w:val="OutlineNumbered1"/>
        <w:numPr>
          <w:ilvl w:val="0"/>
          <w:numId w:val="0"/>
        </w:numPr>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5977D5" w14:paraId="6FEA358D" w14:textId="77777777">
        <w:tc>
          <w:tcPr>
            <w:tcW w:w="5000" w:type="pct"/>
            <w:shd w:val="clear" w:color="auto" w:fill="EBF1F7"/>
          </w:tcPr>
          <w:p w14:paraId="52C997A2" w14:textId="599D2574" w:rsidR="005977D5" w:rsidRPr="000553FE" w:rsidRDefault="00940CCB">
            <w:pPr>
              <w:pStyle w:val="BoxHeading"/>
              <w:rPr>
                <w:b w:val="0"/>
              </w:rPr>
            </w:pPr>
            <w:r>
              <w:t>Example</w:t>
            </w:r>
            <w:r w:rsidR="00031282">
              <w:t xml:space="preserve"> 24</w:t>
            </w:r>
          </w:p>
          <w:p w14:paraId="1ACAF2A0" w14:textId="7398EDE2" w:rsidR="005977D5" w:rsidRPr="00247BAC" w:rsidRDefault="00940CCB">
            <w:pPr>
              <w:pStyle w:val="BoxHeading2-Blue"/>
            </w:pPr>
            <w:r>
              <w:rPr>
                <w:rStyle w:val="Strong"/>
              </w:rPr>
              <w:t>Deposits</w:t>
            </w:r>
          </w:p>
          <w:p w14:paraId="7D473865" w14:textId="77777777" w:rsidR="00940CCB" w:rsidRDefault="00940CCB" w:rsidP="00940CCB">
            <w:pPr>
              <w:pStyle w:val="BoxText"/>
            </w:pPr>
            <w:r>
              <w:t xml:space="preserve">An entity has an arrangement that runs over an extended period and includes a deposit and milestone payments. The first two milestones do not require payment because they are prepaid by the deposit. </w:t>
            </w:r>
          </w:p>
          <w:p w14:paraId="20978586" w14:textId="18D68F3E" w:rsidR="005977D5" w:rsidRPr="008950C5" w:rsidRDefault="00940CCB" w:rsidP="00410FD2">
            <w:pPr>
              <w:pStyle w:val="BoxBullet"/>
            </w:pPr>
            <w:r>
              <w:t>The first two milestones are not reportable because they do not require payment. The deposit is not reportable because it was paid in advance of supply.</w:t>
            </w:r>
          </w:p>
        </w:tc>
      </w:tr>
    </w:tbl>
    <w:p w14:paraId="6DB9DC39" w14:textId="77777777" w:rsidR="000E0490" w:rsidRPr="007B1408" w:rsidRDefault="000E0490" w:rsidP="000E0490">
      <w:pPr>
        <w:pStyle w:val="Heading4"/>
      </w:pPr>
      <w:r w:rsidRPr="007B1408">
        <w:t>Arrangements without payments</w:t>
      </w:r>
    </w:p>
    <w:p w14:paraId="0E426382" w14:textId="77777777" w:rsidR="000E0490" w:rsidRDefault="000E0490" w:rsidP="00853653">
      <w:pPr>
        <w:pStyle w:val="OutlineNumbered1"/>
        <w:spacing w:after="240"/>
        <w:ind w:left="567" w:hanging="567"/>
      </w:pPr>
      <w:r w:rsidRPr="00EA0A6E">
        <w:t>Circumstances can result in a trade credit arrangement not requiring payment. Where an arrangement is settled without payment it is not reportable and not required to be included in datasets.</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5977D5" w14:paraId="67A8952C" w14:textId="77777777">
        <w:tc>
          <w:tcPr>
            <w:tcW w:w="5000" w:type="pct"/>
            <w:shd w:val="clear" w:color="auto" w:fill="EBF1F7"/>
          </w:tcPr>
          <w:p w14:paraId="605B7FB6" w14:textId="69E931AC" w:rsidR="005977D5" w:rsidRPr="000553FE" w:rsidRDefault="00BA0219">
            <w:pPr>
              <w:pStyle w:val="BoxHeading"/>
              <w:rPr>
                <w:b w:val="0"/>
              </w:rPr>
            </w:pPr>
            <w:r>
              <w:t>Example</w:t>
            </w:r>
            <w:r w:rsidR="00031282">
              <w:t xml:space="preserve"> 25</w:t>
            </w:r>
          </w:p>
          <w:p w14:paraId="313F5C6F" w14:textId="754213C1" w:rsidR="005977D5" w:rsidRPr="00247BAC" w:rsidRDefault="00BA0219">
            <w:pPr>
              <w:pStyle w:val="BoxHeading2-Blue"/>
            </w:pPr>
            <w:r>
              <w:rPr>
                <w:rStyle w:val="Strong"/>
              </w:rPr>
              <w:t>Offsetting credit note</w:t>
            </w:r>
          </w:p>
          <w:p w14:paraId="52C2CEE8" w14:textId="77777777" w:rsidR="00BA0219" w:rsidRDefault="00BA0219" w:rsidP="00BA0219">
            <w:pPr>
              <w:pStyle w:val="BoxText"/>
            </w:pPr>
            <w:r>
              <w:t xml:space="preserve">An entity has a trade credit arrangement for the supply of goods. After the goods are supplied but before payment is made the supplier issues a credit note that covers the supply of the goods entirely and the entity is not required to make payment. </w:t>
            </w:r>
          </w:p>
          <w:p w14:paraId="46027753" w14:textId="41F97F53" w:rsidR="005977D5" w:rsidRPr="008950C5" w:rsidRDefault="00BA0219" w:rsidP="00BA0219">
            <w:pPr>
              <w:pStyle w:val="BoxBullet"/>
              <w:ind w:left="284" w:hanging="284"/>
            </w:pPr>
            <w:r>
              <w:t>The trade credit arrangement is not reportable because no payment is required.</w:t>
            </w:r>
          </w:p>
        </w:tc>
      </w:tr>
    </w:tbl>
    <w:p w14:paraId="77553D59" w14:textId="77777777" w:rsidR="000E0490" w:rsidRPr="007E5CE6" w:rsidRDefault="000E0490" w:rsidP="000E0490">
      <w:pPr>
        <w:pStyle w:val="Heading4"/>
      </w:pPr>
      <w:r w:rsidRPr="007E5CE6">
        <w:t>Excluded payments – Government and employee payments</w:t>
      </w:r>
    </w:p>
    <w:p w14:paraId="1C1F75F2" w14:textId="77777777" w:rsidR="000E0490" w:rsidRPr="00EA0A6E" w:rsidRDefault="000E0490" w:rsidP="005977D5">
      <w:pPr>
        <w:pStyle w:val="OutlineNumbered1"/>
        <w:ind w:left="567" w:hanging="567"/>
      </w:pPr>
      <w:r w:rsidRPr="00EA0A6E">
        <w:t xml:space="preserve">Payments made to government entities or that relate to employees are not trade credit arrangements and </w:t>
      </w:r>
      <w:r>
        <w:t xml:space="preserve">must be </w:t>
      </w:r>
      <w:r w:rsidRPr="00EA0A6E">
        <w:t xml:space="preserve">excluded from </w:t>
      </w:r>
      <w:r>
        <w:t>datasets</w:t>
      </w:r>
      <w:r w:rsidRPr="00EA0A6E">
        <w:t>.</w:t>
      </w:r>
    </w:p>
    <w:p w14:paraId="7DFC8D11" w14:textId="77777777" w:rsidR="000E0490" w:rsidRPr="00EA0A6E" w:rsidRDefault="000E0490" w:rsidP="005977D5">
      <w:pPr>
        <w:pStyle w:val="OutlineNumbered1"/>
        <w:ind w:left="567" w:hanging="567"/>
      </w:pPr>
      <w:r w:rsidRPr="00EA0A6E">
        <w:lastRenderedPageBreak/>
        <w:t xml:space="preserve">Payments to a government entity, corporate </w:t>
      </w:r>
      <w:r>
        <w:t>C</w:t>
      </w:r>
      <w:r w:rsidRPr="00EA0A6E">
        <w:t>ommonwealth entity or local government body are not trade credit arrangement</w:t>
      </w:r>
      <w:r>
        <w:t>s</w:t>
      </w:r>
      <w:r w:rsidRPr="00EA0A6E">
        <w:t xml:space="preserve"> and </w:t>
      </w:r>
      <w:r>
        <w:t xml:space="preserve">are </w:t>
      </w:r>
      <w:r w:rsidRPr="00EA0A6E">
        <w:t xml:space="preserve">excluded from reporting. Government entities include Commonwealth and State government departments and executive and statutory agencies under the </w:t>
      </w:r>
      <w:r w:rsidRPr="00EA0A6E">
        <w:rPr>
          <w:i/>
        </w:rPr>
        <w:t>Public Service Act 1999</w:t>
      </w:r>
      <w:r>
        <w:rPr>
          <w:i/>
          <w:iCs/>
        </w:rPr>
        <w:t xml:space="preserve"> </w:t>
      </w:r>
      <w:r w:rsidRPr="000D7ACB">
        <w:rPr>
          <w:i/>
          <w:iCs/>
        </w:rPr>
        <w:t>(Cth).</w:t>
      </w:r>
    </w:p>
    <w:p w14:paraId="5CBCC24E" w14:textId="77777777" w:rsidR="000E0490" w:rsidRPr="00EA0A6E" w:rsidRDefault="000E0490" w:rsidP="005977D5">
      <w:pPr>
        <w:pStyle w:val="OutlineNumbered1"/>
        <w:ind w:left="567" w:hanging="567"/>
      </w:pPr>
      <w:r w:rsidRPr="00EA0A6E">
        <w:t xml:space="preserve">Reporting entities can refer to </w:t>
      </w:r>
      <w:hyperlink r:id="rId52" w:history="1">
        <w:r w:rsidRPr="0064391D">
          <w:rPr>
            <w:rStyle w:val="Hyperlink"/>
          </w:rPr>
          <w:t>resources</w:t>
        </w:r>
      </w:hyperlink>
      <w:r w:rsidRPr="00EA0A6E">
        <w:t xml:space="preserve"> published by the Department of Finance to identify Commonwealth government entities and corporate </w:t>
      </w:r>
      <w:r>
        <w:t>C</w:t>
      </w:r>
      <w:r w:rsidRPr="00EA0A6E">
        <w:t>ommonwealth entities.</w:t>
      </w:r>
    </w:p>
    <w:p w14:paraId="5077115D" w14:textId="77777777" w:rsidR="000E0490" w:rsidRPr="00EA0A6E" w:rsidRDefault="000E0490" w:rsidP="005977D5">
      <w:pPr>
        <w:pStyle w:val="OutlineNumbered1"/>
        <w:ind w:left="567" w:hanging="567"/>
      </w:pPr>
      <w:r w:rsidRPr="00EA0A6E">
        <w:t xml:space="preserve">For </w:t>
      </w:r>
      <w:r>
        <w:t>S</w:t>
      </w:r>
      <w:r w:rsidRPr="00EA0A6E">
        <w:t xml:space="preserve">tate government entities reporting entities can refer to resources provided by each respective relevant </w:t>
      </w:r>
      <w:r>
        <w:t>S</w:t>
      </w:r>
      <w:r w:rsidRPr="00EA0A6E">
        <w:t xml:space="preserve">tate government. </w:t>
      </w:r>
    </w:p>
    <w:p w14:paraId="02E1ED43" w14:textId="7901BB97" w:rsidR="000E0490" w:rsidRPr="00EA0A6E" w:rsidRDefault="000E0490" w:rsidP="005977D5">
      <w:pPr>
        <w:pStyle w:val="OutlineNumbered1"/>
        <w:ind w:left="567" w:hanging="567"/>
      </w:pPr>
      <w:r w:rsidRPr="00EA0A6E">
        <w:t>Employee-related payments are excluded from reporting. Employee payments include payments subject to Pay As You Go withholding and payments that relate to employee benefits, such as superannuation contributions.</w:t>
      </w:r>
    </w:p>
    <w:p w14:paraId="3057D9F7" w14:textId="77777777" w:rsidR="000E0490" w:rsidRPr="000D7ACB" w:rsidRDefault="000E0490" w:rsidP="005977D5">
      <w:pPr>
        <w:pStyle w:val="OutlineNumbered1"/>
        <w:ind w:left="567" w:hanging="567"/>
      </w:pPr>
      <w:r w:rsidRPr="00EA0A6E">
        <w:t xml:space="preserve">Where it is unclear whether payment relates to an employee, the Regulator may consider how the relevant individual is remunerated. Contracting arrangements subject to GST, or those that include the individual’s ABN, may indicate the individual is not an </w:t>
      </w:r>
      <w:r w:rsidRPr="000D7ACB">
        <w:t>employee.</w:t>
      </w:r>
    </w:p>
    <w:p w14:paraId="35519C2B" w14:textId="77777777" w:rsidR="000E0490" w:rsidRPr="00EA0A6E" w:rsidRDefault="000E0490" w:rsidP="000E0490">
      <w:pPr>
        <w:pStyle w:val="Heading3"/>
      </w:pPr>
      <w:bookmarkStart w:id="108" w:name="_Toc180688147"/>
      <w:bookmarkStart w:id="109" w:name="_Toc184822226"/>
      <w:r w:rsidRPr="00EA0A6E">
        <w:t>Disputed Payments</w:t>
      </w:r>
      <w:bookmarkEnd w:id="108"/>
      <w:bookmarkEnd w:id="109"/>
    </w:p>
    <w:p w14:paraId="16E0FA63" w14:textId="77777777" w:rsidR="000E0490" w:rsidRPr="00EA0A6E" w:rsidRDefault="000E0490" w:rsidP="005977D5">
      <w:pPr>
        <w:pStyle w:val="OutlineNumbered1"/>
        <w:ind w:left="567" w:hanging="567"/>
      </w:pPr>
      <w:r>
        <w:t>A r</w:t>
      </w:r>
      <w:r w:rsidRPr="00EA0A6E">
        <w:t>eporting entit</w:t>
      </w:r>
      <w:r>
        <w:t xml:space="preserve">y </w:t>
      </w:r>
      <w:r w:rsidRPr="00EA0A6E">
        <w:t xml:space="preserve">cannot exclude disputed payments from its report. </w:t>
      </w:r>
      <w:r>
        <w:t>D</w:t>
      </w:r>
      <w:r w:rsidRPr="00EA0A6E">
        <w:t>isputed payments</w:t>
      </w:r>
      <w:r>
        <w:t xml:space="preserve"> must be included</w:t>
      </w:r>
      <w:r w:rsidRPr="00EA0A6E">
        <w:t xml:space="preserve"> in</w:t>
      </w:r>
      <w:r>
        <w:t xml:space="preserve"> the TCP D</w:t>
      </w:r>
      <w:r w:rsidRPr="00EA0A6E">
        <w:t>ataset and report</w:t>
      </w:r>
      <w:r>
        <w:t>ed</w:t>
      </w:r>
      <w:r w:rsidRPr="00EA0A6E">
        <w:t xml:space="preserve"> according to the amended arrangement once resolved.</w:t>
      </w:r>
    </w:p>
    <w:p w14:paraId="4FF2567F" w14:textId="77777777" w:rsidR="000E0490" w:rsidRDefault="000E0490" w:rsidP="00853653">
      <w:pPr>
        <w:pStyle w:val="OutlineNumbered1"/>
        <w:spacing w:after="240"/>
        <w:ind w:left="567" w:hanging="567"/>
      </w:pPr>
      <w:r w:rsidRPr="00EA0A6E">
        <w:t>Where payment is made for a dispute that is not resolved, the reporting entity must report based on the details of the original arrangement.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5977D5" w14:paraId="0950EF0C" w14:textId="77777777">
        <w:tc>
          <w:tcPr>
            <w:tcW w:w="5000" w:type="pct"/>
            <w:shd w:val="clear" w:color="auto" w:fill="EBF1F7"/>
          </w:tcPr>
          <w:p w14:paraId="6B76407D" w14:textId="5E7B0FB0" w:rsidR="005977D5" w:rsidRPr="000553FE" w:rsidRDefault="00BA0219">
            <w:pPr>
              <w:pStyle w:val="BoxHeading"/>
              <w:rPr>
                <w:b w:val="0"/>
              </w:rPr>
            </w:pPr>
            <w:r>
              <w:t>Example</w:t>
            </w:r>
            <w:r w:rsidR="00031282">
              <w:t xml:space="preserve"> 26</w:t>
            </w:r>
          </w:p>
          <w:p w14:paraId="3294E955" w14:textId="473E7CE2" w:rsidR="005977D5" w:rsidRPr="00247BAC" w:rsidRDefault="00BA0219">
            <w:pPr>
              <w:pStyle w:val="BoxHeading2-Blue"/>
            </w:pPr>
            <w:r>
              <w:rPr>
                <w:rStyle w:val="Strong"/>
              </w:rPr>
              <w:t>Reissued invoice</w:t>
            </w:r>
          </w:p>
          <w:p w14:paraId="4F392E67" w14:textId="77777777" w:rsidR="00AA5D30" w:rsidRDefault="00AA5D30" w:rsidP="00AA5D30">
            <w:pPr>
              <w:pStyle w:val="BoxText"/>
            </w:pPr>
            <w:r>
              <w:t>A supplier has sold goods valued at $500 but invoices for $5,000 in error. The entity advises the supplier of the error, and the supplier reissues the invoice for the correct value of $500.</w:t>
            </w:r>
          </w:p>
          <w:p w14:paraId="3F99C615" w14:textId="737FF561" w:rsidR="005977D5" w:rsidRPr="008950C5" w:rsidRDefault="00AA5D30" w:rsidP="00AA5D30">
            <w:pPr>
              <w:pStyle w:val="BoxBullet"/>
              <w:ind w:left="284" w:hanging="284"/>
            </w:pPr>
            <w:r>
              <w:t>The original invoice is discarded and the details on the reissued invoice are used for reporting purposes.</w:t>
            </w:r>
          </w:p>
        </w:tc>
      </w:tr>
    </w:tbl>
    <w:p w14:paraId="1FB93039" w14:textId="77777777" w:rsidR="005977D5" w:rsidRDefault="005977D5" w:rsidP="005977D5">
      <w:pPr>
        <w:pStyle w:val="OutlineNumbered1"/>
        <w:numPr>
          <w:ilvl w:val="0"/>
          <w:numId w:val="0"/>
        </w:numPr>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5977D5" w14:paraId="0290D67A" w14:textId="77777777">
        <w:tc>
          <w:tcPr>
            <w:tcW w:w="5000" w:type="pct"/>
            <w:shd w:val="clear" w:color="auto" w:fill="EBF1F7"/>
          </w:tcPr>
          <w:p w14:paraId="3AE51F3E" w14:textId="3C296F8B" w:rsidR="005977D5" w:rsidRPr="000553FE" w:rsidRDefault="00AA5D30">
            <w:pPr>
              <w:pStyle w:val="BoxHeading"/>
              <w:rPr>
                <w:b w:val="0"/>
              </w:rPr>
            </w:pPr>
            <w:r>
              <w:t>Example</w:t>
            </w:r>
            <w:r w:rsidR="00031282">
              <w:t xml:space="preserve"> 27</w:t>
            </w:r>
          </w:p>
          <w:p w14:paraId="02EC71A2" w14:textId="34328FE1" w:rsidR="005977D5" w:rsidRPr="00247BAC" w:rsidRDefault="00AA5D30">
            <w:pPr>
              <w:pStyle w:val="BoxHeading2-Blue"/>
            </w:pPr>
            <w:r>
              <w:rPr>
                <w:rStyle w:val="Strong"/>
              </w:rPr>
              <w:t>Dispute without resolution</w:t>
            </w:r>
          </w:p>
          <w:p w14:paraId="286CB420" w14:textId="77777777" w:rsidR="00AA5D30" w:rsidRDefault="00AA5D30" w:rsidP="00AA5D30">
            <w:pPr>
              <w:pStyle w:val="BoxText"/>
            </w:pPr>
            <w:r>
              <w:t>A supplier issues an invoice for $1,000 for supply of goods and the entity disputes the invoices believing only $500 of goods were delivered. The supplier and entity do not resolve the dispute, but the entity pays $500 and treats the obligation as fully discharged. Because of delays created by the dispute, the invoice is paid 30 days late.</w:t>
            </w:r>
          </w:p>
          <w:p w14:paraId="6709EB32" w14:textId="62D65DF2" w:rsidR="005977D5" w:rsidRPr="008950C5" w:rsidRDefault="00AA5D30" w:rsidP="00AA5D30">
            <w:pPr>
              <w:pStyle w:val="BoxBullet"/>
              <w:ind w:left="284" w:hanging="284"/>
            </w:pPr>
            <w:r>
              <w:t>The details on the original invoice must be used to determine payment terms and times.</w:t>
            </w:r>
          </w:p>
        </w:tc>
      </w:tr>
    </w:tbl>
    <w:p w14:paraId="2A7EF7C1" w14:textId="77777777" w:rsidR="000E0490" w:rsidRPr="00EA0A6E" w:rsidRDefault="000E0490" w:rsidP="000E0490">
      <w:pPr>
        <w:pStyle w:val="Heading3"/>
        <w:rPr>
          <w:b/>
        </w:rPr>
      </w:pPr>
      <w:bookmarkStart w:id="110" w:name="_Ref179827150"/>
      <w:bookmarkStart w:id="111" w:name="_Toc180688148"/>
      <w:bookmarkStart w:id="112" w:name="_Toc184822227"/>
      <w:r w:rsidRPr="00EA0A6E">
        <w:t>Controlled Entity Data Not Accessible</w:t>
      </w:r>
      <w:bookmarkEnd w:id="110"/>
      <w:bookmarkEnd w:id="111"/>
      <w:bookmarkEnd w:id="112"/>
    </w:p>
    <w:p w14:paraId="63F35FD5" w14:textId="77777777" w:rsidR="000E0490" w:rsidRPr="00EA0A6E" w:rsidRDefault="000E0490" w:rsidP="005977D5">
      <w:pPr>
        <w:pStyle w:val="OutlineNumbered1"/>
        <w:ind w:left="567" w:hanging="567"/>
      </w:pPr>
      <w:r w:rsidRPr="00EA0A6E">
        <w:t>If a reporting entity cannot access payment data from a controlled entity, it does not need to report those payments. However, it must:</w:t>
      </w:r>
    </w:p>
    <w:p w14:paraId="0AB05B7A" w14:textId="77777777" w:rsidR="000E0490" w:rsidRPr="00EA0A6E" w:rsidRDefault="000E0490" w:rsidP="005977D5">
      <w:pPr>
        <w:pStyle w:val="OutlineNumberedDot"/>
        <w:ind w:left="851" w:hanging="284"/>
      </w:pPr>
      <w:r w:rsidRPr="00DD3266">
        <w:lastRenderedPageBreak/>
        <w:t>keep</w:t>
      </w:r>
      <w:r w:rsidRPr="00EA0A6E">
        <w:t xml:space="preserve"> detailed records explaining why the information was unavailable and what efforts were made to obtain it, and </w:t>
      </w:r>
    </w:p>
    <w:p w14:paraId="2AB21CC8" w14:textId="77777777" w:rsidR="000E0490" w:rsidRPr="00EA0A6E" w:rsidRDefault="000E0490" w:rsidP="005977D5">
      <w:pPr>
        <w:pStyle w:val="OutlineNumberedDot"/>
        <w:ind w:left="851" w:hanging="284"/>
      </w:pPr>
      <w:r w:rsidRPr="00EA0A6E">
        <w:t xml:space="preserve">state in its report that it relied on this exclusion and identify which controlled entities have payments excluded from reporting. </w:t>
      </w:r>
    </w:p>
    <w:p w14:paraId="0E06E6BF" w14:textId="6C9CCE3D" w:rsidR="000E0490" w:rsidRPr="00E1284A" w:rsidRDefault="000E0490" w:rsidP="00F63EB6">
      <w:pPr>
        <w:pStyle w:val="OutlineNumbered1"/>
        <w:ind w:left="567" w:hanging="567"/>
        <w:rPr>
          <w:rFonts w:ascii="Times New Roman" w:hAnsi="Times New Roman"/>
          <w:sz w:val="24"/>
          <w:szCs w:val="24"/>
        </w:rPr>
      </w:pPr>
      <w:r w:rsidRPr="00EA0A6E">
        <w:t xml:space="preserve">Failure by a reporting entity to disclose that it relied on this exclusion may result in </w:t>
      </w:r>
      <w:r w:rsidR="007B623E" w:rsidRPr="00EA0A6E">
        <w:t>penalties</w:t>
      </w:r>
      <w:r w:rsidR="007B623E">
        <w:t xml:space="preserve"> for</w:t>
      </w:r>
      <w:r w:rsidR="007B623E" w:rsidRPr="00EA0A6E">
        <w:t xml:space="preserve"> </w:t>
      </w:r>
      <w:r w:rsidRPr="00EA0A6E">
        <w:t xml:space="preserve">non-compliance. </w:t>
      </w:r>
      <w:r>
        <w:t>For more information on what must be disclosed, see</w:t>
      </w:r>
      <w:r w:rsidR="00D03B1B">
        <w:br/>
      </w:r>
      <w:r w:rsidRPr="00D03B1B">
        <w:rPr>
          <w:b/>
          <w:bCs/>
          <w:color w:val="00827F" w:themeColor="accent2"/>
        </w:rPr>
        <w:fldChar w:fldCharType="begin"/>
      </w:r>
      <w:r w:rsidRPr="00D03B1B">
        <w:rPr>
          <w:b/>
          <w:bCs/>
          <w:color w:val="00827F" w:themeColor="accent2"/>
        </w:rPr>
        <w:instrText xml:space="preserve"> REF _Ref179827237 \h  \* MERGEFORMAT </w:instrText>
      </w:r>
      <w:r w:rsidRPr="00D03B1B">
        <w:rPr>
          <w:b/>
          <w:bCs/>
          <w:color w:val="00827F" w:themeColor="accent2"/>
        </w:rPr>
      </w:r>
      <w:r w:rsidRPr="00D03B1B">
        <w:rPr>
          <w:b/>
          <w:bCs/>
          <w:color w:val="00827F" w:themeColor="accent2"/>
        </w:rPr>
        <w:fldChar w:fldCharType="separate"/>
      </w:r>
      <w:r w:rsidRPr="00D03B1B">
        <w:rPr>
          <w:b/>
          <w:bCs/>
          <w:color w:val="00827F" w:themeColor="accent2"/>
        </w:rPr>
        <w:t>Contextual Information and Approvals</w:t>
      </w:r>
      <w:r w:rsidRPr="00D03B1B">
        <w:rPr>
          <w:b/>
          <w:bCs/>
          <w:color w:val="00827F" w:themeColor="accent2"/>
        </w:rPr>
        <w:fldChar w:fldCharType="end"/>
      </w:r>
      <w:r w:rsidRPr="00EA0A6E">
        <w:t>.</w:t>
      </w:r>
      <w:r>
        <w:t xml:space="preserve"> </w:t>
      </w:r>
      <w:r w:rsidRPr="00EA0A6E">
        <w:t>The Regulator may investigate such exclusions.</w:t>
      </w:r>
    </w:p>
    <w:p w14:paraId="6496B115" w14:textId="56183307" w:rsidR="00826CE9" w:rsidRDefault="00826CE9" w:rsidP="00826CE9">
      <w:pPr>
        <w:pStyle w:val="Heading3"/>
      </w:pPr>
      <w:bookmarkStart w:id="113" w:name="_Toc184822228"/>
      <w:r>
        <w:t xml:space="preserve">Payments </w:t>
      </w:r>
      <w:r w:rsidR="0061228A">
        <w:t xml:space="preserve">made </w:t>
      </w:r>
      <w:r>
        <w:t xml:space="preserve">by </w:t>
      </w:r>
      <w:r w:rsidR="000F3BD4">
        <w:t xml:space="preserve">a </w:t>
      </w:r>
      <w:r w:rsidR="00683F9E">
        <w:t>Third</w:t>
      </w:r>
      <w:r>
        <w:t xml:space="preserve"> Party</w:t>
      </w:r>
      <w:bookmarkEnd w:id="113"/>
    </w:p>
    <w:p w14:paraId="3E8C46F6" w14:textId="17AFC42D" w:rsidR="00826CE9" w:rsidRPr="007D5745" w:rsidRDefault="0061228A" w:rsidP="0061228A">
      <w:pPr>
        <w:pStyle w:val="OutlineNumbered1"/>
        <w:ind w:left="567" w:hanging="567"/>
      </w:pPr>
      <w:r>
        <w:t>Where a payment</w:t>
      </w:r>
      <w:r w:rsidR="00683F9E">
        <w:t xml:space="preserve"> to a small business supplier is made by a third party on behalf of a reporting entity, </w:t>
      </w:r>
      <w:r w:rsidR="00AE76E5">
        <w:t xml:space="preserve">the payment is to be reported </w:t>
      </w:r>
      <w:r w:rsidR="00267C2E">
        <w:t xml:space="preserve">by the entity that has the </w:t>
      </w:r>
      <w:r w:rsidR="00F65726">
        <w:t xml:space="preserve">legal </w:t>
      </w:r>
      <w:r w:rsidR="00267C2E">
        <w:t>obligation to make the payment</w:t>
      </w:r>
      <w:r w:rsidR="002921D6">
        <w:t xml:space="preserve"> to the small business supplier</w:t>
      </w:r>
      <w:r w:rsidR="00267C2E">
        <w:t>.</w:t>
      </w:r>
      <w:r>
        <w:t xml:space="preserve"> </w:t>
      </w:r>
    </w:p>
    <w:p w14:paraId="39CEE8CE" w14:textId="36882734" w:rsidR="000E0490" w:rsidRPr="000B035A" w:rsidRDefault="000E0490" w:rsidP="000E0490">
      <w:pPr>
        <w:pStyle w:val="Heading3"/>
      </w:pPr>
      <w:bookmarkStart w:id="114" w:name="_Toc180688149"/>
      <w:bookmarkStart w:id="115" w:name="_Toc184822229"/>
      <w:r w:rsidRPr="000B035A">
        <w:t xml:space="preserve">Preparing the </w:t>
      </w:r>
      <w:r w:rsidRPr="00A64E4B">
        <w:rPr>
          <w:bCs w:val="0"/>
        </w:rPr>
        <w:t>TCP Dataset</w:t>
      </w:r>
      <w:bookmarkEnd w:id="114"/>
      <w:bookmarkEnd w:id="115"/>
    </w:p>
    <w:p w14:paraId="51C6023F" w14:textId="77777777" w:rsidR="000E0490" w:rsidRDefault="000E0490" w:rsidP="00F4291F">
      <w:pPr>
        <w:pStyle w:val="OutlineNumbered1"/>
        <w:spacing w:after="240"/>
        <w:ind w:left="567" w:hanging="567"/>
      </w:pPr>
      <w:r>
        <w:t>A r</w:t>
      </w:r>
      <w:r w:rsidRPr="00EA0A6E">
        <w:t>eporting entit</w:t>
      </w:r>
      <w:r>
        <w:t>y</w:t>
      </w:r>
      <w:r w:rsidRPr="00EA0A6E">
        <w:t xml:space="preserve"> must create a </w:t>
      </w:r>
      <w:r w:rsidRPr="00A64E4B">
        <w:rPr>
          <w:bCs/>
        </w:rPr>
        <w:t>TCP Dataset</w:t>
      </w:r>
      <w:r w:rsidRPr="00EA0A6E">
        <w:t xml:space="preserve"> </w:t>
      </w:r>
      <w:r>
        <w:t xml:space="preserve">that </w:t>
      </w:r>
      <w:r w:rsidRPr="00EA0A6E">
        <w:t>include</w:t>
      </w:r>
      <w:r>
        <w:t>s</w:t>
      </w:r>
      <w:r w:rsidRPr="00EA0A6E">
        <w:t xml:space="preserve"> specified data for all payments made under trade credit arrangements by itself and its controlled entities. Misclassifying or misinterpreting data could result in a misleading report, so </w:t>
      </w:r>
      <w:r>
        <w:t xml:space="preserve">a reporting entity must </w:t>
      </w:r>
      <w:r w:rsidRPr="00EA0A6E">
        <w:t>ensure classifications are correct. Seek professional advice if necessary.</w:t>
      </w:r>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63EB6" w14:paraId="5BA68E42" w14:textId="77777777">
        <w:tc>
          <w:tcPr>
            <w:tcW w:w="5000" w:type="pct"/>
            <w:shd w:val="clear" w:color="auto" w:fill="FEF2E4" w:themeFill="accent5"/>
          </w:tcPr>
          <w:p w14:paraId="54F84886" w14:textId="43CDD460" w:rsidR="00F63EB6" w:rsidRPr="000553FE" w:rsidRDefault="00EA394C">
            <w:pPr>
              <w:pStyle w:val="BoxHeading"/>
              <w:rPr>
                <w:b w:val="0"/>
              </w:rPr>
            </w:pPr>
            <w:r>
              <w:t>Regulator Note</w:t>
            </w:r>
          </w:p>
          <w:p w14:paraId="1ADE426A" w14:textId="25AE15E8" w:rsidR="00F63EB6" w:rsidRPr="008950C5" w:rsidRDefault="00EA394C" w:rsidP="00EA394C">
            <w:pPr>
              <w:pStyle w:val="BoxText"/>
            </w:pPr>
            <w:r w:rsidRPr="00EA394C">
              <w:t xml:space="preserve">This </w:t>
            </w:r>
            <w:r w:rsidR="009B6045">
              <w:t>G</w:t>
            </w:r>
            <w:r w:rsidRPr="00EA394C">
              <w:t>uidance refers to invoices. The data collected, classifications and interpretations for non-invoices is the same as for invoices. For example, the method to identify the date for a notice for payment is the method as used to identify invoice date.</w:t>
            </w:r>
          </w:p>
        </w:tc>
      </w:tr>
    </w:tbl>
    <w:p w14:paraId="0F6BFB3E" w14:textId="77777777" w:rsidR="000E0490" w:rsidRDefault="000E0490" w:rsidP="000E0490">
      <w:pPr>
        <w:pStyle w:val="Heading4"/>
      </w:pPr>
      <w:r w:rsidRPr="000B035A">
        <w:t xml:space="preserve">Payer and </w:t>
      </w:r>
      <w:r>
        <w:t>p</w:t>
      </w:r>
      <w:r w:rsidRPr="000B035A">
        <w:t xml:space="preserve">ayee </w:t>
      </w:r>
      <w:r>
        <w:t>d</w:t>
      </w:r>
      <w:r w:rsidRPr="000B035A">
        <w:t>etails</w:t>
      </w:r>
    </w:p>
    <w:p w14:paraId="16AE2216" w14:textId="7661E67C" w:rsidR="00503C37" w:rsidRDefault="00503C37" w:rsidP="00F63EB6">
      <w:pPr>
        <w:pStyle w:val="OutlineNumbered1"/>
        <w:ind w:left="567" w:hanging="567"/>
      </w:pPr>
      <w:r w:rsidRPr="00EA0A6E">
        <w:t xml:space="preserve">Include the payer’s </w:t>
      </w:r>
      <w:r>
        <w:t>name and, if available, its</w:t>
      </w:r>
      <w:r w:rsidRPr="00EA0A6E">
        <w:t xml:space="preserve"> ABN, ACN, or ARBN</w:t>
      </w:r>
      <w:r>
        <w:t>.</w:t>
      </w:r>
    </w:p>
    <w:p w14:paraId="4D231E33" w14:textId="778A785C" w:rsidR="000E0490" w:rsidRPr="00EA0A6E" w:rsidRDefault="00626F68" w:rsidP="00F63EB6">
      <w:pPr>
        <w:pStyle w:val="OutlineNumbered1"/>
        <w:ind w:left="567" w:hanging="567"/>
      </w:pPr>
      <w:r>
        <w:t xml:space="preserve">Include the payee’s name and ABN. </w:t>
      </w:r>
      <w:r w:rsidR="000E0490" w:rsidRPr="00EA0A6E">
        <w:t xml:space="preserve">If the payee does not have an ABN, </w:t>
      </w:r>
      <w:r w:rsidR="000E0490">
        <w:t xml:space="preserve">the payment may be </w:t>
      </w:r>
      <w:r w:rsidR="000E0490" w:rsidRPr="00EA0A6E">
        <w:t>exclude</w:t>
      </w:r>
      <w:r w:rsidR="000E0490">
        <w:t>d from the report</w:t>
      </w:r>
      <w:r w:rsidR="000E0490" w:rsidRPr="00EA0A6E">
        <w:t xml:space="preserve">. For </w:t>
      </w:r>
      <w:r w:rsidR="000E0490">
        <w:t xml:space="preserve">more </w:t>
      </w:r>
      <w:r w:rsidR="000E0490" w:rsidRPr="00EA0A6E">
        <w:t>information</w:t>
      </w:r>
      <w:r w:rsidR="000E0490">
        <w:t xml:space="preserve">, see </w:t>
      </w:r>
      <w:r w:rsidR="000E0490" w:rsidRPr="00D03B1B">
        <w:rPr>
          <w:b/>
          <w:bCs/>
          <w:color w:val="00827F" w:themeColor="accent2"/>
        </w:rPr>
        <w:fldChar w:fldCharType="begin"/>
      </w:r>
      <w:r w:rsidR="000E0490" w:rsidRPr="00D03B1B">
        <w:rPr>
          <w:b/>
          <w:bCs/>
          <w:color w:val="00827F" w:themeColor="accent2"/>
        </w:rPr>
        <w:instrText xml:space="preserve"> REF _Ref179827271 \h  \* MERGEFORMAT </w:instrText>
      </w:r>
      <w:r w:rsidR="000E0490" w:rsidRPr="00D03B1B">
        <w:rPr>
          <w:b/>
          <w:bCs/>
          <w:color w:val="00827F" w:themeColor="accent2"/>
        </w:rPr>
      </w:r>
      <w:r w:rsidR="000E0490" w:rsidRPr="00D03B1B">
        <w:rPr>
          <w:b/>
          <w:bCs/>
          <w:color w:val="00827F" w:themeColor="accent2"/>
        </w:rPr>
        <w:fldChar w:fldCharType="separate"/>
      </w:r>
      <w:r w:rsidR="000E0490" w:rsidRPr="00D03B1B">
        <w:rPr>
          <w:b/>
          <w:bCs/>
          <w:color w:val="00827F" w:themeColor="accent2"/>
        </w:rPr>
        <w:t>Excluded payment – Entity without an ABN</w:t>
      </w:r>
      <w:r w:rsidR="000E0490" w:rsidRPr="00D03B1B">
        <w:rPr>
          <w:b/>
          <w:bCs/>
          <w:color w:val="00827F" w:themeColor="accent2"/>
        </w:rPr>
        <w:fldChar w:fldCharType="end"/>
      </w:r>
      <w:r w:rsidR="000E0490" w:rsidRPr="003C2458">
        <w:t>.</w:t>
      </w:r>
    </w:p>
    <w:p w14:paraId="574A6C62" w14:textId="77777777" w:rsidR="000E0490" w:rsidRDefault="000E0490" w:rsidP="000E0490">
      <w:pPr>
        <w:pStyle w:val="Heading4"/>
      </w:pPr>
      <w:r w:rsidRPr="000B035A">
        <w:t xml:space="preserve">Payment </w:t>
      </w:r>
      <w:r>
        <w:t>d</w:t>
      </w:r>
      <w:r w:rsidRPr="000B035A">
        <w:t xml:space="preserve">ate and </w:t>
      </w:r>
      <w:r>
        <w:t>a</w:t>
      </w:r>
      <w:r w:rsidRPr="000B035A">
        <w:t>mount</w:t>
      </w:r>
    </w:p>
    <w:p w14:paraId="5D2CCDFB" w14:textId="4FB74C88" w:rsidR="000E0490" w:rsidRPr="00EA0A6E" w:rsidRDefault="000E0490" w:rsidP="009C7523">
      <w:pPr>
        <w:pStyle w:val="OutlineNumbered1"/>
        <w:spacing w:before="120"/>
        <w:ind w:left="567" w:hanging="567"/>
      </w:pPr>
      <w:r w:rsidRPr="00EA0A6E">
        <w:t xml:space="preserve">The payment date is the date the entity takes action to pay, not when the payee receives it. </w:t>
      </w:r>
    </w:p>
    <w:p w14:paraId="094740E8" w14:textId="5BF9FC7C" w:rsidR="006B6049" w:rsidRDefault="000E0490" w:rsidP="009C7523">
      <w:pPr>
        <w:pStyle w:val="OutlineNumbered1"/>
        <w:spacing w:before="120"/>
        <w:ind w:left="567" w:hanging="567"/>
      </w:pPr>
      <w:r w:rsidRPr="00EA0A6E">
        <w:t xml:space="preserve">Report payments in Australian dollars. If </w:t>
      </w:r>
      <w:r>
        <w:t xml:space="preserve">the payment amount is </w:t>
      </w:r>
      <w:r w:rsidRPr="00EA0A6E">
        <w:t xml:space="preserve">already converted for accounting purposes, use the converted value. </w:t>
      </w:r>
      <w:r w:rsidRPr="00564CDB">
        <w:t>If the payment has not already been converted</w:t>
      </w:r>
      <w:r>
        <w:t>,</w:t>
      </w:r>
      <w:r w:rsidRPr="00564CDB">
        <w:t xml:space="preserve"> use the average daily rates published by the Reserve Bank of Australia to convert the payment to Australian dollars.</w:t>
      </w:r>
      <w:r w:rsidR="008A71FC">
        <w:t xml:space="preserve"> </w:t>
      </w:r>
      <w:r w:rsidR="00176FCF">
        <w:t xml:space="preserve"> </w:t>
      </w:r>
      <w:r w:rsidR="005A286F">
        <w:t xml:space="preserve"> </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2F97E6C6" w14:textId="77777777">
        <w:tc>
          <w:tcPr>
            <w:tcW w:w="5000" w:type="pct"/>
            <w:shd w:val="clear" w:color="auto" w:fill="EBF1F7"/>
          </w:tcPr>
          <w:p w14:paraId="0C37D66A" w14:textId="6BF8BDEC" w:rsidR="00F63EB6" w:rsidRPr="000553FE" w:rsidRDefault="00726837">
            <w:pPr>
              <w:pStyle w:val="BoxHeading"/>
              <w:rPr>
                <w:b w:val="0"/>
              </w:rPr>
            </w:pPr>
            <w:r>
              <w:lastRenderedPageBreak/>
              <w:t>Example</w:t>
            </w:r>
            <w:r w:rsidR="00031282">
              <w:t xml:space="preserve"> 28</w:t>
            </w:r>
          </w:p>
          <w:p w14:paraId="552961D8" w14:textId="4AD60C0D" w:rsidR="00F63EB6" w:rsidRPr="00247BAC" w:rsidRDefault="00726837">
            <w:pPr>
              <w:pStyle w:val="BoxHeading2-Blue"/>
            </w:pPr>
            <w:r>
              <w:rPr>
                <w:rStyle w:val="Strong"/>
              </w:rPr>
              <w:t>Credit note</w:t>
            </w:r>
          </w:p>
          <w:p w14:paraId="63F99208" w14:textId="24B262A8" w:rsidR="00726837" w:rsidRDefault="00726837" w:rsidP="00726837">
            <w:pPr>
              <w:pStyle w:val="BoxText"/>
            </w:pPr>
            <w:r>
              <w:t>An entity has a trade credit arrangement for $500 and a credit note from the supplier for $200. A payment</w:t>
            </w:r>
            <w:r w:rsidR="0005587D">
              <w:t xml:space="preserve"> of $300</w:t>
            </w:r>
            <w:r>
              <w:t xml:space="preserve"> is made to finalise the arrangement. </w:t>
            </w:r>
          </w:p>
          <w:p w14:paraId="3472B509" w14:textId="3247299A" w:rsidR="00F63EB6" w:rsidRPr="008950C5" w:rsidRDefault="00726837" w:rsidP="00726837">
            <w:pPr>
              <w:pStyle w:val="BoxBullet"/>
              <w:ind w:left="284" w:hanging="284"/>
            </w:pPr>
            <w:r>
              <w:t>The payment amount is $300 as the amount actually paid to the supplier.</w:t>
            </w:r>
          </w:p>
        </w:tc>
      </w:tr>
    </w:tbl>
    <w:p w14:paraId="222585F4" w14:textId="77777777" w:rsidR="000E0490" w:rsidRPr="00225D4C" w:rsidRDefault="000E0490" w:rsidP="000E0490">
      <w:pPr>
        <w:pStyle w:val="Heading4"/>
      </w:pPr>
      <w:bookmarkStart w:id="116" w:name="_Ref179827299"/>
      <w:r w:rsidRPr="00225D4C">
        <w:t xml:space="preserve">Credit </w:t>
      </w:r>
      <w:r>
        <w:t>card payment</w:t>
      </w:r>
      <w:bookmarkEnd w:id="116"/>
    </w:p>
    <w:p w14:paraId="1490B1E4" w14:textId="77777777" w:rsidR="000E0490" w:rsidRPr="00EA0A6E" w:rsidRDefault="000E0490" w:rsidP="00F63EB6">
      <w:pPr>
        <w:pStyle w:val="OutlineNumbered1"/>
        <w:ind w:left="567" w:hanging="567"/>
      </w:pPr>
      <w:r w:rsidRPr="00EA0A6E">
        <w:t xml:space="preserve">Credit card payments must be </w:t>
      </w:r>
      <w:r>
        <w:t xml:space="preserve">identifiable </w:t>
      </w:r>
      <w:r w:rsidRPr="00EA0A6E">
        <w:t xml:space="preserve">from other types of payments to correctly apply </w:t>
      </w:r>
      <w:r>
        <w:t xml:space="preserve">credit card </w:t>
      </w:r>
      <w:r w:rsidRPr="00EA0A6E">
        <w:t xml:space="preserve">exclusions. </w:t>
      </w:r>
    </w:p>
    <w:p w14:paraId="0E053FEA" w14:textId="7250CF97" w:rsidR="000E0490" w:rsidRPr="00765BC1" w:rsidRDefault="000E0490" w:rsidP="00F63EB6">
      <w:pPr>
        <w:pStyle w:val="OutlineNumbered1"/>
        <w:ind w:left="567" w:hanging="567"/>
        <w:rPr>
          <w:rFonts w:ascii="Times New Roman" w:hAnsi="Times New Roman"/>
          <w:sz w:val="24"/>
          <w:szCs w:val="24"/>
        </w:rPr>
      </w:pPr>
      <w:r w:rsidRPr="00EA0A6E">
        <w:t>For more information</w:t>
      </w:r>
      <w:r>
        <w:t>,</w:t>
      </w:r>
      <w:r w:rsidRPr="00EA0A6E">
        <w:t xml:space="preserve"> see</w:t>
      </w:r>
      <w:r>
        <w:t xml:space="preserve"> </w:t>
      </w:r>
      <w:r w:rsidRPr="00D03B1B">
        <w:rPr>
          <w:b/>
          <w:bCs/>
          <w:color w:val="00827F" w:themeColor="accent2"/>
        </w:rPr>
        <w:fldChar w:fldCharType="begin"/>
      </w:r>
      <w:r w:rsidRPr="00D03B1B">
        <w:rPr>
          <w:b/>
          <w:bCs/>
          <w:color w:val="00827F" w:themeColor="accent2"/>
        </w:rPr>
        <w:instrText xml:space="preserve"> REF _Ref180766642 \h </w:instrText>
      </w:r>
      <w:r w:rsidR="00D03B1B">
        <w:rPr>
          <w:b/>
          <w:bCs/>
          <w:color w:val="00827F" w:themeColor="accent2"/>
        </w:rPr>
        <w:instrText xml:space="preserve"> \* MERGEFORMAT </w:instrText>
      </w:r>
      <w:r w:rsidRPr="00D03B1B">
        <w:rPr>
          <w:b/>
          <w:bCs/>
          <w:color w:val="00827F" w:themeColor="accent2"/>
        </w:rPr>
      </w:r>
      <w:r w:rsidRPr="00D03B1B">
        <w:rPr>
          <w:b/>
          <w:bCs/>
          <w:color w:val="00827F" w:themeColor="accent2"/>
        </w:rPr>
        <w:fldChar w:fldCharType="separate"/>
      </w:r>
      <w:r w:rsidRPr="00D03B1B">
        <w:rPr>
          <w:b/>
          <w:bCs/>
          <w:color w:val="00827F" w:themeColor="accent2"/>
        </w:rPr>
        <w:t>Excluded payment – Credit cards</w:t>
      </w:r>
      <w:r w:rsidRPr="00D03B1B">
        <w:rPr>
          <w:b/>
          <w:bCs/>
          <w:color w:val="00827F" w:themeColor="accent2"/>
        </w:rPr>
        <w:fldChar w:fldCharType="end"/>
      </w:r>
      <w:r>
        <w:t>.</w:t>
      </w:r>
    </w:p>
    <w:p w14:paraId="7A719D71" w14:textId="77777777" w:rsidR="000E0490" w:rsidRPr="00225D4C" w:rsidRDefault="000E0490" w:rsidP="000E0490">
      <w:pPr>
        <w:pStyle w:val="Heading4"/>
      </w:pPr>
      <w:bookmarkStart w:id="117" w:name="_Ref179827315"/>
      <w:r w:rsidRPr="00225D4C">
        <w:t xml:space="preserve">Partial </w:t>
      </w:r>
      <w:r>
        <w:t>p</w:t>
      </w:r>
      <w:r w:rsidRPr="00225D4C">
        <w:t>ayments</w:t>
      </w:r>
      <w:bookmarkEnd w:id="117"/>
    </w:p>
    <w:p w14:paraId="73B1E30C" w14:textId="7770FC4E" w:rsidR="000E0490" w:rsidRPr="0075092F" w:rsidRDefault="000E0490" w:rsidP="009C7523">
      <w:pPr>
        <w:pStyle w:val="OutlineNumbered1"/>
        <w:spacing w:before="120"/>
        <w:ind w:left="567" w:hanging="567"/>
      </w:pPr>
      <w:r w:rsidRPr="00EA0A6E">
        <w:t xml:space="preserve">Payment times are based on payments that fully settle an obligation. </w:t>
      </w:r>
      <w:r w:rsidR="00E92E39">
        <w:t>Any</w:t>
      </w:r>
      <w:r w:rsidR="00E92087">
        <w:t xml:space="preserve"> payment that </w:t>
      </w:r>
      <w:r w:rsidR="00D314BB">
        <w:t>does not settle</w:t>
      </w:r>
      <w:r w:rsidR="003D4452">
        <w:t xml:space="preserve"> an </w:t>
      </w:r>
      <w:r w:rsidR="00D314BB">
        <w:t>obligation is to be</w:t>
      </w:r>
      <w:r w:rsidR="00E92087">
        <w:t xml:space="preserve"> recorded as a partial payment in the TCP Dataset.</w:t>
      </w:r>
      <w:r w:rsidRPr="00EA0A6E">
        <w:t xml:space="preserve"> Partial payments must be identifiable so they can be excluded from payment times calculations</w:t>
      </w:r>
      <w:r w:rsidR="00527059">
        <w:t xml:space="preserve"> </w:t>
      </w:r>
      <w:r w:rsidR="0010629E">
        <w:t>in</w:t>
      </w:r>
      <w:r w:rsidR="00A422FF">
        <w:t xml:space="preserve"> a payment times report</w:t>
      </w:r>
      <w:r w:rsidR="0010629E">
        <w:t>.</w:t>
      </w:r>
    </w:p>
    <w:p w14:paraId="6BD6C30B" w14:textId="3F225307" w:rsidR="00CF562E" w:rsidRPr="0075092F" w:rsidRDefault="00CF562E" w:rsidP="009C7523">
      <w:pPr>
        <w:pStyle w:val="OutlineNumbered1"/>
        <w:spacing w:before="120"/>
        <w:ind w:left="567" w:hanging="567"/>
      </w:pPr>
      <w:r>
        <w:t>Although p</w:t>
      </w:r>
      <w:r w:rsidRPr="00963038">
        <w:t>artial payments</w:t>
      </w:r>
      <w:r>
        <w:t xml:space="preserve"> are not used for the calculation of payment times data, they must be</w:t>
      </w:r>
      <w:r w:rsidRPr="00963038">
        <w:t xml:space="preserve"> i</w:t>
      </w:r>
      <w:r w:rsidRPr="0075092F">
        <w:t>ncluded in</w:t>
      </w:r>
      <w:r w:rsidRPr="00963038">
        <w:t xml:space="preserve"> the</w:t>
      </w:r>
      <w:r w:rsidRPr="0075092F">
        <w:t xml:space="preserve"> TCP</w:t>
      </w:r>
      <w:r w:rsidRPr="00963038">
        <w:t xml:space="preserve"> Dataset</w:t>
      </w:r>
      <w:r w:rsidRPr="0075092F">
        <w:t xml:space="preserve"> </w:t>
      </w:r>
      <w:r>
        <w:t>to enable the</w:t>
      </w:r>
      <w:r w:rsidRPr="0075092F">
        <w:t xml:space="preserve"> </w:t>
      </w:r>
      <w:r>
        <w:t>reporting entity to calculate its</w:t>
      </w:r>
      <w:r w:rsidRPr="0075092F">
        <w:t xml:space="preserve"> </w:t>
      </w:r>
      <w:r w:rsidR="004B6F38" w:rsidRPr="00D03B1B">
        <w:rPr>
          <w:b/>
          <w:bCs/>
          <w:color w:val="00827F" w:themeColor="accent2"/>
        </w:rPr>
        <w:fldChar w:fldCharType="begin"/>
      </w:r>
      <w:r w:rsidR="004B6F38" w:rsidRPr="00D03B1B">
        <w:rPr>
          <w:b/>
          <w:bCs/>
          <w:color w:val="00827F" w:themeColor="accent2"/>
        </w:rPr>
        <w:instrText xml:space="preserve"> REF _Ref184648556 \h </w:instrText>
      </w:r>
      <w:r w:rsidR="00D03B1B">
        <w:rPr>
          <w:b/>
          <w:bCs/>
          <w:color w:val="00827F" w:themeColor="accent2"/>
        </w:rPr>
        <w:instrText xml:space="preserve"> \* MERGEFORMAT </w:instrText>
      </w:r>
      <w:r w:rsidR="004B6F38" w:rsidRPr="00D03B1B">
        <w:rPr>
          <w:b/>
          <w:bCs/>
          <w:color w:val="00827F" w:themeColor="accent2"/>
        </w:rPr>
      </w:r>
      <w:r w:rsidR="004B6F38" w:rsidRPr="00D03B1B">
        <w:rPr>
          <w:b/>
          <w:bCs/>
          <w:color w:val="00827F" w:themeColor="accent2"/>
        </w:rPr>
        <w:fldChar w:fldCharType="separate"/>
      </w:r>
      <w:r w:rsidR="004B6F38" w:rsidRPr="00D03B1B">
        <w:rPr>
          <w:b/>
          <w:bCs/>
          <w:color w:val="00827F" w:themeColor="accent2"/>
        </w:rPr>
        <w:t>percentage of small business procurement</w:t>
      </w:r>
      <w:r w:rsidR="004B6F38" w:rsidRPr="00D03B1B">
        <w:rPr>
          <w:b/>
          <w:bCs/>
          <w:color w:val="00827F" w:themeColor="accent2"/>
        </w:rPr>
        <w:fldChar w:fldCharType="end"/>
      </w:r>
      <w:r w:rsidR="004B6F38">
        <w:t>.</w:t>
      </w:r>
    </w:p>
    <w:p w14:paraId="3407B44D" w14:textId="648EFAC3" w:rsidR="0010629E" w:rsidRPr="00765BC1" w:rsidRDefault="0010629E" w:rsidP="009C7523">
      <w:pPr>
        <w:pStyle w:val="OutlineNumbered1"/>
        <w:spacing w:before="120"/>
        <w:ind w:left="567" w:hanging="567"/>
        <w:rPr>
          <w:rFonts w:ascii="Times New Roman" w:hAnsi="Times New Roman"/>
          <w:sz w:val="24"/>
          <w:szCs w:val="24"/>
        </w:rPr>
      </w:pPr>
      <w:r w:rsidRPr="002D315B">
        <w:t>For more information</w:t>
      </w:r>
      <w:r>
        <w:t>,</w:t>
      </w:r>
      <w:r w:rsidRPr="002D315B">
        <w:t xml:space="preserve"> see</w:t>
      </w:r>
      <w:r>
        <w:t xml:space="preserve"> </w:t>
      </w:r>
      <w:r w:rsidRPr="00D03B1B">
        <w:rPr>
          <w:b/>
          <w:bCs/>
          <w:color w:val="00827F" w:themeColor="accent2"/>
        </w:rPr>
        <w:fldChar w:fldCharType="begin"/>
      </w:r>
      <w:r w:rsidRPr="00D03B1B">
        <w:rPr>
          <w:b/>
          <w:bCs/>
          <w:color w:val="00827F" w:themeColor="accent2"/>
        </w:rPr>
        <w:instrText xml:space="preserve"> REF _Ref180766606 \h </w:instrText>
      </w:r>
      <w:r w:rsidR="004E4121" w:rsidRPr="00D03B1B">
        <w:rPr>
          <w:b/>
          <w:bCs/>
          <w:color w:val="00827F" w:themeColor="accent2"/>
        </w:rPr>
        <w:instrText xml:space="preserve"> \* MERGEFORMAT </w:instrText>
      </w:r>
      <w:r w:rsidRPr="00D03B1B">
        <w:rPr>
          <w:b/>
          <w:bCs/>
          <w:color w:val="00827F" w:themeColor="accent2"/>
        </w:rPr>
      </w:r>
      <w:r w:rsidRPr="00D03B1B">
        <w:rPr>
          <w:b/>
          <w:bCs/>
          <w:color w:val="00827F" w:themeColor="accent2"/>
        </w:rPr>
        <w:fldChar w:fldCharType="separate"/>
      </w:r>
      <w:r w:rsidRPr="00D03B1B">
        <w:rPr>
          <w:b/>
          <w:bCs/>
          <w:color w:val="00827F" w:themeColor="accent2"/>
        </w:rPr>
        <w:t>Excluded payments – Partial payments</w:t>
      </w:r>
      <w:r w:rsidRPr="00D03B1B">
        <w:rPr>
          <w:b/>
          <w:bCs/>
          <w:color w:val="00827F" w:themeColor="accent2"/>
        </w:rPr>
        <w:fldChar w:fldCharType="end"/>
      </w:r>
      <w:r w:rsidRPr="00D03B1B">
        <w:rPr>
          <w:b/>
          <w:bCs/>
          <w:color w:val="00827F" w:themeColor="accent2"/>
        </w:rPr>
        <w:t>.</w:t>
      </w:r>
      <w:r w:rsidRPr="007D5745" w:rsidDel="00194933">
        <w:rPr>
          <w:rFonts w:ascii="Times New Roman" w:hAnsi="Times New Roman"/>
          <w:color w:val="00827F" w:themeColor="accent2"/>
          <w:sz w:val="24"/>
          <w:szCs w:val="24"/>
        </w:rPr>
        <w:t xml:space="preserve"> </w:t>
      </w:r>
    </w:p>
    <w:p w14:paraId="268065EE" w14:textId="77777777" w:rsidR="000E0490" w:rsidRPr="00BA6010" w:rsidRDefault="000E0490" w:rsidP="000E0490">
      <w:pPr>
        <w:pStyle w:val="Heading4"/>
      </w:pPr>
      <w:r w:rsidRPr="00BA6010">
        <w:t xml:space="preserve">eInvoice </w:t>
      </w:r>
      <w:r>
        <w:t>c</w:t>
      </w:r>
      <w:r w:rsidRPr="00BA6010">
        <w:t>apab</w:t>
      </w:r>
      <w:r>
        <w:t>le</w:t>
      </w:r>
    </w:p>
    <w:p w14:paraId="26D3135C" w14:textId="77777777" w:rsidR="000E0490" w:rsidRPr="00EA0A6E" w:rsidRDefault="000E0490" w:rsidP="009C7523">
      <w:pPr>
        <w:pStyle w:val="OutlineNumbered1"/>
        <w:spacing w:before="120"/>
        <w:ind w:left="567" w:hanging="567"/>
      </w:pPr>
      <w:r w:rsidRPr="00EA0A6E">
        <w:t>Only invoices or payment notices that could be sent</w:t>
      </w:r>
      <w:r>
        <w:t xml:space="preserve"> or received </w:t>
      </w:r>
      <w:r w:rsidRPr="00EA0A6E">
        <w:t>through the Peppol eInvoicing network qualify as eInvoices. To confirm whether an entity is capable of receiving eInvoices, the Regulator may check the register of Peppol-connected entities maintained by the Australian Taxation Office.</w:t>
      </w:r>
    </w:p>
    <w:p w14:paraId="0A9A773C" w14:textId="77777777" w:rsidR="000E0490" w:rsidRDefault="000E0490" w:rsidP="009C7523">
      <w:pPr>
        <w:pStyle w:val="OutlineNumbered1"/>
        <w:spacing w:before="120"/>
        <w:ind w:left="567" w:hanging="567"/>
      </w:pPr>
      <w:r w:rsidRPr="00EA0A6E">
        <w:t>A payment is considered eInvoice capable when the receiving reporting entity is set up to receive eInvoices and has no business rules that block or reroute them.</w:t>
      </w:r>
    </w:p>
    <w:p w14:paraId="08B9831F" w14:textId="77777777" w:rsidR="009C7523" w:rsidRDefault="009C7523" w:rsidP="009C7523">
      <w:pPr>
        <w:pStyle w:val="OutlineNumbered1"/>
        <w:numPr>
          <w:ilvl w:val="0"/>
          <w:numId w:val="0"/>
        </w:numPr>
        <w:spacing w:before="120"/>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537FE5E1" w14:textId="77777777">
        <w:tc>
          <w:tcPr>
            <w:tcW w:w="5000" w:type="pct"/>
            <w:shd w:val="clear" w:color="auto" w:fill="EBF1F7"/>
          </w:tcPr>
          <w:p w14:paraId="364C410F" w14:textId="77B1587A" w:rsidR="00F63EB6" w:rsidRPr="000553FE" w:rsidRDefault="00726837">
            <w:pPr>
              <w:pStyle w:val="BoxHeading"/>
              <w:rPr>
                <w:b w:val="0"/>
              </w:rPr>
            </w:pPr>
            <w:r>
              <w:t>Example</w:t>
            </w:r>
            <w:r w:rsidR="00031282">
              <w:t xml:space="preserve"> 29</w:t>
            </w:r>
          </w:p>
          <w:p w14:paraId="26689EB0" w14:textId="7451CA31" w:rsidR="00F63EB6" w:rsidRPr="00247BAC" w:rsidRDefault="00726837">
            <w:pPr>
              <w:pStyle w:val="BoxHeading2-Blue"/>
            </w:pPr>
            <w:r>
              <w:rPr>
                <w:rStyle w:val="Strong"/>
              </w:rPr>
              <w:t>Connected but not capable</w:t>
            </w:r>
          </w:p>
          <w:p w14:paraId="446FE1EE" w14:textId="77777777" w:rsidR="00726837" w:rsidRDefault="00726837" w:rsidP="00726837">
            <w:pPr>
              <w:pStyle w:val="BoxText"/>
            </w:pPr>
            <w:r w:rsidRPr="00726837">
              <w:t xml:space="preserve">An entity uses a global ERP system connected to the Peppol network. However, it rejects eInvoices and directs suppliers to a different invoicing portal. This entity is not eInvoice capable, as its business rules prevent the processing of eInvoices. </w:t>
            </w:r>
          </w:p>
          <w:p w14:paraId="0CB9EB2D" w14:textId="2E869CD3" w:rsidR="00F63EB6" w:rsidRPr="008950C5" w:rsidRDefault="00726837" w:rsidP="00726837">
            <w:pPr>
              <w:pStyle w:val="BoxBullet"/>
              <w:ind w:left="284" w:hanging="284"/>
            </w:pPr>
            <w:r w:rsidRPr="00726837">
              <w:t>Using an alternative online invoicing system does not make an invoice an 'eInvoice'.</w:t>
            </w:r>
          </w:p>
        </w:tc>
      </w:tr>
    </w:tbl>
    <w:p w14:paraId="5F79518E" w14:textId="77777777" w:rsidR="000E0490" w:rsidRDefault="000E0490" w:rsidP="007D5745">
      <w:pPr>
        <w:pStyle w:val="OutlineNumbered1"/>
        <w:spacing w:before="240"/>
        <w:ind w:left="567" w:hanging="567"/>
      </w:pPr>
      <w:r w:rsidRPr="00EA0A6E">
        <w:t xml:space="preserve">Entities can assess eInvoice capability at the system level without reviewing individual invoices. </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2FCF47F0" w14:textId="77777777">
        <w:tc>
          <w:tcPr>
            <w:tcW w:w="5000" w:type="pct"/>
            <w:shd w:val="clear" w:color="auto" w:fill="EBF1F7"/>
          </w:tcPr>
          <w:p w14:paraId="19549B9B" w14:textId="4B886D30" w:rsidR="00F63EB6" w:rsidRPr="000553FE" w:rsidRDefault="00726837">
            <w:pPr>
              <w:pStyle w:val="BoxHeading"/>
              <w:rPr>
                <w:b w:val="0"/>
              </w:rPr>
            </w:pPr>
            <w:r>
              <w:lastRenderedPageBreak/>
              <w:t>Example</w:t>
            </w:r>
            <w:r w:rsidR="00031282">
              <w:t xml:space="preserve"> 30</w:t>
            </w:r>
          </w:p>
          <w:p w14:paraId="5DE24147" w14:textId="5325BD33" w:rsidR="00F63EB6" w:rsidRPr="00247BAC" w:rsidRDefault="00726837">
            <w:pPr>
              <w:pStyle w:val="BoxHeading2-Blue"/>
            </w:pPr>
            <w:r>
              <w:rPr>
                <w:rStyle w:val="Strong"/>
              </w:rPr>
              <w:t>System level assessment</w:t>
            </w:r>
          </w:p>
          <w:p w14:paraId="31D90743" w14:textId="77777777" w:rsidR="00951373" w:rsidRDefault="00951373" w:rsidP="00951373">
            <w:pPr>
              <w:pStyle w:val="BoxText"/>
            </w:pPr>
            <w:r>
              <w:t>An entity uses two ERP systems for different business units. One system is eInvoice capable and connected for the entire reporting period. The other is connected and eInvoice capable only in the last month of the reporting period.</w:t>
            </w:r>
          </w:p>
          <w:p w14:paraId="36A33FB1" w14:textId="4B31FD9F" w:rsidR="00F63EB6" w:rsidRPr="008950C5" w:rsidRDefault="00951373" w:rsidP="00737AAF">
            <w:pPr>
              <w:pStyle w:val="BoxBullet"/>
              <w:ind w:left="284" w:hanging="284"/>
            </w:pPr>
            <w:r>
              <w:t>In this case, the entity should classify payments from the first system as eInvoice capable for the whole period, and classify payments from the second system as eInvoice capable from the connection date.</w:t>
            </w:r>
          </w:p>
        </w:tc>
      </w:tr>
    </w:tbl>
    <w:p w14:paraId="7F1949C1" w14:textId="3F878616" w:rsidR="000E0490" w:rsidRPr="00EA0A6E" w:rsidRDefault="000E0490" w:rsidP="000E0490">
      <w:pPr>
        <w:pStyle w:val="Heading4"/>
        <w:rPr>
          <w:b w:val="0"/>
        </w:rPr>
      </w:pPr>
      <w:r w:rsidRPr="00EA0A6E">
        <w:t>RCTIs</w:t>
      </w:r>
    </w:p>
    <w:p w14:paraId="082F7747" w14:textId="77777777" w:rsidR="000E0490" w:rsidRPr="00824BC9" w:rsidRDefault="000E0490" w:rsidP="00F63EB6">
      <w:pPr>
        <w:pStyle w:val="OutlineNumbered1"/>
        <w:ind w:left="567" w:hanging="567"/>
        <w:rPr>
          <w:rFonts w:ascii="Times New Roman" w:hAnsi="Times New Roman"/>
          <w:sz w:val="24"/>
          <w:szCs w:val="24"/>
        </w:rPr>
      </w:pPr>
      <w:r>
        <w:t>Special rules apply for calculation of payment times for RCTIs. To ensure the correct methodology is used, RCTIs need to be identifiable from other invoice types in the TCP Dataset.</w:t>
      </w:r>
    </w:p>
    <w:p w14:paraId="1FFF87EE" w14:textId="77777777" w:rsidR="000E0490" w:rsidRPr="008A261F" w:rsidRDefault="000E0490" w:rsidP="000E0490">
      <w:pPr>
        <w:pStyle w:val="Heading4"/>
      </w:pPr>
      <w:r w:rsidRPr="008A261F">
        <w:t xml:space="preserve">Invoice and </w:t>
      </w:r>
      <w:r>
        <w:t>r</w:t>
      </w:r>
      <w:r w:rsidRPr="008A261F">
        <w:t xml:space="preserve">eceipt </w:t>
      </w:r>
      <w:r>
        <w:t>d</w:t>
      </w:r>
      <w:r w:rsidRPr="008A261F">
        <w:t>ates</w:t>
      </w:r>
    </w:p>
    <w:p w14:paraId="290E8496" w14:textId="77777777" w:rsidR="000E0490" w:rsidRDefault="000E0490" w:rsidP="00853653">
      <w:pPr>
        <w:pStyle w:val="OutlineNumbered1"/>
        <w:spacing w:after="240"/>
        <w:ind w:left="567" w:hanging="567"/>
      </w:pPr>
      <w:r w:rsidRPr="00EA0A6E">
        <w:t xml:space="preserve">Reporting entities only need to include the invoice receipt date </w:t>
      </w:r>
      <w:r>
        <w:t xml:space="preserve">in the TCP Dataset </w:t>
      </w:r>
      <w:r w:rsidRPr="00EA0A6E">
        <w:t>if it has been recorded. If there are multiple dates listed on an invoice, use the most recent one.</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486156F2" w14:textId="77777777">
        <w:tc>
          <w:tcPr>
            <w:tcW w:w="5000" w:type="pct"/>
            <w:shd w:val="clear" w:color="auto" w:fill="EBF1F7"/>
          </w:tcPr>
          <w:p w14:paraId="1AD6D99C" w14:textId="7A619CFE" w:rsidR="00F63EB6" w:rsidRPr="000553FE" w:rsidRDefault="00737AAF">
            <w:pPr>
              <w:pStyle w:val="BoxHeading"/>
              <w:rPr>
                <w:b w:val="0"/>
              </w:rPr>
            </w:pPr>
            <w:r>
              <w:t>Example</w:t>
            </w:r>
            <w:r w:rsidR="00031282">
              <w:t xml:space="preserve"> 31</w:t>
            </w:r>
          </w:p>
          <w:p w14:paraId="3F66EE18" w14:textId="00D45EDF" w:rsidR="00F63EB6" w:rsidRPr="00247BAC" w:rsidRDefault="00737AAF">
            <w:pPr>
              <w:pStyle w:val="BoxHeading2-Blue"/>
            </w:pPr>
            <w:r>
              <w:rPr>
                <w:rStyle w:val="Strong"/>
              </w:rPr>
              <w:t>Multiple dates on invoice</w:t>
            </w:r>
          </w:p>
          <w:p w14:paraId="0532AA77" w14:textId="7DE69A3A" w:rsidR="00737AAF" w:rsidRDefault="00737AAF">
            <w:pPr>
              <w:pStyle w:val="BoxText"/>
            </w:pPr>
            <w:r w:rsidRPr="00737AAF">
              <w:t>An entity receives an invoice with an ‘invoice date’ of 1 January and an ‘issue date’ of 3</w:t>
            </w:r>
            <w:r w:rsidR="0024347F">
              <w:t> </w:t>
            </w:r>
            <w:r w:rsidRPr="00737AAF">
              <w:t xml:space="preserve">January. </w:t>
            </w:r>
          </w:p>
          <w:p w14:paraId="455426CD" w14:textId="73CAF52E" w:rsidR="00F63EB6" w:rsidRPr="008950C5" w:rsidRDefault="00737AAF" w:rsidP="00737AAF">
            <w:pPr>
              <w:pStyle w:val="BoxBullet"/>
              <w:ind w:left="284" w:hanging="284"/>
            </w:pPr>
            <w:r w:rsidRPr="00737AAF">
              <w:t>The entity may use the 3 January date as the invoice date for reporting.</w:t>
            </w:r>
          </w:p>
        </w:tc>
      </w:tr>
    </w:tbl>
    <w:p w14:paraId="6440631B" w14:textId="4EE03C13" w:rsidR="000E0490" w:rsidRDefault="000E0490" w:rsidP="000E0490">
      <w:pPr>
        <w:pStyle w:val="Heading4"/>
      </w:pPr>
      <w:r w:rsidRPr="00F83D1E">
        <w:t xml:space="preserve">Payment </w:t>
      </w:r>
      <w:r>
        <w:t>t</w:t>
      </w:r>
      <w:r w:rsidRPr="00F83D1E">
        <w:t>erms</w:t>
      </w:r>
    </w:p>
    <w:p w14:paraId="4675CA66" w14:textId="3DAAD1E4" w:rsidR="00E15DC7" w:rsidRDefault="000E0490" w:rsidP="00F63EB6">
      <w:pPr>
        <w:pStyle w:val="OutlineNumbered1"/>
        <w:ind w:left="567" w:hanging="567"/>
      </w:pPr>
      <w:r w:rsidRPr="00CC39B7">
        <w:t xml:space="preserve">Where </w:t>
      </w:r>
      <w:r w:rsidR="00D41055">
        <w:t xml:space="preserve">a </w:t>
      </w:r>
      <w:r w:rsidR="000072B2">
        <w:t>payment relates to a</w:t>
      </w:r>
      <w:r w:rsidR="00D41055">
        <w:t xml:space="preserve"> </w:t>
      </w:r>
      <w:r w:rsidRPr="00CC39B7">
        <w:t>supply</w:t>
      </w:r>
      <w:r w:rsidR="001D1B9F">
        <w:t xml:space="preserve"> </w:t>
      </w:r>
      <w:r w:rsidR="00FF2F1C">
        <w:t xml:space="preserve">that was agreed by written contract </w:t>
      </w:r>
      <w:r w:rsidR="00417F72">
        <w:t>which</w:t>
      </w:r>
      <w:r w:rsidR="00CC2136">
        <w:t xml:space="preserve"> specifie</w:t>
      </w:r>
      <w:r w:rsidR="0050462C">
        <w:t>s terms for payment</w:t>
      </w:r>
      <w:r w:rsidR="00225316">
        <w:t>,</w:t>
      </w:r>
      <w:r w:rsidRPr="00CC39B7">
        <w:t xml:space="preserve"> </w:t>
      </w:r>
      <w:r w:rsidR="003C0DD6">
        <w:t xml:space="preserve">reporting entities </w:t>
      </w:r>
      <w:r w:rsidR="007F47D9">
        <w:t>are to</w:t>
      </w:r>
      <w:r w:rsidR="003C0DD6">
        <w:t xml:space="preserve"> use those contract terms </w:t>
      </w:r>
      <w:r w:rsidR="00E90ED4">
        <w:t>when developing</w:t>
      </w:r>
      <w:r w:rsidR="003C0DD6">
        <w:t xml:space="preserve"> the TCP </w:t>
      </w:r>
      <w:r w:rsidR="00E8669F">
        <w:t>Dataset</w:t>
      </w:r>
      <w:r w:rsidR="00B40145">
        <w:t xml:space="preserve">. </w:t>
      </w:r>
    </w:p>
    <w:p w14:paraId="1526F9CC" w14:textId="31941504" w:rsidR="000E0490" w:rsidRPr="00CC39B7" w:rsidRDefault="00B40145" w:rsidP="00F63EB6">
      <w:pPr>
        <w:pStyle w:val="OutlineNumbered1"/>
        <w:ind w:left="567" w:hanging="567"/>
      </w:pPr>
      <w:r>
        <w:t>If there</w:t>
      </w:r>
      <w:r w:rsidR="00EB587F">
        <w:t xml:space="preserve"> is no written contract, </w:t>
      </w:r>
      <w:r w:rsidR="00302F64">
        <w:t xml:space="preserve">or the contract does not </w:t>
      </w:r>
      <w:r w:rsidR="009810FA">
        <w:t>set out</w:t>
      </w:r>
      <w:r w:rsidR="00312074">
        <w:t xml:space="preserve"> terms</w:t>
      </w:r>
      <w:r w:rsidR="00155FEA">
        <w:t xml:space="preserve"> for </w:t>
      </w:r>
      <w:r w:rsidR="00312074">
        <w:t>payment</w:t>
      </w:r>
      <w:r w:rsidR="00155FEA">
        <w:t xml:space="preserve">, </w:t>
      </w:r>
      <w:r w:rsidR="00F37945">
        <w:t xml:space="preserve">then the </w:t>
      </w:r>
      <w:r w:rsidR="008409A0">
        <w:t>payment terms</w:t>
      </w:r>
      <w:r w:rsidR="00A62D54">
        <w:t xml:space="preserve"> </w:t>
      </w:r>
      <w:r w:rsidR="00561A8B">
        <w:t xml:space="preserve">used in the TCP </w:t>
      </w:r>
      <w:r w:rsidR="00A56C74">
        <w:t xml:space="preserve">Dataset </w:t>
      </w:r>
      <w:r w:rsidR="00561A8B">
        <w:t>must</w:t>
      </w:r>
      <w:r w:rsidR="00411600">
        <w:t xml:space="preserve"> be determined </w:t>
      </w:r>
      <w:r w:rsidR="00A2720B">
        <w:t xml:space="preserve">based on the </w:t>
      </w:r>
      <w:r w:rsidR="00D530E3">
        <w:t xml:space="preserve">relevant </w:t>
      </w:r>
      <w:r w:rsidR="00A2720B">
        <w:t>details</w:t>
      </w:r>
      <w:r w:rsidR="00A56EB9">
        <w:t xml:space="preserve"> set out </w:t>
      </w:r>
      <w:r w:rsidR="006A2906">
        <w:t xml:space="preserve">in </w:t>
      </w:r>
      <w:r w:rsidR="00A56EB9">
        <w:t xml:space="preserve">an invoice or notice </w:t>
      </w:r>
      <w:r w:rsidR="00630323">
        <w:t>for</w:t>
      </w:r>
      <w:r w:rsidR="00A56EB9">
        <w:t xml:space="preserve"> payment</w:t>
      </w:r>
      <w:r w:rsidR="001809E8">
        <w:t xml:space="preserve"> under an agreement</w:t>
      </w:r>
      <w:r w:rsidR="00842B27">
        <w:t>.</w:t>
      </w:r>
    </w:p>
    <w:p w14:paraId="1349CBAC" w14:textId="77777777" w:rsidR="000E0490" w:rsidRPr="00EA0A6E" w:rsidRDefault="000E0490" w:rsidP="00F63EB6">
      <w:pPr>
        <w:pStyle w:val="OutlineNumbered1"/>
        <w:ind w:left="567" w:hanging="567"/>
      </w:pPr>
      <w:r w:rsidRPr="00EA0A6E">
        <w:t>Terms set by a written contract must be used when they are different to the terms set out on an invoice.</w:t>
      </w:r>
    </w:p>
    <w:p w14:paraId="441919B8" w14:textId="77777777" w:rsidR="000E0490" w:rsidRDefault="000E0490" w:rsidP="00F63EB6">
      <w:pPr>
        <w:pStyle w:val="OutlineNumbered1"/>
        <w:ind w:left="567" w:hanging="567"/>
      </w:pPr>
      <w:r>
        <w:t xml:space="preserve">Where contract terms are inconsistent with payment terms stated in an invoice, reporting entities must use the contract terms in the TCP Dataset. </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3024E2D8" w14:textId="77777777">
        <w:tc>
          <w:tcPr>
            <w:tcW w:w="5000" w:type="pct"/>
            <w:shd w:val="clear" w:color="auto" w:fill="EBF1F7"/>
          </w:tcPr>
          <w:p w14:paraId="4AD54715" w14:textId="50DB2825" w:rsidR="00F63EB6" w:rsidRPr="000553FE" w:rsidRDefault="0045144A">
            <w:pPr>
              <w:pStyle w:val="BoxHeading"/>
              <w:rPr>
                <w:b w:val="0"/>
              </w:rPr>
            </w:pPr>
            <w:r>
              <w:lastRenderedPageBreak/>
              <w:t>Example</w:t>
            </w:r>
            <w:r w:rsidR="00031282">
              <w:t xml:space="preserve"> 32</w:t>
            </w:r>
          </w:p>
          <w:p w14:paraId="7314D1F5" w14:textId="56F34CB2" w:rsidR="00F63EB6" w:rsidRPr="00247BAC" w:rsidRDefault="0045144A">
            <w:pPr>
              <w:pStyle w:val="BoxHeading2-Blue"/>
            </w:pPr>
            <w:r>
              <w:rPr>
                <w:rStyle w:val="Strong"/>
              </w:rPr>
              <w:t>Purchase order</w:t>
            </w:r>
          </w:p>
          <w:p w14:paraId="4B1913EE" w14:textId="77777777" w:rsidR="0045144A" w:rsidRDefault="0045144A" w:rsidP="0045144A">
            <w:pPr>
              <w:pStyle w:val="BoxText"/>
            </w:pPr>
            <w:r>
              <w:t>A reporting entity engages a supplier to supply goods under a purchase order. The purchase order is raised in the entity’s electronic procurement system and issued by email to the supplier. The purchase order includes terms for payment.</w:t>
            </w:r>
          </w:p>
          <w:p w14:paraId="1E8003F7" w14:textId="4F27D946" w:rsidR="00F63EB6" w:rsidRPr="008950C5" w:rsidRDefault="0045144A" w:rsidP="0045144A">
            <w:pPr>
              <w:pStyle w:val="BoxBullet"/>
              <w:ind w:left="284" w:hanging="284"/>
            </w:pPr>
            <w:r>
              <w:t>The terms in the purchase order can be used in the TCP Dataset.</w:t>
            </w:r>
          </w:p>
        </w:tc>
      </w:tr>
    </w:tbl>
    <w:p w14:paraId="697519CD" w14:textId="77777777" w:rsidR="00F63EB6" w:rsidRDefault="00F63EB6" w:rsidP="00F63EB6">
      <w:pPr>
        <w:pStyle w:val="OutlineNumbered1"/>
        <w:numPr>
          <w:ilvl w:val="0"/>
          <w:numId w:val="0"/>
        </w:numPr>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2C1202B8" w14:textId="77777777">
        <w:tc>
          <w:tcPr>
            <w:tcW w:w="5000" w:type="pct"/>
            <w:shd w:val="clear" w:color="auto" w:fill="EBF1F7"/>
          </w:tcPr>
          <w:p w14:paraId="3C381753" w14:textId="1394C96A" w:rsidR="00F63EB6" w:rsidRPr="000553FE" w:rsidRDefault="0045144A">
            <w:pPr>
              <w:pStyle w:val="BoxHeading"/>
              <w:rPr>
                <w:b w:val="0"/>
              </w:rPr>
            </w:pPr>
            <w:r>
              <w:t>Example</w:t>
            </w:r>
            <w:r w:rsidR="00031282">
              <w:t xml:space="preserve"> 33</w:t>
            </w:r>
          </w:p>
          <w:p w14:paraId="4EE399C0" w14:textId="34ECAC44" w:rsidR="00F63EB6" w:rsidRPr="00247BAC" w:rsidRDefault="0045144A">
            <w:pPr>
              <w:pStyle w:val="BoxHeading2-Blue"/>
            </w:pPr>
            <w:r>
              <w:rPr>
                <w:rStyle w:val="Strong"/>
              </w:rPr>
              <w:t>Invoice inconsistent with contract</w:t>
            </w:r>
          </w:p>
          <w:p w14:paraId="57BF8EEB" w14:textId="77777777" w:rsidR="0045144A" w:rsidRPr="0045144A" w:rsidRDefault="0045144A" w:rsidP="0045144A">
            <w:pPr>
              <w:pStyle w:val="BoxBullet"/>
              <w:numPr>
                <w:ilvl w:val="0"/>
                <w:numId w:val="0"/>
              </w:numPr>
              <w:rPr>
                <w:u w:val="single"/>
              </w:rPr>
            </w:pPr>
            <w:r w:rsidRPr="0045144A">
              <w:rPr>
                <w:u w:val="single"/>
              </w:rPr>
              <w:t xml:space="preserve">Scenario 1: </w:t>
            </w:r>
          </w:p>
          <w:p w14:paraId="47009A05" w14:textId="77777777" w:rsidR="00A02CBA" w:rsidRDefault="0045144A" w:rsidP="0045144A">
            <w:pPr>
              <w:pStyle w:val="BoxBullet"/>
            </w:pPr>
            <w:r>
              <w:t xml:space="preserve">Contract terms state 30 calendar days and the supplier invoice states terms of 7 calendar days. </w:t>
            </w:r>
          </w:p>
          <w:p w14:paraId="1F1602FB" w14:textId="064CAFCA" w:rsidR="0045144A" w:rsidRDefault="0045144A" w:rsidP="0045144A">
            <w:pPr>
              <w:pStyle w:val="BoxBullet"/>
            </w:pPr>
            <w:r>
              <w:t>Payment terms of 30 days is used for the TCP Dataset.</w:t>
            </w:r>
          </w:p>
          <w:p w14:paraId="0DE879D6" w14:textId="77777777" w:rsidR="0045144A" w:rsidRPr="0045144A" w:rsidRDefault="0045144A" w:rsidP="0045144A">
            <w:pPr>
              <w:pStyle w:val="BoxBullet"/>
              <w:numPr>
                <w:ilvl w:val="0"/>
                <w:numId w:val="0"/>
              </w:numPr>
              <w:rPr>
                <w:u w:val="single"/>
              </w:rPr>
            </w:pPr>
            <w:r w:rsidRPr="0045144A">
              <w:rPr>
                <w:u w:val="single"/>
              </w:rPr>
              <w:t xml:space="preserve">Scenario 2: </w:t>
            </w:r>
          </w:p>
          <w:p w14:paraId="7F1920E1" w14:textId="77777777" w:rsidR="00A02CBA" w:rsidRDefault="0045144A" w:rsidP="0045144A">
            <w:pPr>
              <w:pStyle w:val="BoxBullet"/>
            </w:pPr>
            <w:r>
              <w:t xml:space="preserve">Contract terms state 10 calendar days and the supplier invoice states end of month (a longer period). </w:t>
            </w:r>
          </w:p>
          <w:p w14:paraId="3028E626" w14:textId="0FFD2FA2" w:rsidR="00F63EB6" w:rsidRPr="008950C5" w:rsidRDefault="0045144A" w:rsidP="0045144A">
            <w:pPr>
              <w:pStyle w:val="BoxBullet"/>
            </w:pPr>
            <w:r>
              <w:t>Payment terms of 10 calendar days is used for the TCP Dataset.</w:t>
            </w:r>
          </w:p>
        </w:tc>
      </w:tr>
    </w:tbl>
    <w:p w14:paraId="2A9B9C50" w14:textId="7500A24D" w:rsidR="000E0490" w:rsidRDefault="000E0490" w:rsidP="00853653">
      <w:pPr>
        <w:pStyle w:val="OutlineNumbered1"/>
        <w:spacing w:before="240" w:after="240"/>
        <w:ind w:left="567" w:hanging="567"/>
      </w:pPr>
      <w:r>
        <w:t xml:space="preserve">If an invoice has multiple terms, the longer of the terms </w:t>
      </w:r>
      <w:r w:rsidR="00716636">
        <w:t>is to</w:t>
      </w:r>
      <w:r>
        <w:t xml:space="preserve"> be used. </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5E030827" w14:textId="77777777">
        <w:tc>
          <w:tcPr>
            <w:tcW w:w="5000" w:type="pct"/>
            <w:shd w:val="clear" w:color="auto" w:fill="EBF1F7"/>
          </w:tcPr>
          <w:p w14:paraId="648573E9" w14:textId="5403F4CE" w:rsidR="00F63EB6" w:rsidRPr="000553FE" w:rsidRDefault="00A02CBA">
            <w:pPr>
              <w:pStyle w:val="BoxHeading"/>
              <w:rPr>
                <w:b w:val="0"/>
              </w:rPr>
            </w:pPr>
            <w:r>
              <w:t>Example</w:t>
            </w:r>
            <w:r w:rsidR="00031282">
              <w:t xml:space="preserve"> 34</w:t>
            </w:r>
          </w:p>
          <w:p w14:paraId="6EBCA1E2" w14:textId="54518966" w:rsidR="00F63EB6" w:rsidRPr="00247BAC" w:rsidRDefault="00A02CBA">
            <w:pPr>
              <w:pStyle w:val="BoxHeading2-Blue"/>
            </w:pPr>
            <w:r>
              <w:rPr>
                <w:rStyle w:val="Strong"/>
              </w:rPr>
              <w:t>Multiple terms (invoice error)</w:t>
            </w:r>
          </w:p>
          <w:p w14:paraId="14E33D59" w14:textId="77777777" w:rsidR="00A02CBA" w:rsidRDefault="00A02CBA" w:rsidP="00A02CBA">
            <w:pPr>
              <w:pStyle w:val="BoxText"/>
            </w:pPr>
            <w:r>
              <w:t xml:space="preserve">An entity receives an invoice on 1 January that states ‘Due in 14 calendar days’ and ‘Due date: 28 January’. </w:t>
            </w:r>
          </w:p>
          <w:p w14:paraId="6E2D6184" w14:textId="6C291993" w:rsidR="00F63EB6" w:rsidRPr="008950C5" w:rsidRDefault="00A02CBA" w:rsidP="00A02CBA">
            <w:pPr>
              <w:pStyle w:val="BoxBullet"/>
              <w:ind w:left="284" w:hanging="284"/>
            </w:pPr>
            <w:r>
              <w:t>The entity can use the longer payment term of 28 days.</w:t>
            </w:r>
          </w:p>
        </w:tc>
      </w:tr>
    </w:tbl>
    <w:p w14:paraId="12FBA9C8" w14:textId="77777777" w:rsidR="000E0490" w:rsidRDefault="000E0490" w:rsidP="001008A7">
      <w:pPr>
        <w:pStyle w:val="OutlineNumbered1"/>
        <w:spacing w:before="120"/>
        <w:ind w:left="567" w:hanging="567"/>
      </w:pPr>
      <w:r>
        <w:t>Payment terms must be in calendar days. If terms are in business days or another term, they must be converted to calendar days.</w:t>
      </w:r>
    </w:p>
    <w:p w14:paraId="5BAD2A02" w14:textId="77777777" w:rsidR="000E0490" w:rsidRPr="00DD3266" w:rsidRDefault="000E0490" w:rsidP="00F63EB6">
      <w:pPr>
        <w:pStyle w:val="OutlineNumbered1"/>
        <w:ind w:left="567" w:hanging="567"/>
      </w:pPr>
      <w:r>
        <w:t>Payment terms where an invoice or written contract states:</w:t>
      </w:r>
    </w:p>
    <w:p w14:paraId="1D316C17" w14:textId="77777777" w:rsidR="000E0490" w:rsidRDefault="000E0490" w:rsidP="00F63EB6">
      <w:pPr>
        <w:pStyle w:val="OutlineNumberedDot"/>
        <w:ind w:left="851" w:hanging="284"/>
      </w:pPr>
      <w:r>
        <w:t xml:space="preserve">a </w:t>
      </w:r>
      <w:r w:rsidRPr="00DD3266">
        <w:t>number of days – is the number of days in calendar days.</w:t>
      </w:r>
    </w:p>
    <w:p w14:paraId="0C0C6E46" w14:textId="77777777" w:rsidR="000E0490" w:rsidRPr="00DD3266" w:rsidRDefault="000E0490" w:rsidP="00F63EB6">
      <w:pPr>
        <w:pStyle w:val="OutlineNumberedDot"/>
        <w:ind w:left="851" w:hanging="284"/>
      </w:pPr>
      <w:r w:rsidRPr="00DD3266">
        <w:t>a payment period – is the maximum number of calendar days the terms may provide.</w:t>
      </w:r>
    </w:p>
    <w:p w14:paraId="53EF2495" w14:textId="77777777" w:rsidR="000E0490" w:rsidRDefault="000E0490" w:rsidP="00F63EB6">
      <w:pPr>
        <w:pStyle w:val="OutlineNumberedDot"/>
        <w:ind w:left="851" w:hanging="284"/>
      </w:pPr>
      <w:r w:rsidRPr="00DD3266">
        <w:t>a date for payment</w:t>
      </w:r>
      <w:r>
        <w:t xml:space="preserve"> – is the number of calendar days (inclusive) between the invoice date and date for payment.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304E06F3" w14:textId="77777777">
        <w:tc>
          <w:tcPr>
            <w:tcW w:w="5000" w:type="pct"/>
            <w:shd w:val="clear" w:color="auto" w:fill="EBF1F7"/>
          </w:tcPr>
          <w:p w14:paraId="4839CF21" w14:textId="7338F8A5" w:rsidR="00F63EB6" w:rsidRPr="000553FE" w:rsidRDefault="00C61C8D">
            <w:pPr>
              <w:pStyle w:val="BoxHeading"/>
              <w:rPr>
                <w:b w:val="0"/>
              </w:rPr>
            </w:pPr>
            <w:r>
              <w:lastRenderedPageBreak/>
              <w:t>Example</w:t>
            </w:r>
            <w:r w:rsidR="00031282">
              <w:t xml:space="preserve"> 35</w:t>
            </w:r>
          </w:p>
          <w:p w14:paraId="6749D037" w14:textId="015F478A" w:rsidR="00F63EB6" w:rsidRPr="00EA1AFD" w:rsidRDefault="00C61C8D" w:rsidP="00DA0854">
            <w:pPr>
              <w:pStyle w:val="BoxHeading2-Blue"/>
            </w:pPr>
            <w:r>
              <w:rPr>
                <w:rStyle w:val="Strong"/>
              </w:rPr>
              <w:t>Payment terms</w:t>
            </w:r>
          </w:p>
          <w:p w14:paraId="781D2BD9" w14:textId="77777777" w:rsidR="00C61C8D" w:rsidRDefault="00C61C8D" w:rsidP="00C61C8D">
            <w:pPr>
              <w:pStyle w:val="BoxBullet"/>
            </w:pPr>
            <w:r>
              <w:t>5 business days = 7 calendar days.</w:t>
            </w:r>
          </w:p>
          <w:p w14:paraId="12280D09" w14:textId="77777777" w:rsidR="00C61C8D" w:rsidRDefault="00C61C8D" w:rsidP="00C61C8D">
            <w:pPr>
              <w:pStyle w:val="BoxBullet"/>
            </w:pPr>
            <w:r>
              <w:t>End of week = 7 calendar days.</w:t>
            </w:r>
          </w:p>
          <w:p w14:paraId="2588DDB9" w14:textId="77777777" w:rsidR="00C61C8D" w:rsidRDefault="00C61C8D" w:rsidP="00C61C8D">
            <w:pPr>
              <w:pStyle w:val="BoxBullet"/>
            </w:pPr>
            <w:r>
              <w:t>End of month = 31 calendar days.</w:t>
            </w:r>
          </w:p>
          <w:p w14:paraId="0EAED8AD" w14:textId="77777777" w:rsidR="00C61C8D" w:rsidRDefault="00C61C8D" w:rsidP="00C61C8D">
            <w:pPr>
              <w:pStyle w:val="BoxBullet"/>
            </w:pPr>
            <w:r>
              <w:t>End of next month = 62 calendar days.</w:t>
            </w:r>
          </w:p>
          <w:p w14:paraId="5BFA66FE" w14:textId="7EB18FE6" w:rsidR="00F63EB6" w:rsidRPr="008950C5" w:rsidRDefault="00C61C8D" w:rsidP="00C61C8D">
            <w:pPr>
              <w:pStyle w:val="BoxBullet"/>
            </w:pPr>
            <w:r>
              <w:t>28 January 20xx (issue date 1 January 20xx) = 28 calendar days.</w:t>
            </w:r>
          </w:p>
        </w:tc>
      </w:tr>
    </w:tbl>
    <w:p w14:paraId="76BF4F17" w14:textId="77777777" w:rsidR="000E0490" w:rsidRDefault="000E0490" w:rsidP="000E0490">
      <w:pPr>
        <w:pStyle w:val="Heading4"/>
      </w:pPr>
      <w:bookmarkStart w:id="118" w:name="_Ref179827271"/>
      <w:r>
        <w:t>Excluded payment – Entity without an ABN</w:t>
      </w:r>
      <w:bookmarkEnd w:id="118"/>
    </w:p>
    <w:p w14:paraId="244A17A0" w14:textId="77777777" w:rsidR="000E0490" w:rsidRPr="00EA0A6E" w:rsidRDefault="000E0490" w:rsidP="009C7523">
      <w:pPr>
        <w:pStyle w:val="OutlineNumbered1"/>
        <w:spacing w:before="120"/>
        <w:ind w:left="567" w:hanging="567"/>
      </w:pPr>
      <w:r w:rsidRPr="00EA0A6E">
        <w:t>Payments are excluded from the TCP Dataset if the payee does not have an ABN.</w:t>
      </w:r>
    </w:p>
    <w:p w14:paraId="497908C0" w14:textId="77777777" w:rsidR="000E0490" w:rsidRPr="00EA0A6E" w:rsidRDefault="000E0490" w:rsidP="009C7523">
      <w:pPr>
        <w:pStyle w:val="OutlineNumbered1"/>
        <w:spacing w:before="120"/>
        <w:ind w:left="567" w:hanging="567"/>
      </w:pPr>
      <w:r w:rsidRPr="00EA0A6E">
        <w:t>It may not be clear from data held by a reporting entity whether a payee has an ABN but it may be reasonable to assume it does not have one. If a reporting entity assumes a payee does not have an ABN they should document the reasons supporting that assumption.</w:t>
      </w:r>
    </w:p>
    <w:p w14:paraId="43518D5C" w14:textId="77777777" w:rsidR="000E0490" w:rsidRDefault="000E0490" w:rsidP="009C7523">
      <w:pPr>
        <w:pStyle w:val="OutlineNumbered1"/>
        <w:spacing w:before="120"/>
        <w:ind w:left="567" w:hanging="567"/>
      </w:pPr>
      <w:r w:rsidRPr="00EA0A6E">
        <w:t xml:space="preserve">When assessing whether the reporting entity has complied with its requirements in preparing the TCP Dataset, the Regulator will consider whether the approach taken and documented by the entity was reasonable in the circumstances. </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F63EB6" w14:paraId="1BD6FCC5" w14:textId="77777777">
        <w:tc>
          <w:tcPr>
            <w:tcW w:w="5000" w:type="pct"/>
            <w:shd w:val="clear" w:color="auto" w:fill="EBF1F7"/>
          </w:tcPr>
          <w:p w14:paraId="744AA5AD" w14:textId="16334F28" w:rsidR="00F63EB6" w:rsidRPr="000553FE" w:rsidRDefault="00326E9A">
            <w:pPr>
              <w:pStyle w:val="BoxHeading"/>
              <w:rPr>
                <w:b w:val="0"/>
              </w:rPr>
            </w:pPr>
            <w:r>
              <w:t>Example</w:t>
            </w:r>
            <w:r w:rsidR="00031282">
              <w:t xml:space="preserve"> 36</w:t>
            </w:r>
          </w:p>
          <w:p w14:paraId="6EC2D761" w14:textId="241360AC" w:rsidR="00F63EB6" w:rsidRPr="00247BAC" w:rsidRDefault="00326E9A">
            <w:pPr>
              <w:pStyle w:val="BoxHeading2-Blue"/>
            </w:pPr>
            <w:r>
              <w:rPr>
                <w:rStyle w:val="Strong"/>
              </w:rPr>
              <w:t>Assumptions on suppliers holding an ABN</w:t>
            </w:r>
          </w:p>
          <w:p w14:paraId="2226DE1C" w14:textId="77777777" w:rsidR="005C20EA" w:rsidRPr="005C20EA" w:rsidRDefault="00326E9A" w:rsidP="005C20EA">
            <w:pPr>
              <w:pStyle w:val="BoxBullet"/>
              <w:numPr>
                <w:ilvl w:val="0"/>
                <w:numId w:val="0"/>
              </w:numPr>
              <w:ind w:left="283" w:hanging="283"/>
              <w:rPr>
                <w:u w:val="single"/>
              </w:rPr>
            </w:pPr>
            <w:r w:rsidRPr="005C20EA">
              <w:rPr>
                <w:u w:val="single"/>
              </w:rPr>
              <w:t xml:space="preserve">Scenario 1: </w:t>
            </w:r>
          </w:p>
          <w:p w14:paraId="590228AE" w14:textId="77777777" w:rsidR="006D0420" w:rsidRDefault="00326E9A" w:rsidP="00D65C2B">
            <w:pPr>
              <w:pStyle w:val="BoxBullet"/>
              <w:numPr>
                <w:ilvl w:val="0"/>
                <w:numId w:val="0"/>
              </w:numPr>
              <w:ind w:left="1" w:hanging="1"/>
            </w:pPr>
            <w:r>
              <w:t xml:space="preserve">An entity controls a foreign subsidiary that operates overseas. The foreign subsidiary’s procurement system does not record ABNs. In its methodology the entity records an assumption the foreign subsidiary does not have suppliers with ABNs based on a review of their procurement system and enquiries made with the team responsible for the financial reporting of the subsidiary. </w:t>
            </w:r>
          </w:p>
          <w:p w14:paraId="5F6E447C" w14:textId="5F584955" w:rsidR="00326E9A" w:rsidRDefault="00326E9A" w:rsidP="00326E9A">
            <w:pPr>
              <w:pStyle w:val="BoxBullet"/>
            </w:pPr>
            <w:r>
              <w:t xml:space="preserve">In this case, the assumption may be reasonable. </w:t>
            </w:r>
          </w:p>
          <w:p w14:paraId="08DC67F1" w14:textId="77777777" w:rsidR="005C20EA" w:rsidRPr="005C20EA" w:rsidRDefault="00326E9A" w:rsidP="005C20EA">
            <w:pPr>
              <w:pStyle w:val="BoxBullet"/>
              <w:numPr>
                <w:ilvl w:val="0"/>
                <w:numId w:val="0"/>
              </w:numPr>
              <w:rPr>
                <w:u w:val="single"/>
              </w:rPr>
            </w:pPr>
            <w:r w:rsidRPr="005C20EA">
              <w:rPr>
                <w:u w:val="single"/>
              </w:rPr>
              <w:t xml:space="preserve">Scenario 2: </w:t>
            </w:r>
          </w:p>
          <w:p w14:paraId="64873246" w14:textId="77777777" w:rsidR="006D0420" w:rsidRDefault="00326E9A" w:rsidP="00D65C2B">
            <w:pPr>
              <w:pStyle w:val="BoxBullet"/>
              <w:numPr>
                <w:ilvl w:val="0"/>
                <w:numId w:val="0"/>
              </w:numPr>
            </w:pPr>
            <w:r>
              <w:t xml:space="preserve">An entity has a credit card payment for $5,000 but does not have ABN details of the payee. The card is held by an Australian resident working in an Australian business unit. </w:t>
            </w:r>
          </w:p>
          <w:p w14:paraId="15348B76" w14:textId="08AC8F4F" w:rsidR="00F63EB6" w:rsidRPr="008950C5" w:rsidRDefault="00326E9A" w:rsidP="006D0420">
            <w:pPr>
              <w:pStyle w:val="BoxBullet"/>
            </w:pPr>
            <w:r>
              <w:t>An assumption the supplier does not hold an ABN would be inappropriate. Steps would need to be taken to determine whether the payee holds an ABN.</w:t>
            </w:r>
          </w:p>
        </w:tc>
      </w:tr>
    </w:tbl>
    <w:p w14:paraId="48328963" w14:textId="77777777" w:rsidR="000E0490" w:rsidRDefault="000E0490" w:rsidP="000E0490">
      <w:pPr>
        <w:pStyle w:val="Heading4"/>
      </w:pPr>
      <w:r>
        <w:t>Excluded payment – Intragroup payments</w:t>
      </w:r>
    </w:p>
    <w:p w14:paraId="55CD7F98" w14:textId="77777777" w:rsidR="000E0490" w:rsidRPr="00EA0A6E" w:rsidRDefault="000E0490" w:rsidP="00F63EB6">
      <w:pPr>
        <w:pStyle w:val="OutlineNumbered1"/>
        <w:ind w:left="567" w:hanging="567"/>
      </w:pPr>
      <w:r w:rsidRPr="00EA0A6E">
        <w:t>Payments between entities in the same consolidated group must be excluded from the TCP Dataset, even where the payment is to a business in the group with annual revenue less than $10 million.</w:t>
      </w:r>
    </w:p>
    <w:p w14:paraId="47A4C1E2" w14:textId="3C5A6D28" w:rsidR="000E0490" w:rsidRPr="00EA0A6E" w:rsidRDefault="000E0490" w:rsidP="00F63EB6">
      <w:pPr>
        <w:pStyle w:val="OutlineNumbered1"/>
        <w:ind w:left="567" w:hanging="567"/>
      </w:pPr>
      <w:r w:rsidRPr="00EA0A6E">
        <w:t>Payment</w:t>
      </w:r>
      <w:r w:rsidR="00872E55">
        <w:t>s</w:t>
      </w:r>
      <w:r w:rsidRPr="00EA0A6E">
        <w:t xml:space="preserve"> to related entities that are not controlled </w:t>
      </w:r>
      <w:r w:rsidR="004D1CA8">
        <w:t xml:space="preserve">entities </w:t>
      </w:r>
      <w:r w:rsidRPr="00EA0A6E">
        <w:t xml:space="preserve">are not excluded from the TCP Dataset. </w:t>
      </w:r>
    </w:p>
    <w:p w14:paraId="16AEE8E0" w14:textId="6019C91D" w:rsidR="000E0490" w:rsidRPr="00EA0A6E" w:rsidRDefault="000E0490" w:rsidP="00F63EB6">
      <w:pPr>
        <w:pStyle w:val="OutlineNumbered1"/>
        <w:ind w:left="567" w:hanging="567"/>
      </w:pPr>
      <w:r w:rsidRPr="00EA0A6E">
        <w:lastRenderedPageBreak/>
        <w:t xml:space="preserve">When assessing whether this exclusion has been properly applied the Regulator may review payments in the TCP Dataset and the </w:t>
      </w:r>
      <w:r w:rsidR="00996E23">
        <w:t xml:space="preserve">list of </w:t>
      </w:r>
      <w:r w:rsidRPr="00EA0A6E">
        <w:t xml:space="preserve">controlled entities reported in </w:t>
      </w:r>
      <w:r w:rsidR="005B6C29">
        <w:t xml:space="preserve">the </w:t>
      </w:r>
      <w:r w:rsidRPr="00EA0A6E">
        <w:t>entity information.</w:t>
      </w:r>
    </w:p>
    <w:p w14:paraId="4F2890D2" w14:textId="77777777" w:rsidR="000E0490" w:rsidRDefault="000E0490" w:rsidP="000E0490">
      <w:pPr>
        <w:pStyle w:val="Heading4"/>
      </w:pPr>
      <w:bookmarkStart w:id="119" w:name="_Ref180766642"/>
      <w:r>
        <w:t>Excluded payment – Credit cards</w:t>
      </w:r>
      <w:bookmarkEnd w:id="119"/>
    </w:p>
    <w:p w14:paraId="6248B203" w14:textId="77777777" w:rsidR="000E0490" w:rsidRPr="00EA0A6E" w:rsidRDefault="000E0490" w:rsidP="00F63EB6">
      <w:pPr>
        <w:pStyle w:val="OutlineNumbered1"/>
        <w:ind w:left="567" w:hanging="567"/>
      </w:pPr>
      <w:r w:rsidRPr="00EA0A6E">
        <w:t>Reporting entities can exclude a credit card payment from the TCP Dataset if the value of the payment is</w:t>
      </w:r>
      <w:r>
        <w:t xml:space="preserve"> less than</w:t>
      </w:r>
      <w:r w:rsidRPr="00EA0A6E">
        <w:t xml:space="preserve"> $100</w:t>
      </w:r>
      <w:r>
        <w:t>,</w:t>
      </w:r>
      <w:r w:rsidRPr="00EA0A6E">
        <w:t xml:space="preserve"> or if the card that made the payment is subject to a relevant credit card policy.</w:t>
      </w:r>
    </w:p>
    <w:p w14:paraId="19E2023F" w14:textId="77777777" w:rsidR="000E0490" w:rsidRPr="00EA0A6E" w:rsidRDefault="000E0490" w:rsidP="00F63EB6">
      <w:pPr>
        <w:pStyle w:val="OutlineNumbered1"/>
        <w:ind w:left="567" w:hanging="567"/>
      </w:pPr>
      <w:r w:rsidRPr="00EA0A6E">
        <w:t>A low-value $100 threshold exclusion can be applied to any credit card payment without further assessment. The payment value must be</w:t>
      </w:r>
      <w:r>
        <w:t xml:space="preserve"> less than </w:t>
      </w:r>
      <w:r w:rsidRPr="00EA0A6E">
        <w:t>$100 including GST. Reporting entities should document use of this exclusion in their methodology for record-keeping purposes.</w:t>
      </w:r>
    </w:p>
    <w:p w14:paraId="0E7CE69C" w14:textId="77777777" w:rsidR="000E0490" w:rsidRPr="00EA0A6E" w:rsidRDefault="000E0490" w:rsidP="00F63EB6">
      <w:pPr>
        <w:pStyle w:val="OutlineNumbered1"/>
        <w:ind w:left="567" w:hanging="567"/>
      </w:pPr>
      <w:r w:rsidRPr="00EA0A6E">
        <w:t>Credit card payments can also be excluded if the card that made the payment is subject to a genuinely enforced internal policy that prohibit the use of the card to make payment for a trade credit arrangement.</w:t>
      </w:r>
    </w:p>
    <w:p w14:paraId="68A7993B" w14:textId="42C710D4" w:rsidR="000E0490" w:rsidRPr="00EA0A6E" w:rsidRDefault="000E0490" w:rsidP="00F63EB6">
      <w:pPr>
        <w:pStyle w:val="OutlineNumbered1"/>
        <w:ind w:left="567" w:hanging="567"/>
      </w:pPr>
      <w:r w:rsidRPr="00EA0A6E">
        <w:t xml:space="preserve">When a reporting entity uses this exclusion, the Regulator may review the relevant policies to ensure it expressly prohibits use for trade credit arrangements or has restrictions that have the same effect. A policy that prohibits the use of a </w:t>
      </w:r>
      <w:r w:rsidR="002A09AD">
        <w:t xml:space="preserve">credit </w:t>
      </w:r>
      <w:r w:rsidRPr="00EA0A6E">
        <w:t>card for payment of invoices, or only allows use for point-of-sale transactions and prepayments will generally be accepted.</w:t>
      </w:r>
    </w:p>
    <w:p w14:paraId="00AE4CDF" w14:textId="77777777" w:rsidR="000E0490" w:rsidRPr="00EA0A6E" w:rsidRDefault="000E0490" w:rsidP="00F63EB6">
      <w:pPr>
        <w:pStyle w:val="OutlineNumbered1"/>
        <w:ind w:left="567" w:hanging="567"/>
      </w:pPr>
      <w:r w:rsidRPr="00EA0A6E">
        <w:t>The policy is genuinely enforced when it is subject to internal compliance reviews. A policy that is not subject to internal compliance reviews or audits is not genuinely enforced.</w:t>
      </w:r>
    </w:p>
    <w:p w14:paraId="39C7B1B9" w14:textId="77777777" w:rsidR="000E0490" w:rsidRPr="00765BC1" w:rsidRDefault="000E0490" w:rsidP="00F63EB6">
      <w:pPr>
        <w:pStyle w:val="OutlineNumbered1"/>
        <w:ind w:left="567" w:hanging="567"/>
        <w:rPr>
          <w:rFonts w:ascii="Times New Roman" w:hAnsi="Times New Roman"/>
          <w:sz w:val="24"/>
          <w:szCs w:val="24"/>
        </w:rPr>
      </w:pPr>
      <w:r w:rsidRPr="00EA0A6E">
        <w:t>The Regulator may request details of frequency and scope of compliance activities undertaken by a reporting entity relying on this exclusion.</w:t>
      </w:r>
      <w:r w:rsidRPr="00684A14" w:rsidDel="00B82C60">
        <w:rPr>
          <w:rFonts w:ascii="Times New Roman" w:hAnsi="Times New Roman"/>
          <w:b/>
          <w:bCs/>
          <w:sz w:val="24"/>
          <w:szCs w:val="24"/>
        </w:rPr>
        <w:t xml:space="preserve"> </w:t>
      </w:r>
    </w:p>
    <w:p w14:paraId="3CF9CE37" w14:textId="49F35880" w:rsidR="000E0490" w:rsidRPr="00FF0709" w:rsidRDefault="000E0490" w:rsidP="000E0490">
      <w:pPr>
        <w:pStyle w:val="Heading3"/>
        <w:rPr>
          <w:bCs w:val="0"/>
        </w:rPr>
      </w:pPr>
      <w:bookmarkStart w:id="120" w:name="_Toc180688151"/>
      <w:bookmarkStart w:id="121" w:name="_Toc184822230"/>
      <w:r w:rsidRPr="00FF0709">
        <w:rPr>
          <w:bCs w:val="0"/>
        </w:rPr>
        <w:t>SBTCP Dataset</w:t>
      </w:r>
      <w:bookmarkEnd w:id="120"/>
      <w:bookmarkEnd w:id="121"/>
    </w:p>
    <w:p w14:paraId="5668E846" w14:textId="31F9D0BD" w:rsidR="000E0490" w:rsidRPr="00EA0A6E" w:rsidRDefault="000E0490" w:rsidP="00F63EB6">
      <w:pPr>
        <w:pStyle w:val="OutlineNumbered1"/>
        <w:ind w:left="567" w:hanging="567"/>
      </w:pPr>
      <w:bookmarkStart w:id="122" w:name="_Ref184649365"/>
      <w:r w:rsidRPr="00EA0A6E">
        <w:t xml:space="preserve">After preparing the </w:t>
      </w:r>
      <w:r w:rsidRPr="007E19D9">
        <w:rPr>
          <w:rStyle w:val="Strong"/>
          <w:b w:val="0"/>
        </w:rPr>
        <w:t>TCP Dataset</w:t>
      </w:r>
      <w:r w:rsidRPr="00EA0A6E">
        <w:t xml:space="preserve">, reporting entities must create a </w:t>
      </w:r>
      <w:r w:rsidRPr="007E19D9">
        <w:rPr>
          <w:rStyle w:val="Strong"/>
          <w:b w:val="0"/>
        </w:rPr>
        <w:t>SBTCP Dataset</w:t>
      </w:r>
      <w:r w:rsidRPr="00EA0A6E">
        <w:t xml:space="preserve"> by running the ABNs from the TCP Dataset through the </w:t>
      </w:r>
      <w:r w:rsidRPr="007E19D9">
        <w:rPr>
          <w:rStyle w:val="Strong"/>
          <w:b w:val="0"/>
        </w:rPr>
        <w:t>SBI Tool</w:t>
      </w:r>
      <w:r w:rsidRPr="00EA0A6E">
        <w:t>. Payments to ABNs identified as small businesses must be included in the SBTCP Dataset.</w:t>
      </w:r>
      <w:bookmarkEnd w:id="122"/>
    </w:p>
    <w:p w14:paraId="11A3AC89" w14:textId="77777777" w:rsidR="000E0490" w:rsidRPr="00434650" w:rsidRDefault="000E0490" w:rsidP="000E0490">
      <w:pPr>
        <w:pStyle w:val="Heading3"/>
      </w:pPr>
      <w:bookmarkStart w:id="123" w:name="_Toc180688152"/>
      <w:bookmarkStart w:id="124" w:name="_Toc184822231"/>
      <w:r w:rsidRPr="00434650">
        <w:t>Calculat</w:t>
      </w:r>
      <w:r>
        <w:t>e</w:t>
      </w:r>
      <w:r w:rsidRPr="00434650">
        <w:t xml:space="preserve"> Payment Times</w:t>
      </w:r>
      <w:bookmarkEnd w:id="123"/>
      <w:bookmarkEnd w:id="124"/>
    </w:p>
    <w:p w14:paraId="4F1EB4D9" w14:textId="77777777" w:rsidR="000E0490" w:rsidRDefault="000E0490" w:rsidP="000E0490">
      <w:pPr>
        <w:pStyle w:val="Heading4"/>
      </w:pPr>
      <w:bookmarkStart w:id="125" w:name="_Ref180766606"/>
      <w:r>
        <w:t>Excluded payments – Partial payments</w:t>
      </w:r>
      <w:bookmarkEnd w:id="125"/>
    </w:p>
    <w:p w14:paraId="680CC1B2" w14:textId="0F9B897F" w:rsidR="000E0490" w:rsidRDefault="000E0490" w:rsidP="00F63EB6">
      <w:pPr>
        <w:pStyle w:val="OutlineNumbered1"/>
        <w:ind w:left="567" w:hanging="567"/>
      </w:pPr>
      <w:r w:rsidRPr="006C45E2">
        <w:t>When there are multiple payments for one trade credit arrangement, only the payment that settles the full amount is used to calculate the payment time.</w:t>
      </w:r>
      <w:r w:rsidR="00A2759F">
        <w:t xml:space="preserve"> </w:t>
      </w:r>
    </w:p>
    <w:p w14:paraId="4C6FB3D6" w14:textId="611EAE25" w:rsidR="000E0490" w:rsidRDefault="003C769B" w:rsidP="00F63EB6">
      <w:pPr>
        <w:pStyle w:val="OutlineNumbered1"/>
        <w:ind w:left="567" w:hanging="567"/>
      </w:pPr>
      <w:bookmarkStart w:id="126" w:name="_Ref184648898"/>
      <w:r>
        <w:t xml:space="preserve">For this reason, </w:t>
      </w:r>
      <w:r w:rsidR="0099295B">
        <w:t xml:space="preserve">payments that have been recorded as </w:t>
      </w:r>
      <w:r>
        <w:t>p</w:t>
      </w:r>
      <w:r w:rsidR="000E0490" w:rsidRPr="006C45E2">
        <w:t xml:space="preserve">artial payments </w:t>
      </w:r>
      <w:r w:rsidR="0099295B">
        <w:t xml:space="preserve">in the TCP </w:t>
      </w:r>
      <w:r w:rsidR="00E13ACD">
        <w:t>D</w:t>
      </w:r>
      <w:r w:rsidR="0099295B">
        <w:t>ataset</w:t>
      </w:r>
      <w:r w:rsidR="000E0490" w:rsidRPr="006C45E2">
        <w:t xml:space="preserve"> must be excluded from the SBTCP Dataset.</w:t>
      </w:r>
      <w:r w:rsidR="00B24D9A">
        <w:t xml:space="preserve"> </w:t>
      </w:r>
      <w:r w:rsidR="000E5F9A">
        <w:t>However, this data will be used in the calculation of</w:t>
      </w:r>
      <w:r w:rsidR="00EF5F0D">
        <w:t xml:space="preserve"> </w:t>
      </w:r>
      <w:r w:rsidR="006263C4" w:rsidRPr="00752F7B">
        <w:rPr>
          <w:b/>
          <w:bCs/>
          <w:color w:val="00827F" w:themeColor="accent2"/>
        </w:rPr>
        <w:fldChar w:fldCharType="begin"/>
      </w:r>
      <w:r w:rsidR="006263C4" w:rsidRPr="00752F7B">
        <w:rPr>
          <w:b/>
          <w:bCs/>
          <w:color w:val="00827F" w:themeColor="accent2"/>
        </w:rPr>
        <w:instrText xml:space="preserve"> REF _Ref184648556 \h </w:instrText>
      </w:r>
      <w:r w:rsidR="00752F7B">
        <w:rPr>
          <w:b/>
          <w:bCs/>
          <w:color w:val="00827F" w:themeColor="accent2"/>
        </w:rPr>
        <w:instrText xml:space="preserve"> \* MERGEFORMAT </w:instrText>
      </w:r>
      <w:r w:rsidR="006263C4" w:rsidRPr="00752F7B">
        <w:rPr>
          <w:b/>
          <w:bCs/>
          <w:color w:val="00827F" w:themeColor="accent2"/>
        </w:rPr>
      </w:r>
      <w:r w:rsidR="006263C4" w:rsidRPr="00752F7B">
        <w:rPr>
          <w:b/>
          <w:bCs/>
          <w:color w:val="00827F" w:themeColor="accent2"/>
        </w:rPr>
        <w:fldChar w:fldCharType="separate"/>
      </w:r>
      <w:r w:rsidR="00EF5F0D" w:rsidRPr="00752F7B">
        <w:rPr>
          <w:b/>
          <w:bCs/>
          <w:color w:val="00827F" w:themeColor="accent2"/>
        </w:rPr>
        <w:t>p</w:t>
      </w:r>
      <w:r w:rsidR="006263C4" w:rsidRPr="00752F7B">
        <w:rPr>
          <w:b/>
          <w:bCs/>
          <w:color w:val="00827F" w:themeColor="accent2"/>
        </w:rPr>
        <w:t xml:space="preserve">ercentage of </w:t>
      </w:r>
      <w:r w:rsidR="00EF5F0D" w:rsidRPr="00752F7B">
        <w:rPr>
          <w:b/>
          <w:bCs/>
          <w:color w:val="00827F" w:themeColor="accent2"/>
        </w:rPr>
        <w:t>small business procurement</w:t>
      </w:r>
      <w:r w:rsidR="006263C4" w:rsidRPr="00752F7B">
        <w:rPr>
          <w:b/>
          <w:bCs/>
          <w:color w:val="00827F" w:themeColor="accent2"/>
        </w:rPr>
        <w:fldChar w:fldCharType="end"/>
      </w:r>
      <w:r w:rsidR="006318F8">
        <w:fldChar w:fldCharType="begin"/>
      </w:r>
      <w:r w:rsidR="006318F8">
        <w:instrText xml:space="preserve"> REF Percentageofsmallbusinessprocurement \h </w:instrText>
      </w:r>
      <w:r w:rsidR="006318F8">
        <w:fldChar w:fldCharType="end"/>
      </w:r>
      <w:r w:rsidR="006318F8">
        <w:fldChar w:fldCharType="begin"/>
      </w:r>
      <w:r w:rsidR="006318F8">
        <w:instrText xml:space="preserve"> REF Percentageofsmallbusinessprocurement \h </w:instrText>
      </w:r>
      <w:r w:rsidR="006318F8">
        <w:fldChar w:fldCharType="end"/>
      </w:r>
      <w:r w:rsidR="006318F8">
        <w:fldChar w:fldCharType="begin"/>
      </w:r>
      <w:r w:rsidR="006318F8">
        <w:instrText xml:space="preserve"> REF Percentageofsmallbusinessprocurement \h </w:instrText>
      </w:r>
      <w:r w:rsidR="006318F8">
        <w:fldChar w:fldCharType="end"/>
      </w:r>
      <w:r w:rsidR="008774D0" w:rsidRPr="009F3FBE">
        <w:t>.</w:t>
      </w:r>
      <w:bookmarkEnd w:id="126"/>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9E7B1C" w14:paraId="36CEB8AB" w14:textId="77777777">
        <w:tc>
          <w:tcPr>
            <w:tcW w:w="5000" w:type="pct"/>
            <w:shd w:val="clear" w:color="auto" w:fill="EBF1F7"/>
          </w:tcPr>
          <w:p w14:paraId="71492CA8" w14:textId="686AD8F7" w:rsidR="009E7B1C" w:rsidRPr="000553FE" w:rsidRDefault="009E7B1C">
            <w:pPr>
              <w:pStyle w:val="BoxHeading"/>
              <w:rPr>
                <w:b w:val="0"/>
              </w:rPr>
            </w:pPr>
            <w:r>
              <w:lastRenderedPageBreak/>
              <w:t>Example</w:t>
            </w:r>
            <w:r w:rsidR="00031282">
              <w:t xml:space="preserve"> 37</w:t>
            </w:r>
          </w:p>
          <w:p w14:paraId="1F4313E2" w14:textId="544234EE" w:rsidR="009E7B1C" w:rsidRPr="00247BAC" w:rsidRDefault="009E7B1C">
            <w:pPr>
              <w:pStyle w:val="BoxHeading2-Blue"/>
            </w:pPr>
            <w:r w:rsidRPr="00EA0A6E">
              <w:rPr>
                <w:rStyle w:val="Strong"/>
                <w:rFonts w:asciiTheme="minorHAnsi" w:hAnsiTheme="minorHAnsi" w:cstheme="minorHAnsi"/>
                <w:szCs w:val="22"/>
              </w:rPr>
              <w:t>Partial Payment</w:t>
            </w:r>
          </w:p>
          <w:p w14:paraId="2399BEAF" w14:textId="1D608883" w:rsidR="009E7B1C" w:rsidRDefault="009E7B1C" w:rsidP="009E7B1C">
            <w:pPr>
              <w:pStyle w:val="BoxText"/>
            </w:pPr>
            <w:r>
              <w:t xml:space="preserve">An invoice is issued for $1,000. The entity </w:t>
            </w:r>
            <w:r w:rsidR="00B826E7">
              <w:t xml:space="preserve">makes an initial payment of </w:t>
            </w:r>
            <w:r>
              <w:t>$100, then pays the remaining $900</w:t>
            </w:r>
            <w:r w:rsidR="00B826E7">
              <w:t xml:space="preserve"> at a later date</w:t>
            </w:r>
            <w:r>
              <w:t>.</w:t>
            </w:r>
          </w:p>
          <w:p w14:paraId="78F4A96D" w14:textId="77777777" w:rsidR="009E7B1C" w:rsidRDefault="009E7B1C" w:rsidP="002C6E1C">
            <w:pPr>
              <w:pStyle w:val="BoxBullet"/>
              <w:ind w:left="284" w:hanging="284"/>
            </w:pPr>
            <w:r>
              <w:t>The $100 is a partial payment and must be excluded when calculating the payment time.</w:t>
            </w:r>
          </w:p>
          <w:p w14:paraId="67BF73EA" w14:textId="0441A742" w:rsidR="009E7B1C" w:rsidRPr="008950C5" w:rsidRDefault="00E6158E" w:rsidP="002C6E1C">
            <w:pPr>
              <w:pStyle w:val="BoxBullet"/>
              <w:ind w:left="284" w:hanging="284"/>
            </w:pPr>
            <w:r>
              <w:t xml:space="preserve">The $900 </w:t>
            </w:r>
            <w:r w:rsidR="004A3611">
              <w:t xml:space="preserve">payment </w:t>
            </w:r>
            <w:r w:rsidR="00763A38">
              <w:t xml:space="preserve">which discharges the invoice </w:t>
            </w:r>
            <w:r w:rsidR="004A3611">
              <w:t xml:space="preserve">is not </w:t>
            </w:r>
            <w:r w:rsidR="00763A38">
              <w:t xml:space="preserve">considered </w:t>
            </w:r>
            <w:r w:rsidR="004A3611">
              <w:t>a partial payment.</w:t>
            </w:r>
            <w:r w:rsidR="00FD1DED">
              <w:t xml:space="preserve"> Only this payment is used</w:t>
            </w:r>
            <w:r w:rsidR="008770A8">
              <w:t xml:space="preserve"> to calculate the payment time of the invoice.</w:t>
            </w:r>
          </w:p>
        </w:tc>
      </w:tr>
    </w:tbl>
    <w:p w14:paraId="2F675653" w14:textId="77777777" w:rsidR="000E0490" w:rsidRDefault="000E0490" w:rsidP="000E0490">
      <w:pPr>
        <w:pStyle w:val="Heading4"/>
      </w:pPr>
      <w:r w:rsidRPr="006A4A69">
        <w:t>Method to calculate payment times</w:t>
      </w:r>
    </w:p>
    <w:p w14:paraId="2A678166" w14:textId="77777777" w:rsidR="000E0490" w:rsidRPr="00EA0A6E" w:rsidRDefault="000E0490" w:rsidP="009C7523">
      <w:pPr>
        <w:pStyle w:val="OutlineNumbered1"/>
        <w:spacing w:before="120"/>
        <w:ind w:left="567" w:hanging="567"/>
      </w:pPr>
      <w:r w:rsidRPr="00EA0A6E">
        <w:t>The payment time for invoices is the shorter period of:</w:t>
      </w:r>
    </w:p>
    <w:p w14:paraId="5FDBF853" w14:textId="04B5851F" w:rsidR="000E0490" w:rsidRPr="00EA0A6E" w:rsidRDefault="000E0490" w:rsidP="009C7523">
      <w:pPr>
        <w:pStyle w:val="OutlineNumberedDot"/>
        <w:spacing w:before="120"/>
        <w:ind w:left="851" w:hanging="284"/>
      </w:pPr>
      <w:r w:rsidRPr="00EA0A6E">
        <w:t xml:space="preserve">the number of days between </w:t>
      </w:r>
      <w:r>
        <w:t xml:space="preserve">and including </w:t>
      </w:r>
      <w:r w:rsidRPr="00EA0A6E">
        <w:t>the invoice issue date and the payment date, or</w:t>
      </w:r>
    </w:p>
    <w:p w14:paraId="14D272EE" w14:textId="77777777" w:rsidR="000E0490" w:rsidRPr="00EA0A6E" w:rsidRDefault="000E0490" w:rsidP="009C7523">
      <w:pPr>
        <w:pStyle w:val="OutlineNumberedDot"/>
        <w:spacing w:before="120"/>
        <w:ind w:left="851" w:hanging="284"/>
      </w:pPr>
      <w:r w:rsidRPr="00EA0A6E">
        <w:t>the number of days between</w:t>
      </w:r>
      <w:r>
        <w:t xml:space="preserve"> and including</w:t>
      </w:r>
      <w:r w:rsidRPr="00EA0A6E">
        <w:t xml:space="preserve"> the invoice receipt date and the payment date.</w:t>
      </w:r>
    </w:p>
    <w:p w14:paraId="688FC1B7" w14:textId="7003DB2C" w:rsidR="000E0490" w:rsidRPr="00EA0A6E" w:rsidRDefault="000E0490" w:rsidP="009C7523">
      <w:pPr>
        <w:pStyle w:val="OutlineNumbered1"/>
        <w:spacing w:before="120"/>
        <w:ind w:left="567" w:hanging="567"/>
      </w:pPr>
      <w:r w:rsidRPr="00EA0A6E">
        <w:t xml:space="preserve">For </w:t>
      </w:r>
      <w:r w:rsidRPr="007E19D9">
        <w:t>RCTIs</w:t>
      </w:r>
      <w:r w:rsidRPr="00EA0A6E">
        <w:t xml:space="preserve">, the payment time is the number of days between </w:t>
      </w:r>
      <w:r>
        <w:t xml:space="preserve">and including </w:t>
      </w:r>
      <w:r w:rsidRPr="00EA0A6E">
        <w:t>the RCTI issue date and the payment date.</w:t>
      </w:r>
    </w:p>
    <w:p w14:paraId="6E077E97" w14:textId="77777777" w:rsidR="000E0490" w:rsidRPr="00EA0A6E" w:rsidRDefault="000E0490" w:rsidP="009C7523">
      <w:pPr>
        <w:pStyle w:val="OutlineNumbered1"/>
        <w:spacing w:before="120"/>
        <w:ind w:left="567" w:hanging="567"/>
      </w:pPr>
      <w:r w:rsidRPr="00EA0A6E">
        <w:t xml:space="preserve">If there is no invoice or document demanding payment, calculate the payment time from </w:t>
      </w:r>
      <w:r>
        <w:t xml:space="preserve">the date </w:t>
      </w:r>
      <w:r w:rsidRPr="00EA0A6E">
        <w:t>when the payment obligation started (which may be the supply date) to</w:t>
      </w:r>
      <w:r>
        <w:t xml:space="preserve"> and including </w:t>
      </w:r>
      <w:r w:rsidRPr="00EA0A6E">
        <w:t>the payment date.</w:t>
      </w:r>
    </w:p>
    <w:p w14:paraId="30906363" w14:textId="77777777" w:rsidR="000E0490" w:rsidRPr="00EA0A6E" w:rsidRDefault="000E0490" w:rsidP="009C7523">
      <w:pPr>
        <w:pStyle w:val="OutlineNumbered1"/>
        <w:spacing w:before="120"/>
        <w:ind w:left="567" w:hanging="567"/>
      </w:pPr>
      <w:r w:rsidRPr="00EA0A6E">
        <w:t xml:space="preserve">Payment times must be in calendar days and cannot be less than zero. </w:t>
      </w:r>
      <w:r>
        <w:t xml:space="preserve">Where a payment for a trade credit arrangement is made on the same day or before an invoice is issued, the payment time is zero days. </w:t>
      </w:r>
      <w:r w:rsidRPr="00EA0A6E">
        <w:t>If the payment time calculation results in a negative number, check if:</w:t>
      </w:r>
    </w:p>
    <w:p w14:paraId="2E41A29C" w14:textId="77777777" w:rsidR="000E0490" w:rsidRPr="00EA0A6E" w:rsidRDefault="000E0490" w:rsidP="009C7523">
      <w:pPr>
        <w:pStyle w:val="OutlineNumberedDot"/>
        <w:spacing w:before="120"/>
        <w:ind w:left="851" w:hanging="284"/>
      </w:pPr>
      <w:r w:rsidRPr="00EA0A6E">
        <w:t>the payment was under a trade credit arrangement, and</w:t>
      </w:r>
    </w:p>
    <w:p w14:paraId="270805C0" w14:textId="77777777" w:rsidR="000E0490" w:rsidRPr="00EA0A6E" w:rsidRDefault="000E0490" w:rsidP="009C7523">
      <w:pPr>
        <w:pStyle w:val="OutlineNumberedDot"/>
        <w:spacing w:before="120"/>
        <w:ind w:left="851" w:hanging="284"/>
      </w:pPr>
      <w:r w:rsidRPr="00EA0A6E">
        <w:t>if so, adjust the number of days to zero.</w:t>
      </w:r>
    </w:p>
    <w:p w14:paraId="79D170BC" w14:textId="77777777" w:rsidR="000E0490" w:rsidRDefault="000E0490" w:rsidP="000E0490">
      <w:pPr>
        <w:pStyle w:val="Heading3"/>
      </w:pPr>
      <w:bookmarkStart w:id="127" w:name="_Toc180688153"/>
      <w:bookmarkStart w:id="128" w:name="_Toc184822232"/>
      <w:r>
        <w:t>Datasets: In practice</w:t>
      </w:r>
      <w:bookmarkEnd w:id="127"/>
      <w:bookmarkEnd w:id="128"/>
    </w:p>
    <w:p w14:paraId="72DEE244" w14:textId="77777777" w:rsidR="000E0490" w:rsidRDefault="000E0490" w:rsidP="00853653">
      <w:pPr>
        <w:pStyle w:val="OutlineNumbered1"/>
        <w:spacing w:after="240"/>
        <w:ind w:left="567" w:hanging="567"/>
      </w:pPr>
      <w:r w:rsidRPr="00EA0A6E">
        <w:t xml:space="preserve">After following the above steps, reporting entities should have a dataset with the following details for all payments under a trade credit arrangement. This should include payments </w:t>
      </w:r>
      <w:r>
        <w:t xml:space="preserve">by the reporting </w:t>
      </w:r>
      <w:r w:rsidRPr="00EA0A6E">
        <w:t xml:space="preserve">entity and any entities </w:t>
      </w:r>
      <w:r>
        <w:t>it</w:t>
      </w:r>
      <w:r w:rsidRPr="00EA0A6E">
        <w:t xml:space="preserve"> control</w:t>
      </w:r>
      <w:r>
        <w:t>s</w:t>
      </w:r>
      <w:r w:rsidRPr="00EA0A6E">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7B3D9E" w14:paraId="74B86D6F" w14:textId="77777777">
        <w:tc>
          <w:tcPr>
            <w:tcW w:w="5000" w:type="pct"/>
            <w:shd w:val="clear" w:color="auto" w:fill="EBF1F7"/>
          </w:tcPr>
          <w:p w14:paraId="4E06BA59" w14:textId="29ABEC84" w:rsidR="007B3D9E" w:rsidRPr="000553FE" w:rsidRDefault="00613F47">
            <w:pPr>
              <w:pStyle w:val="BoxHeading"/>
              <w:rPr>
                <w:b w:val="0"/>
              </w:rPr>
            </w:pPr>
            <w:r>
              <w:t>TCP and SBTCP Datasets (only in SBTCP data subset*)</w:t>
            </w:r>
          </w:p>
          <w:p w14:paraId="1D64D7C2" w14:textId="77777777" w:rsidR="00613F47" w:rsidRDefault="00613F47" w:rsidP="00613F47">
            <w:pPr>
              <w:pStyle w:val="BoxText"/>
            </w:pPr>
            <w:r>
              <w:t>Payer Name | Payer ABN (or ACN, ARBN) | Payee Name | Payee ABN | Payment Date | Payment Amount</w:t>
            </w:r>
          </w:p>
          <w:p w14:paraId="40B60272" w14:textId="77777777" w:rsidR="00613F47" w:rsidRDefault="00613F47" w:rsidP="00613F47">
            <w:pPr>
              <w:pStyle w:val="BoxText"/>
            </w:pPr>
            <w:r>
              <w:t>Credit Card Payment (Y/N) | eInvoice enabled Payment (Y/N) | Partial Payment (Y/N)</w:t>
            </w:r>
          </w:p>
          <w:p w14:paraId="2188A882" w14:textId="77777777" w:rsidR="00613F47" w:rsidRDefault="00613F47" w:rsidP="00613F47">
            <w:pPr>
              <w:pStyle w:val="BoxText"/>
            </w:pPr>
            <w:r>
              <w:t>Invoice Date | Invoice Receipt Date (if known) | Payment Terms (calendar days) | RCTI (Y/N)</w:t>
            </w:r>
          </w:p>
          <w:p w14:paraId="65E747C0" w14:textId="0B7CBCC8" w:rsidR="007B3D9E" w:rsidRPr="008950C5" w:rsidRDefault="00613F47" w:rsidP="00613F47">
            <w:pPr>
              <w:pStyle w:val="BoxText"/>
            </w:pPr>
            <w:r>
              <w:t>Small business payee (Y/N – SBI Tool) | Payment Time (calendar days)*</w:t>
            </w:r>
          </w:p>
        </w:tc>
      </w:tr>
    </w:tbl>
    <w:p w14:paraId="146F43F4" w14:textId="77777777" w:rsidR="000E0490" w:rsidRPr="00EA0A6E" w:rsidRDefault="000E0490" w:rsidP="009E7B1C">
      <w:pPr>
        <w:pStyle w:val="OutlineNumbered1"/>
        <w:spacing w:before="120"/>
        <w:ind w:left="567" w:hanging="567"/>
      </w:pPr>
      <w:r w:rsidRPr="00EA0A6E">
        <w:t xml:space="preserve">Reporting entities can develop this dataset in a way that suits </w:t>
      </w:r>
      <w:r>
        <w:t xml:space="preserve">its </w:t>
      </w:r>
      <w:r w:rsidRPr="00EA0A6E">
        <w:t>circumstances, as long as all required payments are accurately collected, classified, and understood. Entities can do this using multiple datasets or creating custom reports.</w:t>
      </w:r>
    </w:p>
    <w:p w14:paraId="0B8EB532" w14:textId="77777777" w:rsidR="000E0490" w:rsidRDefault="000E0490" w:rsidP="007B3D9E">
      <w:pPr>
        <w:pStyle w:val="OutlineNumbered1"/>
        <w:ind w:left="567" w:hanging="567"/>
        <w:rPr>
          <w:rFonts w:ascii="Times New Roman" w:hAnsi="Times New Roman"/>
          <w:sz w:val="24"/>
          <w:szCs w:val="24"/>
        </w:rPr>
      </w:pPr>
      <w:r w:rsidRPr="00EA0A6E">
        <w:lastRenderedPageBreak/>
        <w:t xml:space="preserve">The Regulator may review </w:t>
      </w:r>
      <w:r>
        <w:t>the</w:t>
      </w:r>
      <w:r w:rsidRPr="00EA0A6E">
        <w:t xml:space="preserve"> method </w:t>
      </w:r>
      <w:r>
        <w:t xml:space="preserve">used </w:t>
      </w:r>
      <w:r w:rsidRPr="00EA0A6E">
        <w:t xml:space="preserve">and test it </w:t>
      </w:r>
      <w:r>
        <w:t xml:space="preserve">to </w:t>
      </w:r>
      <w:r w:rsidRPr="00EA0A6E">
        <w:t>recreate the output used for reporting. Entities do not need to store datasets separately.</w:t>
      </w:r>
    </w:p>
    <w:p w14:paraId="7CC9F290" w14:textId="77777777" w:rsidR="000E0490" w:rsidRPr="000655DA" w:rsidRDefault="000E0490" w:rsidP="000E0490">
      <w:pPr>
        <w:pStyle w:val="Heading2"/>
      </w:pPr>
      <w:bookmarkStart w:id="129" w:name="_Toc180688154"/>
      <w:bookmarkStart w:id="130" w:name="_Toc184822233"/>
      <w:r w:rsidRPr="000655DA">
        <w:t>Step 4: Complete the Payment Times Report</w:t>
      </w:r>
      <w:bookmarkEnd w:id="129"/>
      <w:bookmarkEnd w:id="130"/>
    </w:p>
    <w:p w14:paraId="6A6B6F61" w14:textId="074D92A8" w:rsidR="000E0490" w:rsidRPr="002B0FC4" w:rsidRDefault="000E0490" w:rsidP="007B3D9E">
      <w:pPr>
        <w:pStyle w:val="OutlineNumbered1"/>
        <w:ind w:left="567" w:hanging="567"/>
        <w:rPr>
          <w:rFonts w:ascii="Times New Roman" w:hAnsi="Times New Roman"/>
          <w:sz w:val="24"/>
          <w:szCs w:val="24"/>
        </w:rPr>
      </w:pPr>
      <w:r w:rsidRPr="00EA0A6E">
        <w:t xml:space="preserve">To complete the payment times report, reporting entities need to perform statistical calculations using the </w:t>
      </w:r>
      <w:r w:rsidRPr="00666D3F">
        <w:rPr>
          <w:bCs/>
        </w:rPr>
        <w:t>TCP Dataset and SBTCP Dataset</w:t>
      </w:r>
      <w:r w:rsidRPr="00EA0A6E">
        <w:t xml:space="preserve">. These datasets contain crucial payment information. </w:t>
      </w:r>
      <w:hyperlink r:id="rId53" w:history="1">
        <w:r w:rsidR="00841C0D">
          <w:rPr>
            <w:rStyle w:val="Hyperlink"/>
          </w:rPr>
          <w:t>The</w:t>
        </w:r>
        <w:r w:rsidR="00841C0D" w:rsidRPr="004979D3">
          <w:rPr>
            <w:rStyle w:val="Hyperlink"/>
          </w:rPr>
          <w:t xml:space="preserve"> Portal</w:t>
        </w:r>
      </w:hyperlink>
      <w:r w:rsidRPr="00EA0A6E">
        <w:t xml:space="preserve"> provides templates and instructions on how to input data. Ensure data follows the validation rules before submitting </w:t>
      </w:r>
      <w:r>
        <w:t xml:space="preserve">a </w:t>
      </w:r>
      <w:r w:rsidRPr="00EA0A6E">
        <w:t>report.</w:t>
      </w:r>
    </w:p>
    <w:p w14:paraId="369CB9D3" w14:textId="77777777" w:rsidR="000E0490" w:rsidRDefault="000E0490" w:rsidP="002B3C35">
      <w:pPr>
        <w:pStyle w:val="Heading3"/>
      </w:pPr>
      <w:bookmarkStart w:id="131" w:name="_Toc184822234"/>
      <w:r>
        <w:t>Payment Terms and Times</w:t>
      </w:r>
      <w:bookmarkEnd w:id="131"/>
    </w:p>
    <w:tbl>
      <w:tblPr>
        <w:tblStyle w:val="TableGrid"/>
        <w:tblW w:w="0" w:type="auto"/>
        <w:tblLook w:val="04A0" w:firstRow="1" w:lastRow="0" w:firstColumn="1" w:lastColumn="0" w:noHBand="0" w:noVBand="1"/>
      </w:tblPr>
      <w:tblGrid>
        <w:gridCol w:w="4544"/>
        <w:gridCol w:w="4528"/>
      </w:tblGrid>
      <w:tr w:rsidR="000E0490" w14:paraId="7CE01420" w14:textId="77777777">
        <w:tc>
          <w:tcPr>
            <w:tcW w:w="4873" w:type="dxa"/>
            <w:shd w:val="clear" w:color="auto" w:fill="2C384A"/>
          </w:tcPr>
          <w:p w14:paraId="3591A879" w14:textId="1D37B5F9" w:rsidR="000E0490" w:rsidRPr="00EA0A6E" w:rsidRDefault="000E0490">
            <w:pPr>
              <w:spacing w:before="100" w:beforeAutospacing="1" w:after="100" w:afterAutospacing="1"/>
              <w:rPr>
                <w:rFonts w:asciiTheme="minorHAnsi" w:hAnsiTheme="minorHAnsi" w:cstheme="minorHAnsi"/>
                <w:b/>
                <w:bCs/>
                <w:szCs w:val="22"/>
              </w:rPr>
            </w:pPr>
            <w:r w:rsidRPr="00EA0A6E">
              <w:rPr>
                <w:rFonts w:cstheme="minorHAnsi"/>
                <w:b/>
                <w:color w:val="FFFFFF" w:themeColor="background1"/>
                <w:szCs w:val="22"/>
              </w:rPr>
              <w:t>Most common payment term</w:t>
            </w:r>
            <w:r w:rsidR="00346A8B">
              <w:rPr>
                <w:rFonts w:cstheme="minorHAnsi"/>
                <w:b/>
                <w:color w:val="FFFFFF" w:themeColor="background1"/>
                <w:szCs w:val="22"/>
              </w:rPr>
              <w:t xml:space="preserve"> (statistical mode)</w:t>
            </w:r>
          </w:p>
        </w:tc>
        <w:tc>
          <w:tcPr>
            <w:tcW w:w="4873" w:type="dxa"/>
            <w:shd w:val="clear" w:color="auto" w:fill="2C384A"/>
          </w:tcPr>
          <w:p w14:paraId="2FF8F51D" w14:textId="087D9040" w:rsidR="000E0490" w:rsidRPr="00EA0A6E" w:rsidRDefault="000E0490">
            <w:pPr>
              <w:spacing w:before="100" w:beforeAutospacing="1" w:after="100" w:afterAutospacing="1"/>
              <w:jc w:val="right"/>
              <w:rPr>
                <w:rFonts w:asciiTheme="minorHAnsi" w:hAnsiTheme="minorHAnsi" w:cstheme="minorHAnsi"/>
                <w:b/>
                <w:bCs/>
                <w:szCs w:val="22"/>
              </w:rPr>
            </w:pPr>
            <w:r w:rsidRPr="00EA0A6E">
              <w:rPr>
                <w:rFonts w:cstheme="minorHAnsi"/>
                <w:b/>
                <w:color w:val="FFFFFF" w:themeColor="background1"/>
                <w:szCs w:val="22"/>
              </w:rPr>
              <w:t>Format: Number [0]</w:t>
            </w:r>
          </w:p>
        </w:tc>
      </w:tr>
    </w:tbl>
    <w:p w14:paraId="3B71117A" w14:textId="2CA94174" w:rsidR="000E0490" w:rsidRPr="00EA0A6E" w:rsidRDefault="000E0490" w:rsidP="009C7523">
      <w:pPr>
        <w:pStyle w:val="OutlineNumbered1"/>
        <w:spacing w:before="120"/>
        <w:ind w:left="567" w:hanging="567"/>
      </w:pPr>
      <w:r w:rsidRPr="00EA0A6E">
        <w:t xml:space="preserve">This refers to the mode of the payment term from the SBTCP dataset, calculated as the most frequent number of days </w:t>
      </w:r>
      <w:r w:rsidR="00D5463E">
        <w:t>within which an entity is required</w:t>
      </w:r>
      <w:r w:rsidR="006F0F17">
        <w:t xml:space="preserve"> </w:t>
      </w:r>
      <w:r w:rsidRPr="00EA0A6E">
        <w:t xml:space="preserve">to make payments. </w:t>
      </w:r>
    </w:p>
    <w:p w14:paraId="7BB846EA" w14:textId="77777777" w:rsidR="000E0490" w:rsidDel="00683FB1" w:rsidRDefault="000E0490" w:rsidP="009C7523">
      <w:pPr>
        <w:pStyle w:val="OutlineNumbered1"/>
        <w:spacing w:before="120"/>
        <w:ind w:left="567" w:hanging="567"/>
      </w:pPr>
      <w:r>
        <w:t>Entities</w:t>
      </w:r>
      <w:r w:rsidRPr="00EA0A6E">
        <w:t xml:space="preserve"> can calculate the mode using Python’s mode(), R’s mode(), or Excel’s MODE().</w:t>
      </w:r>
    </w:p>
    <w:tbl>
      <w:tblPr>
        <w:tblStyle w:val="TableGrid"/>
        <w:tblpPr w:leftFromText="180" w:rightFromText="180" w:vertAnchor="text" w:horzAnchor="margin" w:tblpY="-7"/>
        <w:tblW w:w="0" w:type="auto"/>
        <w:tblLook w:val="04A0" w:firstRow="1" w:lastRow="0" w:firstColumn="1" w:lastColumn="0" w:noHBand="0" w:noVBand="1"/>
      </w:tblPr>
      <w:tblGrid>
        <w:gridCol w:w="4539"/>
        <w:gridCol w:w="4533"/>
      </w:tblGrid>
      <w:tr w:rsidR="000E0490" w14:paraId="7E9F5918" w14:textId="77777777">
        <w:tc>
          <w:tcPr>
            <w:tcW w:w="4873" w:type="dxa"/>
            <w:shd w:val="clear" w:color="auto" w:fill="2C384A"/>
          </w:tcPr>
          <w:p w14:paraId="678577CA" w14:textId="5413AF08" w:rsidR="000E0490" w:rsidRPr="002D315B" w:rsidRDefault="000E0490">
            <w:pPr>
              <w:spacing w:before="100" w:beforeAutospacing="1" w:after="100" w:afterAutospacing="1"/>
              <w:rPr>
                <w:rFonts w:asciiTheme="minorHAnsi" w:hAnsiTheme="minorHAnsi" w:cstheme="minorHAnsi"/>
                <w:b/>
                <w:bCs/>
                <w:szCs w:val="22"/>
              </w:rPr>
            </w:pPr>
            <w:r w:rsidRPr="002D315B">
              <w:rPr>
                <w:rFonts w:asciiTheme="minorHAnsi" w:hAnsiTheme="minorHAnsi" w:cstheme="minorHAnsi"/>
                <w:b/>
                <w:bCs/>
                <w:color w:val="FFFFFF" w:themeColor="background1"/>
                <w:szCs w:val="22"/>
              </w:rPr>
              <w:t>Most common payment term</w:t>
            </w:r>
            <w:r>
              <w:rPr>
                <w:rFonts w:asciiTheme="minorHAnsi" w:hAnsiTheme="minorHAnsi" w:cstheme="minorHAnsi"/>
                <w:b/>
                <w:bCs/>
                <w:color w:val="FFFFFF" w:themeColor="background1"/>
                <w:szCs w:val="22"/>
              </w:rPr>
              <w:t xml:space="preserve"> (range)</w:t>
            </w:r>
          </w:p>
        </w:tc>
        <w:tc>
          <w:tcPr>
            <w:tcW w:w="4873" w:type="dxa"/>
            <w:shd w:val="clear" w:color="auto" w:fill="2C384A"/>
          </w:tcPr>
          <w:p w14:paraId="06517919" w14:textId="122EA033"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w:t>
            </w:r>
          </w:p>
        </w:tc>
      </w:tr>
    </w:tbl>
    <w:p w14:paraId="4229E395" w14:textId="199BF357" w:rsidR="000E0490" w:rsidRDefault="000E0490" w:rsidP="009C7523">
      <w:pPr>
        <w:pStyle w:val="OutlineNumbered1"/>
        <w:spacing w:before="120"/>
        <w:ind w:left="567" w:hanging="567"/>
      </w:pPr>
      <w:r w:rsidRPr="00EA0A6E">
        <w:t xml:space="preserve">If the reporting entity has controlled entities, calculate the mode payment term </w:t>
      </w:r>
      <w:r w:rsidR="00B4664C">
        <w:t>from the SBTCP dataset</w:t>
      </w:r>
      <w:r w:rsidRPr="00EA0A6E">
        <w:t xml:space="preserve"> for the reporting entity and each controlled entity. Then, report the minimum and maximum mode payment terms for </w:t>
      </w:r>
      <w:r>
        <w:t>the</w:t>
      </w:r>
      <w:r w:rsidRPr="00EA0A6E">
        <w:t xml:space="preserve"> group as a range.</w:t>
      </w:r>
    </w:p>
    <w:p w14:paraId="657895AD" w14:textId="2CECAA72" w:rsidR="00FF086B" w:rsidRDefault="00BE3447" w:rsidP="009C7523">
      <w:pPr>
        <w:pStyle w:val="OutlineNumbered1"/>
        <w:spacing w:before="120"/>
        <w:ind w:left="567" w:hanging="567"/>
      </w:pPr>
      <w:r>
        <w:t>Any</w:t>
      </w:r>
      <w:r w:rsidR="001A01D7">
        <w:t xml:space="preserve"> entity that does not</w:t>
      </w:r>
      <w:r w:rsidR="00C72634">
        <w:t xml:space="preserve"> make any </w:t>
      </w:r>
      <w:r w:rsidR="00B764B2">
        <w:t>payments</w:t>
      </w:r>
      <w:r w:rsidR="00E136C7">
        <w:t xml:space="preserve"> to small businesses</w:t>
      </w:r>
      <w:r w:rsidR="001A01D7">
        <w:t xml:space="preserve"> (which can include the reporting entity itself) should be excluded from</w:t>
      </w:r>
      <w:r w:rsidR="007C2608">
        <w:t xml:space="preserve"> the </w:t>
      </w:r>
      <w:r w:rsidR="00E00132">
        <w:t xml:space="preserve">range calculation. A mode of 0 should </w:t>
      </w:r>
      <w:r w:rsidR="00E00132" w:rsidRPr="007D5745">
        <w:rPr>
          <w:u w:val="single"/>
        </w:rPr>
        <w:t>not</w:t>
      </w:r>
      <w:r w:rsidR="00E00132">
        <w:t xml:space="preserve"> be used.</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4C292D" w14:paraId="2851F0A5" w14:textId="77777777">
        <w:tc>
          <w:tcPr>
            <w:tcW w:w="5000" w:type="pct"/>
            <w:shd w:val="clear" w:color="auto" w:fill="EBF1F7"/>
          </w:tcPr>
          <w:p w14:paraId="73CCAC0E" w14:textId="2B2A1BE7" w:rsidR="004C292D" w:rsidRPr="000553FE" w:rsidRDefault="00141519">
            <w:pPr>
              <w:pStyle w:val="BoxHeading"/>
              <w:rPr>
                <w:b w:val="0"/>
              </w:rPr>
            </w:pPr>
            <w:r>
              <w:t>Example</w:t>
            </w:r>
            <w:r w:rsidR="00031282">
              <w:t xml:space="preserve"> 38</w:t>
            </w:r>
          </w:p>
          <w:p w14:paraId="0DF17A64" w14:textId="7283B66B" w:rsidR="004C292D" w:rsidRPr="00247BAC" w:rsidRDefault="00CA4CA7">
            <w:pPr>
              <w:pStyle w:val="BoxHeading2-Blue"/>
            </w:pPr>
            <w:r>
              <w:rPr>
                <w:rStyle w:val="Strong"/>
              </w:rPr>
              <w:t>Range of Modes</w:t>
            </w:r>
          </w:p>
          <w:p w14:paraId="635F493A" w14:textId="5F6EB1E5" w:rsidR="002D72D9" w:rsidRDefault="002D72D9" w:rsidP="002D72D9">
            <w:pPr>
              <w:pStyle w:val="BoxText"/>
            </w:pPr>
            <w:r>
              <w:t xml:space="preserve">A reporting entity has </w:t>
            </w:r>
            <w:r w:rsidR="00196070">
              <w:t>no</w:t>
            </w:r>
            <w:r>
              <w:t xml:space="preserve"> payments, </w:t>
            </w:r>
            <w:r w:rsidR="00B9122D">
              <w:t xml:space="preserve">its controlled </w:t>
            </w:r>
            <w:r>
              <w:t>Entity A has 500 payments</w:t>
            </w:r>
            <w:r w:rsidR="007C5635">
              <w:t xml:space="preserve"> to small businesses</w:t>
            </w:r>
            <w:r>
              <w:t xml:space="preserve">, </w:t>
            </w:r>
            <w:r w:rsidR="00B9122D">
              <w:t xml:space="preserve">controlled </w:t>
            </w:r>
            <w:r>
              <w:t>Entity B has 10,000 payments</w:t>
            </w:r>
            <w:r w:rsidR="007C5635">
              <w:t xml:space="preserve"> to small business</w:t>
            </w:r>
            <w:r w:rsidR="00513D9B">
              <w:t xml:space="preserve"> and </w:t>
            </w:r>
            <w:r w:rsidR="00B9122D">
              <w:t xml:space="preserve">controlled </w:t>
            </w:r>
            <w:r w:rsidR="00513D9B">
              <w:t>Entity C</w:t>
            </w:r>
            <w:r w:rsidR="00B9122D">
              <w:t xml:space="preserve"> has</w:t>
            </w:r>
            <w:r w:rsidR="007C5635">
              <w:t xml:space="preserve"> 1000 payments but</w:t>
            </w:r>
            <w:r w:rsidR="00B9122D">
              <w:t xml:space="preserve"> no payments to small</w:t>
            </w:r>
            <w:r w:rsidR="007C5635">
              <w:t xml:space="preserve"> businesses</w:t>
            </w:r>
            <w:r>
              <w:t>:</w:t>
            </w:r>
          </w:p>
          <w:p w14:paraId="59892DBB" w14:textId="70E53D3B" w:rsidR="002D72D9" w:rsidRDefault="002D72D9" w:rsidP="002D72D9">
            <w:pPr>
              <w:pStyle w:val="BoxText"/>
            </w:pPr>
            <w:r>
              <w:t xml:space="preserve">- Reporting entity: </w:t>
            </w:r>
            <w:r w:rsidR="00A10DB9">
              <w:t>Mode n</w:t>
            </w:r>
            <w:r w:rsidR="00196070">
              <w:t xml:space="preserve">ot </w:t>
            </w:r>
            <w:r w:rsidR="00A16FAD">
              <w:t>applicable</w:t>
            </w:r>
            <w:r w:rsidR="004F0188">
              <w:t xml:space="preserve"> (excluded from calculation)</w:t>
            </w:r>
          </w:p>
          <w:p w14:paraId="7EAC3BD7" w14:textId="77777777" w:rsidR="002D72D9" w:rsidRDefault="002D72D9" w:rsidP="002D72D9">
            <w:pPr>
              <w:pStyle w:val="BoxText"/>
            </w:pPr>
            <w:r>
              <w:t>- Entity A: Mode = 28 days</w:t>
            </w:r>
          </w:p>
          <w:p w14:paraId="3080B04D" w14:textId="77777777" w:rsidR="002D72D9" w:rsidRDefault="002D72D9" w:rsidP="002D72D9">
            <w:pPr>
              <w:pStyle w:val="BoxText"/>
            </w:pPr>
            <w:r>
              <w:t>- Entity B: Mode = 45 days</w:t>
            </w:r>
          </w:p>
          <w:p w14:paraId="5FF03D9C" w14:textId="600066E6" w:rsidR="00513D9B" w:rsidRDefault="00513D9B" w:rsidP="002D72D9">
            <w:pPr>
              <w:pStyle w:val="BoxText"/>
            </w:pPr>
            <w:r>
              <w:t xml:space="preserve">- Entity C: </w:t>
            </w:r>
            <w:r w:rsidR="00B164E5">
              <w:t>Not applicable (excluded</w:t>
            </w:r>
            <w:r w:rsidR="006E2C18">
              <w:t xml:space="preserve"> from calculation)</w:t>
            </w:r>
          </w:p>
          <w:p w14:paraId="3C807D41" w14:textId="256AF313" w:rsidR="004C292D" w:rsidRPr="008950C5" w:rsidRDefault="002D72D9" w:rsidP="00AB2022">
            <w:pPr>
              <w:pStyle w:val="BoxBullet"/>
              <w:ind w:left="284" w:hanging="284"/>
            </w:pPr>
            <w:r>
              <w:t>The reporting entity would report the range as 2</w:t>
            </w:r>
            <w:r w:rsidR="00A16FAD">
              <w:t>8</w:t>
            </w:r>
            <w:r>
              <w:t>–45 days.</w:t>
            </w:r>
          </w:p>
        </w:tc>
      </w:tr>
    </w:tbl>
    <w:tbl>
      <w:tblPr>
        <w:tblStyle w:val="TableGrid"/>
        <w:tblpPr w:leftFromText="180" w:rightFromText="180" w:vertAnchor="text" w:horzAnchor="margin" w:tblpY="146"/>
        <w:tblW w:w="0" w:type="auto"/>
        <w:tblLook w:val="04A0" w:firstRow="1" w:lastRow="0" w:firstColumn="1" w:lastColumn="0" w:noHBand="0" w:noVBand="1"/>
      </w:tblPr>
      <w:tblGrid>
        <w:gridCol w:w="4543"/>
        <w:gridCol w:w="4529"/>
      </w:tblGrid>
      <w:tr w:rsidR="000E0490" w14:paraId="5BE04D40" w14:textId="77777777" w:rsidTr="00D827ED">
        <w:tc>
          <w:tcPr>
            <w:tcW w:w="4543" w:type="dxa"/>
            <w:shd w:val="clear" w:color="auto" w:fill="2C384A"/>
          </w:tcPr>
          <w:p w14:paraId="7E6E0E87"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Estimated payment term for the next reporting period</w:t>
            </w:r>
          </w:p>
        </w:tc>
        <w:tc>
          <w:tcPr>
            <w:tcW w:w="4529" w:type="dxa"/>
            <w:shd w:val="clear" w:color="auto" w:fill="2C384A"/>
          </w:tcPr>
          <w:p w14:paraId="5F3052AB" w14:textId="21C47349"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w:t>
            </w:r>
          </w:p>
        </w:tc>
      </w:tr>
    </w:tbl>
    <w:p w14:paraId="47007601" w14:textId="77777777" w:rsidR="000E0490" w:rsidRDefault="000E0490" w:rsidP="009C7523">
      <w:pPr>
        <w:pStyle w:val="OutlineNumbered1"/>
        <w:spacing w:before="120"/>
        <w:ind w:left="567" w:hanging="567"/>
      </w:pPr>
      <w:r w:rsidRPr="00EA0A6E">
        <w:t>Provide an estimate of the mode payment term for the next reporting period, based on any anticipated changes in payment practices. If no changes are expected, report the same values as in the current period.</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4C292D" w14:paraId="2DA7B856" w14:textId="77777777">
        <w:tc>
          <w:tcPr>
            <w:tcW w:w="5000" w:type="pct"/>
            <w:shd w:val="clear" w:color="auto" w:fill="EBF1F7"/>
          </w:tcPr>
          <w:p w14:paraId="4E29CFFF" w14:textId="3E24BE97" w:rsidR="004C292D" w:rsidRPr="000553FE" w:rsidRDefault="009538B8">
            <w:pPr>
              <w:pStyle w:val="BoxHeading"/>
              <w:rPr>
                <w:b w:val="0"/>
              </w:rPr>
            </w:pPr>
            <w:r>
              <w:lastRenderedPageBreak/>
              <w:t>Example</w:t>
            </w:r>
            <w:r w:rsidR="00031282">
              <w:t xml:space="preserve"> 39</w:t>
            </w:r>
          </w:p>
          <w:p w14:paraId="351D52EA" w14:textId="5A9DC57C" w:rsidR="004C292D" w:rsidRPr="00247BAC" w:rsidRDefault="009538B8">
            <w:pPr>
              <w:pStyle w:val="BoxHeading2-Blue"/>
            </w:pPr>
            <w:r>
              <w:rPr>
                <w:rStyle w:val="Strong"/>
              </w:rPr>
              <w:t>Estimate Payment Terms</w:t>
            </w:r>
          </w:p>
          <w:p w14:paraId="0C90DB5D" w14:textId="77777777" w:rsidR="00DB3754" w:rsidRDefault="009538B8" w:rsidP="00D32421">
            <w:pPr>
              <w:pStyle w:val="BoxBullet"/>
              <w:numPr>
                <w:ilvl w:val="0"/>
                <w:numId w:val="0"/>
              </w:numPr>
              <w:ind w:left="283" w:hanging="283"/>
            </w:pPr>
            <w:r w:rsidRPr="00D32421">
              <w:rPr>
                <w:u w:val="single"/>
              </w:rPr>
              <w:t>Scenario 1:</w:t>
            </w:r>
            <w:r>
              <w:t xml:space="preserve"> </w:t>
            </w:r>
          </w:p>
          <w:p w14:paraId="0D5F9329" w14:textId="4B47623F" w:rsidR="00D32421" w:rsidRDefault="009538B8" w:rsidP="00DB3754">
            <w:pPr>
              <w:pStyle w:val="BoxBullet"/>
              <w:numPr>
                <w:ilvl w:val="0"/>
                <w:numId w:val="0"/>
              </w:numPr>
              <w:ind w:left="-1" w:firstLine="1"/>
            </w:pPr>
            <w:r>
              <w:t xml:space="preserve">A reporting entity has a mode payment term of 45 days, but it implemented a policy to pay small business suppliers in 14 days. </w:t>
            </w:r>
          </w:p>
          <w:p w14:paraId="5F4AEEDC" w14:textId="31510CAA" w:rsidR="009538B8" w:rsidRDefault="009538B8" w:rsidP="00D32421">
            <w:pPr>
              <w:pStyle w:val="BoxBullet"/>
              <w:ind w:left="284" w:hanging="284"/>
            </w:pPr>
            <w:r>
              <w:t>The reporting entity would report an estimated term of 14 days.</w:t>
            </w:r>
          </w:p>
          <w:p w14:paraId="423B0D7C" w14:textId="77777777" w:rsidR="00DB3754" w:rsidRDefault="009538B8" w:rsidP="00D32421">
            <w:pPr>
              <w:pStyle w:val="BoxBullet"/>
              <w:numPr>
                <w:ilvl w:val="0"/>
                <w:numId w:val="0"/>
              </w:numPr>
            </w:pPr>
            <w:r w:rsidRPr="00D32421">
              <w:rPr>
                <w:u w:val="single"/>
              </w:rPr>
              <w:t>Scenario 2:</w:t>
            </w:r>
            <w:r>
              <w:t xml:space="preserve"> </w:t>
            </w:r>
          </w:p>
          <w:p w14:paraId="6EE4D255" w14:textId="0007B1C2" w:rsidR="00D32421" w:rsidRDefault="009538B8" w:rsidP="00D32421">
            <w:pPr>
              <w:pStyle w:val="BoxBullet"/>
              <w:numPr>
                <w:ilvl w:val="0"/>
                <w:numId w:val="0"/>
              </w:numPr>
            </w:pPr>
            <w:r>
              <w:t xml:space="preserve">A reporting entity changes its standard payment terms for all suppliers from 30 days to 60 days. </w:t>
            </w:r>
          </w:p>
          <w:p w14:paraId="58BA5E3D" w14:textId="6E23CFB9" w:rsidR="009538B8" w:rsidRDefault="009538B8" w:rsidP="00D32421">
            <w:pPr>
              <w:pStyle w:val="BoxBullet"/>
              <w:ind w:left="284" w:hanging="284"/>
            </w:pPr>
            <w:r>
              <w:t>The reporting entity would report an estimated term of 60 days.</w:t>
            </w:r>
          </w:p>
          <w:p w14:paraId="48A9C8A8" w14:textId="77777777" w:rsidR="00DB3754" w:rsidRDefault="009538B8" w:rsidP="00D32421">
            <w:pPr>
              <w:pStyle w:val="BoxBullet"/>
              <w:numPr>
                <w:ilvl w:val="0"/>
                <w:numId w:val="0"/>
              </w:numPr>
            </w:pPr>
            <w:r w:rsidRPr="00D32421">
              <w:rPr>
                <w:u w:val="single"/>
              </w:rPr>
              <w:t>Scenario 3:</w:t>
            </w:r>
            <w:r>
              <w:t xml:space="preserve"> </w:t>
            </w:r>
          </w:p>
          <w:p w14:paraId="052F357E" w14:textId="1FEC55F1" w:rsidR="00D32421" w:rsidRDefault="009538B8" w:rsidP="00D32421">
            <w:pPr>
              <w:pStyle w:val="BoxBullet"/>
              <w:numPr>
                <w:ilvl w:val="0"/>
                <w:numId w:val="0"/>
              </w:numPr>
            </w:pPr>
            <w:r>
              <w:t xml:space="preserve">A reporting entity has two controlled entities and range of payment terms of 10 days to 45 days. The entity with 45-day terms changes its payment policy at the beginning of the reporting period to 28 days. </w:t>
            </w:r>
          </w:p>
          <w:p w14:paraId="2182B007" w14:textId="3800DB91" w:rsidR="004C292D" w:rsidRPr="008950C5" w:rsidRDefault="009538B8" w:rsidP="00D32421">
            <w:pPr>
              <w:pStyle w:val="BoxBullet"/>
              <w:ind w:left="284" w:hanging="284"/>
            </w:pPr>
            <w:r>
              <w:t>The reporting entity would report an estimate range of payment terms of 10 days to 28 days.</w:t>
            </w:r>
          </w:p>
        </w:tc>
      </w:tr>
    </w:tbl>
    <w:tbl>
      <w:tblPr>
        <w:tblStyle w:val="TableGrid"/>
        <w:tblpPr w:leftFromText="180" w:rightFromText="180" w:vertAnchor="text" w:horzAnchor="margin" w:tblpY="177"/>
        <w:tblW w:w="0" w:type="auto"/>
        <w:tblLook w:val="04A0" w:firstRow="1" w:lastRow="0" w:firstColumn="1" w:lastColumn="0" w:noHBand="0" w:noVBand="1"/>
      </w:tblPr>
      <w:tblGrid>
        <w:gridCol w:w="4492"/>
        <w:gridCol w:w="4580"/>
      </w:tblGrid>
      <w:tr w:rsidR="00D053CA" w14:paraId="062CAE96" w14:textId="77777777" w:rsidTr="00D053CA">
        <w:tc>
          <w:tcPr>
            <w:tcW w:w="4492" w:type="dxa"/>
            <w:shd w:val="clear" w:color="auto" w:fill="2C384A"/>
          </w:tcPr>
          <w:p w14:paraId="0954F005" w14:textId="77777777" w:rsidR="00D053CA" w:rsidRPr="002D315B" w:rsidRDefault="00D053CA" w:rsidP="00D053CA">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Comparison of receivable terms to payment terms</w:t>
            </w:r>
          </w:p>
        </w:tc>
        <w:tc>
          <w:tcPr>
            <w:tcW w:w="4580" w:type="dxa"/>
            <w:shd w:val="clear" w:color="auto" w:fill="2C384A"/>
          </w:tcPr>
          <w:p w14:paraId="1A889E46" w14:textId="77777777" w:rsidR="00D053CA" w:rsidRPr="002D315B" w:rsidRDefault="00D053CA" w:rsidP="00D053CA">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Selection [Faster/Slower/Same]</w:t>
            </w:r>
          </w:p>
        </w:tc>
      </w:tr>
    </w:tbl>
    <w:p w14:paraId="0B90A856" w14:textId="02366A7E" w:rsidR="008328C3" w:rsidRDefault="00A139C7" w:rsidP="009C7523">
      <w:pPr>
        <w:pStyle w:val="OutlineNumbered1"/>
        <w:spacing w:before="120"/>
        <w:ind w:left="567" w:hanging="567"/>
      </w:pPr>
      <w:r>
        <w:t xml:space="preserve">Compare the </w:t>
      </w:r>
      <w:r w:rsidR="00197E04">
        <w:t>mode payment term to the most common</w:t>
      </w:r>
      <w:r w:rsidR="000A4174">
        <w:t>ly</w:t>
      </w:r>
      <w:r w:rsidR="00197E04">
        <w:t xml:space="preserve"> offered receivable </w:t>
      </w:r>
      <w:r w:rsidR="00AB5036">
        <w:t>terms for sales to all customers</w:t>
      </w:r>
      <w:r w:rsidR="000E0490" w:rsidRPr="00EA0A6E">
        <w:t xml:space="preserve">. </w:t>
      </w:r>
      <w:r w:rsidR="00F47EAE">
        <w:t xml:space="preserve">No comparison is necessary to the mode </w:t>
      </w:r>
      <w:r w:rsidR="00E91542">
        <w:t xml:space="preserve">payment term </w:t>
      </w:r>
      <w:r w:rsidR="00F47EAE">
        <w:t>range.</w:t>
      </w:r>
      <w:r w:rsidR="000E0490" w:rsidRPr="00EA0A6E">
        <w:t xml:space="preserve"> Indicate if the receivable terms (how quickly </w:t>
      </w:r>
      <w:r w:rsidR="000E0490">
        <w:t>the entity</w:t>
      </w:r>
      <w:r w:rsidR="000E0490" w:rsidRPr="00EA0A6E">
        <w:t xml:space="preserve"> </w:t>
      </w:r>
      <w:r w:rsidR="00E9356F">
        <w:t xml:space="preserve">expects </w:t>
      </w:r>
      <w:r w:rsidR="00F04ACB">
        <w:t xml:space="preserve">contractually </w:t>
      </w:r>
      <w:r w:rsidR="00E9356F">
        <w:t>to</w:t>
      </w:r>
      <w:r w:rsidR="000E0490" w:rsidRPr="00EA0A6E">
        <w:t xml:space="preserve"> get paid) are shorter, longer, or the same as payment terms to small business suppliers (how quickly </w:t>
      </w:r>
      <w:r w:rsidR="000E0490">
        <w:t>the entity</w:t>
      </w:r>
      <w:r w:rsidR="000E0490" w:rsidRPr="00EA0A6E">
        <w:t xml:space="preserve"> </w:t>
      </w:r>
      <w:r w:rsidR="00E9356F">
        <w:t xml:space="preserve">is expected </w:t>
      </w:r>
      <w:r w:rsidR="00465BE7">
        <w:t xml:space="preserve">contractually </w:t>
      </w:r>
      <w:r w:rsidR="00E9356F">
        <w:t>to</w:t>
      </w:r>
      <w:r w:rsidR="000E0490" w:rsidRPr="00EA0A6E">
        <w:t xml:space="preserve"> pay small business suppliers).</w:t>
      </w:r>
    </w:p>
    <w:p w14:paraId="65770C67" w14:textId="77777777" w:rsidR="000E0490" w:rsidRDefault="000E0490" w:rsidP="009C7523">
      <w:pPr>
        <w:pStyle w:val="OutlineNumbered1"/>
        <w:spacing w:before="120"/>
        <w:ind w:left="567" w:hanging="567"/>
      </w:pPr>
      <w:r>
        <w:t>To perform the comparison, reporting entities can take the policy approach, accounting receivable days approach or transaction approach.</w:t>
      </w:r>
    </w:p>
    <w:p w14:paraId="269EF2BB" w14:textId="77777777" w:rsidR="000E0490" w:rsidRDefault="000E0490" w:rsidP="000E0490">
      <w:pPr>
        <w:rPr>
          <w:b/>
          <w:bCs/>
        </w:rPr>
      </w:pPr>
      <w:r>
        <w:rPr>
          <w:b/>
          <w:bCs/>
        </w:rPr>
        <w:t>Policy approach</w:t>
      </w:r>
    </w:p>
    <w:p w14:paraId="3AD2B684" w14:textId="77777777" w:rsidR="000E0490" w:rsidRDefault="000E0490" w:rsidP="00D827ED">
      <w:pPr>
        <w:pStyle w:val="OutlineNumbered1"/>
        <w:spacing w:after="240"/>
        <w:ind w:left="567" w:hanging="567"/>
      </w:pPr>
      <w:r>
        <w:t>The reporting entity can assess their credit sale terms from a policy perspective provided it is reasonable in the circumstances. The entity should document the approach it took and why it is reasonable.</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4C292D" w14:paraId="6A379007" w14:textId="77777777">
        <w:tc>
          <w:tcPr>
            <w:tcW w:w="5000" w:type="pct"/>
            <w:shd w:val="clear" w:color="auto" w:fill="EBF1F7"/>
          </w:tcPr>
          <w:p w14:paraId="61FF098B" w14:textId="37DB7558" w:rsidR="004C292D" w:rsidRPr="000553FE" w:rsidRDefault="0004154E">
            <w:pPr>
              <w:pStyle w:val="BoxHeading"/>
              <w:rPr>
                <w:b w:val="0"/>
              </w:rPr>
            </w:pPr>
            <w:r>
              <w:t>Example</w:t>
            </w:r>
            <w:r w:rsidR="00031282">
              <w:t xml:space="preserve"> 40</w:t>
            </w:r>
          </w:p>
          <w:p w14:paraId="101E0D30" w14:textId="2F5253B9" w:rsidR="004C292D" w:rsidRPr="00247BAC" w:rsidRDefault="0004154E">
            <w:pPr>
              <w:pStyle w:val="BoxHeading2-Blue"/>
            </w:pPr>
            <w:r>
              <w:rPr>
                <w:rStyle w:val="Strong"/>
              </w:rPr>
              <w:t>Policy approach</w:t>
            </w:r>
          </w:p>
          <w:p w14:paraId="75963E4E" w14:textId="0A1326B7" w:rsidR="0004154E" w:rsidRDefault="0004154E" w:rsidP="0004154E">
            <w:pPr>
              <w:pStyle w:val="BoxText"/>
            </w:pPr>
            <w:r>
              <w:t xml:space="preserve">A reporting entity has a </w:t>
            </w:r>
            <w:r w:rsidR="000578C5">
              <w:t>m</w:t>
            </w:r>
            <w:r w:rsidRPr="000578C5">
              <w:t>ode payment term</w:t>
            </w:r>
            <w:r>
              <w:t xml:space="preserve"> of 45 days. The entity, other than for minor exceptions, has a policy of issuing invoices with 30-day payment terms to all customers.</w:t>
            </w:r>
          </w:p>
          <w:p w14:paraId="16984263" w14:textId="62A380D2" w:rsidR="004C292D" w:rsidRPr="008950C5" w:rsidRDefault="0004154E" w:rsidP="00C76670">
            <w:pPr>
              <w:pStyle w:val="BoxBullet"/>
              <w:ind w:left="284" w:hanging="284"/>
            </w:pPr>
            <w:r>
              <w:t xml:space="preserve">The reporting entity can compare the 30-day term to the 45-day </w:t>
            </w:r>
            <w:r w:rsidR="007F1F7E">
              <w:t>m</w:t>
            </w:r>
            <w:r w:rsidRPr="00C76670">
              <w:t>ode payment term</w:t>
            </w:r>
            <w:r>
              <w:t xml:space="preserve"> and report ‘Shorter’.</w:t>
            </w:r>
          </w:p>
        </w:tc>
      </w:tr>
    </w:tbl>
    <w:p w14:paraId="692DC55E" w14:textId="77777777" w:rsidR="00AE7384" w:rsidRDefault="00AE7384" w:rsidP="000E0490">
      <w:pPr>
        <w:rPr>
          <w:b/>
          <w:bCs/>
        </w:rPr>
      </w:pPr>
    </w:p>
    <w:p w14:paraId="525CA776" w14:textId="77777777" w:rsidR="00AE7384" w:rsidRDefault="00AE7384">
      <w:pPr>
        <w:spacing w:before="0" w:after="160" w:line="259" w:lineRule="auto"/>
        <w:rPr>
          <w:b/>
          <w:bCs/>
        </w:rPr>
      </w:pPr>
      <w:r>
        <w:rPr>
          <w:b/>
          <w:bCs/>
        </w:rPr>
        <w:br w:type="page"/>
      </w:r>
    </w:p>
    <w:p w14:paraId="79E17D83" w14:textId="1BF99F30" w:rsidR="000E0490" w:rsidRDefault="000E0490" w:rsidP="000E0490">
      <w:pPr>
        <w:rPr>
          <w:b/>
          <w:bCs/>
        </w:rPr>
      </w:pPr>
      <w:r>
        <w:rPr>
          <w:b/>
          <w:bCs/>
        </w:rPr>
        <w:lastRenderedPageBreak/>
        <w:t>Accounting receivable days approach</w:t>
      </w:r>
    </w:p>
    <w:p w14:paraId="5A98FE81" w14:textId="77777777" w:rsidR="000E0490" w:rsidRDefault="000E0490" w:rsidP="002C5B51">
      <w:pPr>
        <w:pStyle w:val="OutlineNumbered1"/>
        <w:ind w:left="567" w:hanging="567"/>
      </w:pPr>
      <w:r>
        <w:t>The reporting entity can use the receivable days as calculated using the accounting equation:</w:t>
      </w:r>
    </w:p>
    <w:p w14:paraId="3A6874B4" w14:textId="77777777" w:rsidR="000E0490" w:rsidRPr="00EA0A6E" w:rsidRDefault="000E0490" w:rsidP="000E0490">
      <w:pPr>
        <w:jc w:val="center"/>
        <w:rPr>
          <w:i/>
          <w:iCs/>
        </w:rPr>
      </w:pPr>
      <w:r w:rsidRPr="00EA0A6E">
        <w:rPr>
          <w:i/>
          <w:iCs/>
        </w:rPr>
        <w:t xml:space="preserve">Receivable Days = [Average accounts receivable </w:t>
      </w:r>
      <w:r w:rsidRPr="00EA0A6E">
        <w:rPr>
          <w:rFonts w:cstheme="minorHAnsi"/>
          <w:i/>
          <w:iCs/>
        </w:rPr>
        <w:t>÷</w:t>
      </w:r>
      <w:r w:rsidRPr="00EA0A6E">
        <w:rPr>
          <w:i/>
          <w:iCs/>
        </w:rPr>
        <w:t xml:space="preserve"> Credit sales] </w:t>
      </w:r>
      <w:r w:rsidRPr="00EA0A6E">
        <w:rPr>
          <w:rFonts w:cs="Calibri"/>
          <w:i/>
          <w:iCs/>
        </w:rPr>
        <w:t>×</w:t>
      </w:r>
      <w:r w:rsidRPr="00EA0A6E">
        <w:rPr>
          <w:i/>
          <w:iCs/>
        </w:rPr>
        <w:t xml:space="preserve"> Days in period</w:t>
      </w:r>
    </w:p>
    <w:p w14:paraId="5451EF10" w14:textId="77777777" w:rsidR="000E0490" w:rsidRPr="00EA0A6E" w:rsidRDefault="000E0490" w:rsidP="00CA5112">
      <w:pPr>
        <w:pStyle w:val="OutlineNumbered1"/>
        <w:ind w:left="567" w:hanging="567"/>
      </w:pPr>
      <w:r w:rsidRPr="00EA0A6E">
        <w:t>Receivable days should be calculated to align with the relevant reporting period. Reporting entities can use half year accounts for one reporting period and end of year accounts for the other but may also perform the calculation for the second half of a financial year based only on balances and sales for that half of the year.</w:t>
      </w:r>
    </w:p>
    <w:p w14:paraId="664D1233" w14:textId="77777777" w:rsidR="000E0490" w:rsidRDefault="000E0490" w:rsidP="00D827ED">
      <w:pPr>
        <w:pStyle w:val="OutlineNumbered1"/>
        <w:spacing w:after="240"/>
        <w:ind w:left="567" w:hanging="567"/>
      </w:pPr>
      <w:r w:rsidRPr="00EA0A6E">
        <w:t>Entities using this approach should document how calculations were performed and how the approach is reasonable.</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CA5112" w14:paraId="5B9A823D" w14:textId="77777777">
        <w:tc>
          <w:tcPr>
            <w:tcW w:w="5000" w:type="pct"/>
            <w:shd w:val="clear" w:color="auto" w:fill="EBF1F7"/>
          </w:tcPr>
          <w:p w14:paraId="4DF6D3EB" w14:textId="5AD69F7E" w:rsidR="00CA5112" w:rsidRPr="000553FE" w:rsidRDefault="00604058">
            <w:pPr>
              <w:pStyle w:val="BoxHeading"/>
              <w:rPr>
                <w:b w:val="0"/>
              </w:rPr>
            </w:pPr>
            <w:r>
              <w:t>Example</w:t>
            </w:r>
            <w:r w:rsidR="00031282">
              <w:t xml:space="preserve"> 41</w:t>
            </w:r>
          </w:p>
          <w:p w14:paraId="112CC6C0" w14:textId="608415D8" w:rsidR="00CA5112" w:rsidRPr="00247BAC" w:rsidRDefault="00604058">
            <w:pPr>
              <w:pStyle w:val="BoxHeading2-Blue"/>
            </w:pPr>
            <w:r>
              <w:rPr>
                <w:rStyle w:val="Strong"/>
              </w:rPr>
              <w:t>Accounting receivable days</w:t>
            </w:r>
          </w:p>
          <w:p w14:paraId="375ED4C8" w14:textId="12C9A39D" w:rsidR="00604058" w:rsidRDefault="00604058" w:rsidP="00604058">
            <w:pPr>
              <w:pStyle w:val="BoxText"/>
            </w:pPr>
            <w:r>
              <w:t xml:space="preserve">A reporting entity has a </w:t>
            </w:r>
            <w:r w:rsidR="00AE3E7E" w:rsidRPr="00AE3E7E">
              <w:t>m</w:t>
            </w:r>
            <w:r w:rsidRPr="00AE3E7E">
              <w:t>ode payment term</w:t>
            </w:r>
            <w:r>
              <w:t xml:space="preserve"> of 45 days for a reporting period ending 31 December. The entity had an opening accounts receivable balance of $1000, a closing balance of $1200 and credit sales of $4,000 for the reporting period.</w:t>
            </w:r>
          </w:p>
          <w:p w14:paraId="4C15BDEB" w14:textId="40785DB9" w:rsidR="00604058" w:rsidRDefault="00604058" w:rsidP="00604058">
            <w:pPr>
              <w:pStyle w:val="BoxText"/>
            </w:pPr>
            <w:r>
              <w:t>The entity calculates i</w:t>
            </w:r>
            <w:r w:rsidR="006065E1">
              <w:t>t</w:t>
            </w:r>
            <w:r>
              <w:t>s accounts receivable days as:</w:t>
            </w:r>
          </w:p>
          <w:p w14:paraId="7923C239" w14:textId="77777777" w:rsidR="00604058" w:rsidRDefault="00604058" w:rsidP="00604058">
            <w:pPr>
              <w:pStyle w:val="BoxText"/>
            </w:pPr>
            <w:r>
              <w:t xml:space="preserve">[($1,000 + $1,200) ÷ 2] / $4,000 x 184 = 50.6 days. </w:t>
            </w:r>
          </w:p>
          <w:p w14:paraId="784DCC10" w14:textId="5F361EEF" w:rsidR="00CA5112" w:rsidRPr="008950C5" w:rsidRDefault="00604058" w:rsidP="00120C9D">
            <w:pPr>
              <w:pStyle w:val="BoxBullet"/>
              <w:ind w:left="284" w:hanging="284"/>
            </w:pPr>
            <w:r>
              <w:t xml:space="preserve">The entity compares the 50.6 receivable days and </w:t>
            </w:r>
            <w:r w:rsidR="00AE3E7E" w:rsidRPr="00AE3E7E">
              <w:t>m</w:t>
            </w:r>
            <w:r w:rsidRPr="00AE3E7E">
              <w:t>ode payment term</w:t>
            </w:r>
            <w:r>
              <w:t xml:space="preserve"> of 45-days and reports ‘Longer’.</w:t>
            </w:r>
          </w:p>
        </w:tc>
      </w:tr>
    </w:tbl>
    <w:p w14:paraId="2AC809A1" w14:textId="77777777" w:rsidR="000E0490" w:rsidRDefault="000E0490" w:rsidP="000E0490">
      <w:pPr>
        <w:rPr>
          <w:b/>
          <w:bCs/>
        </w:rPr>
      </w:pPr>
      <w:r>
        <w:rPr>
          <w:b/>
          <w:bCs/>
        </w:rPr>
        <w:t>Transaction approach</w:t>
      </w:r>
    </w:p>
    <w:p w14:paraId="57263091" w14:textId="77777777" w:rsidR="000E0490" w:rsidRDefault="000E0490" w:rsidP="009C7523">
      <w:pPr>
        <w:pStyle w:val="OutlineNumbered1"/>
        <w:spacing w:before="120"/>
        <w:ind w:left="567" w:hanging="567"/>
      </w:pPr>
      <w:r>
        <w:t>The reporting entity can calculate the statistical mode of the terms for every credit sale by the entity and entities it controls in the reporting period.</w:t>
      </w:r>
    </w:p>
    <w:p w14:paraId="6F2204A9" w14:textId="77777777" w:rsidR="000E0490" w:rsidRDefault="000E0490" w:rsidP="009C7523">
      <w:pPr>
        <w:pStyle w:val="OutlineNumbered1"/>
        <w:spacing w:before="120"/>
        <w:ind w:left="567" w:hanging="567"/>
      </w:pPr>
      <w:r>
        <w:t>This approach is not recommended unless data of credit sales terms is readily available and able to have the mode calculation performed without extensive data cleansing and interrogation.</w:t>
      </w:r>
    </w:p>
    <w:tbl>
      <w:tblPr>
        <w:tblStyle w:val="TableGrid"/>
        <w:tblpPr w:leftFromText="180" w:rightFromText="180" w:vertAnchor="text" w:horzAnchor="margin" w:tblpY="56"/>
        <w:tblW w:w="0" w:type="auto"/>
        <w:tblLook w:val="04A0" w:firstRow="1" w:lastRow="0" w:firstColumn="1" w:lastColumn="0" w:noHBand="0" w:noVBand="1"/>
      </w:tblPr>
      <w:tblGrid>
        <w:gridCol w:w="4539"/>
        <w:gridCol w:w="4533"/>
      </w:tblGrid>
      <w:tr w:rsidR="000E0490" w14:paraId="04C31296" w14:textId="77777777">
        <w:tc>
          <w:tcPr>
            <w:tcW w:w="4873" w:type="dxa"/>
            <w:shd w:val="clear" w:color="auto" w:fill="2C384A"/>
          </w:tcPr>
          <w:p w14:paraId="0719CD5F"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Average payment time</w:t>
            </w:r>
          </w:p>
        </w:tc>
        <w:tc>
          <w:tcPr>
            <w:tcW w:w="4873" w:type="dxa"/>
            <w:shd w:val="clear" w:color="auto" w:fill="2C384A"/>
          </w:tcPr>
          <w:p w14:paraId="03E8604D"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4AACC933" w14:textId="77777777" w:rsidR="000E0490" w:rsidRPr="00EA0A6E" w:rsidRDefault="000E0490" w:rsidP="009C7523">
      <w:pPr>
        <w:pStyle w:val="OutlineNumbered1"/>
        <w:spacing w:before="120"/>
        <w:ind w:left="567" w:hanging="567"/>
      </w:pPr>
      <w:r w:rsidRPr="00EA0A6E">
        <w:t xml:space="preserve">Report the arithmetic average payment time using the SBTCP </w:t>
      </w:r>
      <w:r>
        <w:t>D</w:t>
      </w:r>
      <w:r w:rsidRPr="00EA0A6E">
        <w:t>ataset. Do not use the geometric mean.</w:t>
      </w:r>
    </w:p>
    <w:p w14:paraId="61AF9905" w14:textId="77777777" w:rsidR="000E0490" w:rsidRDefault="000E0490" w:rsidP="00A40BDF">
      <w:pPr>
        <w:pStyle w:val="OutlineNumbered1"/>
        <w:spacing w:before="120" w:after="240"/>
        <w:ind w:left="567" w:hanging="567"/>
      </w:pPr>
      <w:r w:rsidRPr="003342A1">
        <w:t xml:space="preserve">Entities can calculate the </w:t>
      </w:r>
      <w:r>
        <w:t>average</w:t>
      </w:r>
      <w:r w:rsidRPr="003342A1">
        <w:t xml:space="preserve"> using Python’s statistics.mean(), R’s mean(), or Excel’s AVERAGE().</w:t>
      </w:r>
    </w:p>
    <w:tbl>
      <w:tblPr>
        <w:tblStyle w:val="TableGrid"/>
        <w:tblpPr w:leftFromText="180" w:rightFromText="180" w:vertAnchor="text" w:horzAnchor="margin" w:tblpY="103"/>
        <w:tblW w:w="0" w:type="auto"/>
        <w:tblLook w:val="04A0" w:firstRow="1" w:lastRow="0" w:firstColumn="1" w:lastColumn="0" w:noHBand="0" w:noVBand="1"/>
      </w:tblPr>
      <w:tblGrid>
        <w:gridCol w:w="4539"/>
        <w:gridCol w:w="4533"/>
      </w:tblGrid>
      <w:tr w:rsidR="000E0490" w14:paraId="44DCC709" w14:textId="77777777">
        <w:tc>
          <w:tcPr>
            <w:tcW w:w="4873" w:type="dxa"/>
            <w:shd w:val="clear" w:color="auto" w:fill="2C384A"/>
          </w:tcPr>
          <w:p w14:paraId="288E3972"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Median payment time</w:t>
            </w:r>
          </w:p>
        </w:tc>
        <w:tc>
          <w:tcPr>
            <w:tcW w:w="4873" w:type="dxa"/>
            <w:shd w:val="clear" w:color="auto" w:fill="2C384A"/>
          </w:tcPr>
          <w:p w14:paraId="733EA214"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64CC8227" w14:textId="10FB9361" w:rsidR="000E0490" w:rsidRPr="00EA0A6E" w:rsidRDefault="000E0490" w:rsidP="009C7523">
      <w:pPr>
        <w:pStyle w:val="OutlineNumbered1"/>
        <w:spacing w:before="120"/>
        <w:ind w:left="567" w:hanging="567"/>
      </w:pPr>
      <w:r w:rsidRPr="00EA0A6E">
        <w:t>Report the statistical median payment time</w:t>
      </w:r>
      <w:r w:rsidR="009A29C1">
        <w:t xml:space="preserve"> using the SBTCP Dataset</w:t>
      </w:r>
      <w:r w:rsidRPr="00EA0A6E">
        <w:t>. If there</w:t>
      </w:r>
      <w:r w:rsidR="00D90874">
        <w:t xml:space="preserve"> i</w:t>
      </w:r>
      <w:r w:rsidRPr="00EA0A6E">
        <w:t>s an even number of payments, calculate the median as the average of the two middle values.</w:t>
      </w:r>
    </w:p>
    <w:p w14:paraId="593C92F4" w14:textId="3965D319" w:rsidR="000E0490" w:rsidRDefault="000E0490" w:rsidP="00A40BDF">
      <w:pPr>
        <w:pStyle w:val="OutlineNumbered1"/>
        <w:spacing w:before="120" w:after="240"/>
        <w:ind w:left="567" w:hanging="567"/>
      </w:pPr>
      <w:r w:rsidRPr="003342A1">
        <w:t xml:space="preserve">Entities can calculate the </w:t>
      </w:r>
      <w:r>
        <w:t>average</w:t>
      </w:r>
      <w:r w:rsidRPr="003342A1">
        <w:t xml:space="preserve"> using Python’s</w:t>
      </w:r>
      <w:r>
        <w:t xml:space="preserve"> median</w:t>
      </w:r>
      <w:r w:rsidRPr="003342A1">
        <w:t xml:space="preserve">(), R’s </w:t>
      </w:r>
      <w:r>
        <w:t>median</w:t>
      </w:r>
      <w:r w:rsidRPr="003342A1">
        <w:t xml:space="preserve">(), or Excel’s </w:t>
      </w:r>
      <w:r>
        <w:t>MEDIAN</w:t>
      </w:r>
      <w:r w:rsidRPr="003342A1">
        <w:t>().</w:t>
      </w:r>
    </w:p>
    <w:tbl>
      <w:tblPr>
        <w:tblStyle w:val="TableGrid"/>
        <w:tblpPr w:leftFromText="180" w:rightFromText="180" w:vertAnchor="text" w:tblpY="114"/>
        <w:tblW w:w="0" w:type="auto"/>
        <w:tblLook w:val="04A0" w:firstRow="1" w:lastRow="0" w:firstColumn="1" w:lastColumn="0" w:noHBand="0" w:noVBand="1"/>
      </w:tblPr>
      <w:tblGrid>
        <w:gridCol w:w="4543"/>
        <w:gridCol w:w="4529"/>
      </w:tblGrid>
      <w:tr w:rsidR="000E0490" w14:paraId="73E361DF" w14:textId="77777777">
        <w:tc>
          <w:tcPr>
            <w:tcW w:w="4873" w:type="dxa"/>
            <w:shd w:val="clear" w:color="auto" w:fill="2C384A"/>
          </w:tcPr>
          <w:p w14:paraId="03DE7D1A"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80</w:t>
            </w:r>
            <w:r w:rsidRPr="00964D8F">
              <w:rPr>
                <w:rFonts w:asciiTheme="minorHAnsi" w:hAnsiTheme="minorHAnsi" w:cstheme="minorHAnsi"/>
                <w:b/>
                <w:bCs/>
                <w:color w:val="FFFFFF" w:themeColor="background1"/>
                <w:szCs w:val="22"/>
                <w:vertAlign w:val="superscript"/>
              </w:rPr>
              <w:t>th</w:t>
            </w:r>
            <w:r>
              <w:rPr>
                <w:rFonts w:asciiTheme="minorHAnsi" w:hAnsiTheme="minorHAnsi" w:cstheme="minorHAnsi"/>
                <w:b/>
                <w:bCs/>
                <w:color w:val="FFFFFF" w:themeColor="background1"/>
                <w:szCs w:val="22"/>
              </w:rPr>
              <w:t xml:space="preserve"> and 95</w:t>
            </w:r>
            <w:r w:rsidRPr="00964D8F">
              <w:rPr>
                <w:rFonts w:asciiTheme="minorHAnsi" w:hAnsiTheme="minorHAnsi" w:cstheme="minorHAnsi"/>
                <w:b/>
                <w:bCs/>
                <w:color w:val="FFFFFF" w:themeColor="background1"/>
                <w:szCs w:val="22"/>
                <w:vertAlign w:val="superscript"/>
              </w:rPr>
              <w:t>th</w:t>
            </w:r>
            <w:r>
              <w:rPr>
                <w:rFonts w:asciiTheme="minorHAnsi" w:hAnsiTheme="minorHAnsi" w:cstheme="minorHAnsi"/>
                <w:b/>
                <w:bCs/>
                <w:color w:val="FFFFFF" w:themeColor="background1"/>
                <w:szCs w:val="22"/>
              </w:rPr>
              <w:t xml:space="preserve"> percentile payment times</w:t>
            </w:r>
          </w:p>
        </w:tc>
        <w:tc>
          <w:tcPr>
            <w:tcW w:w="4873" w:type="dxa"/>
            <w:shd w:val="clear" w:color="auto" w:fill="2C384A"/>
          </w:tcPr>
          <w:p w14:paraId="0971F57D"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752EA151" w14:textId="7E2C1931" w:rsidR="000E0490" w:rsidRPr="00EA0A6E" w:rsidRDefault="000E0490" w:rsidP="009C7523">
      <w:pPr>
        <w:pStyle w:val="OutlineNumbered1"/>
        <w:spacing w:before="120"/>
        <w:ind w:left="567" w:hanging="567"/>
      </w:pPr>
      <w:r w:rsidRPr="00EA0A6E">
        <w:t>Report the 80th and 95th percentile values for payment time</w:t>
      </w:r>
      <w:r w:rsidR="007F2548">
        <w:t xml:space="preserve"> using the SBTCP Dataset</w:t>
      </w:r>
      <w:r w:rsidRPr="00EA0A6E">
        <w:t>.</w:t>
      </w:r>
    </w:p>
    <w:p w14:paraId="215DCFDA" w14:textId="6864BE01" w:rsidR="007D3870" w:rsidRPr="00EA0A6E" w:rsidRDefault="007D3870" w:rsidP="009C7523">
      <w:pPr>
        <w:pStyle w:val="OutlineNumbered1"/>
        <w:spacing w:before="120"/>
        <w:ind w:left="567" w:hanging="567"/>
      </w:pPr>
      <w:r w:rsidRPr="00EA0A6E">
        <w:t>This is the number of days it t</w:t>
      </w:r>
      <w:r w:rsidR="002A5CCE">
        <w:t>ook</w:t>
      </w:r>
      <w:r w:rsidRPr="00EA0A6E">
        <w:t xml:space="preserve"> to make </w:t>
      </w:r>
      <w:r>
        <w:t xml:space="preserve">80% and </w:t>
      </w:r>
      <w:r w:rsidRPr="00EA0A6E">
        <w:t xml:space="preserve">95% of </w:t>
      </w:r>
      <w:r w:rsidR="007514AE">
        <w:t>the</w:t>
      </w:r>
      <w:r w:rsidRPr="00EA0A6E">
        <w:t xml:space="preserve"> payments to small business suppliers</w:t>
      </w:r>
      <w:r w:rsidR="007514AE">
        <w:t xml:space="preserve"> in the SBTCP Dataset</w:t>
      </w:r>
      <w:r w:rsidRPr="00EA0A6E">
        <w:t>.</w:t>
      </w:r>
    </w:p>
    <w:p w14:paraId="18EFA3A1" w14:textId="77777777" w:rsidR="000E0490" w:rsidRDefault="000E0490" w:rsidP="00CA5112">
      <w:pPr>
        <w:pStyle w:val="OutlineNumbered1"/>
        <w:ind w:left="567" w:hanging="567"/>
      </w:pPr>
      <w:r w:rsidRPr="003342A1">
        <w:lastRenderedPageBreak/>
        <w:t xml:space="preserve">Entities can calculate the </w:t>
      </w:r>
      <w:r>
        <w:t>average</w:t>
      </w:r>
      <w:r w:rsidRPr="003342A1">
        <w:t xml:space="preserve"> using Python’s</w:t>
      </w:r>
      <w:r>
        <w:t xml:space="preserve"> numpy.percentile</w:t>
      </w:r>
      <w:r w:rsidRPr="003342A1">
        <w:t xml:space="preserve">(), R’s </w:t>
      </w:r>
      <w:r>
        <w:t>quantile</w:t>
      </w:r>
      <w:r w:rsidRPr="003342A1">
        <w:t xml:space="preserve">(), or Excel’s </w:t>
      </w:r>
      <w:r>
        <w:t>PERCENTILE.INC</w:t>
      </w:r>
      <w:r w:rsidRPr="003342A1">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2A27EE" w14:paraId="7B09B535" w14:textId="77777777">
        <w:tc>
          <w:tcPr>
            <w:tcW w:w="5000" w:type="pct"/>
            <w:shd w:val="clear" w:color="auto" w:fill="EBF1F7"/>
          </w:tcPr>
          <w:p w14:paraId="73E333CE" w14:textId="73CBB387" w:rsidR="002A27EE" w:rsidRPr="000553FE" w:rsidRDefault="002A27EE">
            <w:pPr>
              <w:pStyle w:val="BoxHeading"/>
              <w:rPr>
                <w:b w:val="0"/>
              </w:rPr>
            </w:pPr>
            <w:r>
              <w:t>Example</w:t>
            </w:r>
            <w:r w:rsidR="00031282">
              <w:t xml:space="preserve"> 42</w:t>
            </w:r>
          </w:p>
          <w:p w14:paraId="6E475028" w14:textId="33D4934C" w:rsidR="002A27EE" w:rsidRPr="00247BAC" w:rsidRDefault="002A27EE">
            <w:pPr>
              <w:pStyle w:val="BoxHeading2-Blue"/>
            </w:pPr>
            <w:r>
              <w:rPr>
                <w:rStyle w:val="Strong"/>
              </w:rPr>
              <w:t>80th and 95</w:t>
            </w:r>
            <w:r w:rsidRPr="007D5745">
              <w:rPr>
                <w:rStyle w:val="Strong"/>
                <w:vertAlign w:val="superscript"/>
              </w:rPr>
              <w:t>th</w:t>
            </w:r>
            <w:r>
              <w:rPr>
                <w:rStyle w:val="Strong"/>
              </w:rPr>
              <w:t xml:space="preserve"> </w:t>
            </w:r>
            <w:r w:rsidR="00F53CD1">
              <w:rPr>
                <w:rStyle w:val="Strong"/>
              </w:rPr>
              <w:t>percentile payment times</w:t>
            </w:r>
            <w:r>
              <w:rPr>
                <w:rStyle w:val="Strong"/>
              </w:rPr>
              <w:t xml:space="preserve"> </w:t>
            </w:r>
          </w:p>
          <w:p w14:paraId="2D845C76" w14:textId="4E790C92" w:rsidR="00492342" w:rsidRDefault="00F53CD1">
            <w:pPr>
              <w:pStyle w:val="BoxText"/>
            </w:pPr>
            <w:r>
              <w:t>A</w:t>
            </w:r>
            <w:r w:rsidR="00CB2B6E">
              <w:t>n</w:t>
            </w:r>
            <w:r>
              <w:t xml:space="preserve"> entity </w:t>
            </w:r>
            <w:r w:rsidR="008278D3">
              <w:t>receive</w:t>
            </w:r>
            <w:r w:rsidR="00CA490B">
              <w:t>d</w:t>
            </w:r>
            <w:r>
              <w:t xml:space="preserve"> 10</w:t>
            </w:r>
            <w:r w:rsidR="00A50011">
              <w:t>0</w:t>
            </w:r>
            <w:r>
              <w:t xml:space="preserve"> invoices</w:t>
            </w:r>
            <w:r w:rsidR="004527A0">
              <w:t xml:space="preserve"> from </w:t>
            </w:r>
            <w:r w:rsidR="00B15BAD">
              <w:t>small business suppliers</w:t>
            </w:r>
            <w:r>
              <w:t xml:space="preserve"> during </w:t>
            </w:r>
            <w:r w:rsidR="00B15BAD">
              <w:t xml:space="preserve">a reporting period. The </w:t>
            </w:r>
            <w:r w:rsidR="003B038F">
              <w:t>number of days</w:t>
            </w:r>
            <w:r w:rsidR="00BB76FB">
              <w:t xml:space="preserve"> it took for the entity to </w:t>
            </w:r>
            <w:r w:rsidR="002E29D1">
              <w:t xml:space="preserve">pay </w:t>
            </w:r>
            <w:r w:rsidR="00C819A0">
              <w:t>each</w:t>
            </w:r>
            <w:r w:rsidR="00140AF3">
              <w:t xml:space="preserve"> </w:t>
            </w:r>
            <w:r w:rsidR="00492342">
              <w:t xml:space="preserve">of </w:t>
            </w:r>
            <w:r w:rsidR="00140AF3">
              <w:t>the invoices</w:t>
            </w:r>
            <w:r w:rsidR="00492342">
              <w:t xml:space="preserve"> </w:t>
            </w:r>
            <w:r w:rsidR="008A0A8D">
              <w:t>(i.e. payment time)</w:t>
            </w:r>
            <w:r w:rsidR="00492342">
              <w:t xml:space="preserve"> was </w:t>
            </w:r>
            <w:r w:rsidR="00A50011">
              <w:t xml:space="preserve">ordered </w:t>
            </w:r>
            <w:r w:rsidR="006F51CC">
              <w:t xml:space="preserve">lowest to highest </w:t>
            </w:r>
            <w:r w:rsidR="00492342">
              <w:t>as follows:</w:t>
            </w:r>
          </w:p>
          <w:p w14:paraId="4B5A26D7" w14:textId="3DA0245C" w:rsidR="008A0A8D" w:rsidRDefault="00492342" w:rsidP="007D5745">
            <w:pPr>
              <w:pStyle w:val="BoxText"/>
              <w:numPr>
                <w:ilvl w:val="0"/>
                <w:numId w:val="56"/>
              </w:numPr>
              <w:spacing w:before="0" w:after="0"/>
              <w:ind w:left="714" w:hanging="357"/>
            </w:pPr>
            <w:r>
              <w:t>Invoice</w:t>
            </w:r>
            <w:r w:rsidR="009F0D8D">
              <w:t>s</w:t>
            </w:r>
            <w:r>
              <w:t xml:space="preserve"> 1</w:t>
            </w:r>
            <w:r w:rsidR="009F0D8D">
              <w:t>-5</w:t>
            </w:r>
            <w:r w:rsidR="001D304A">
              <w:t>0</w:t>
            </w:r>
            <w:r w:rsidR="009F0D8D">
              <w:t xml:space="preserve">: </w:t>
            </w:r>
            <w:r w:rsidR="008A0A8D">
              <w:t>10</w:t>
            </w:r>
            <w:r w:rsidR="009F0D8D">
              <w:t xml:space="preserve"> days</w:t>
            </w:r>
          </w:p>
          <w:p w14:paraId="40DB0525" w14:textId="14E41FCC" w:rsidR="002A27EE" w:rsidRPr="00EA1AFD" w:rsidRDefault="008A0A8D" w:rsidP="007D5745">
            <w:pPr>
              <w:pStyle w:val="BoxText"/>
              <w:numPr>
                <w:ilvl w:val="0"/>
                <w:numId w:val="56"/>
              </w:numPr>
              <w:spacing w:before="0" w:after="0"/>
              <w:ind w:left="714" w:hanging="357"/>
            </w:pPr>
            <w:r>
              <w:t>Invoice</w:t>
            </w:r>
            <w:r w:rsidR="0073514E">
              <w:t>s</w:t>
            </w:r>
            <w:r>
              <w:t xml:space="preserve"> </w:t>
            </w:r>
            <w:r w:rsidR="001D304A">
              <w:t>51-</w:t>
            </w:r>
            <w:r w:rsidR="0073514E">
              <w:t>79</w:t>
            </w:r>
            <w:r>
              <w:t>: 15</w:t>
            </w:r>
            <w:r w:rsidR="009F0D8D">
              <w:t xml:space="preserve"> days</w:t>
            </w:r>
            <w:r w:rsidR="00BB76FB">
              <w:t xml:space="preserve"> </w:t>
            </w:r>
          </w:p>
          <w:p w14:paraId="3254ED50" w14:textId="0EA49806" w:rsidR="008A0A8D" w:rsidRPr="00EA1AFD" w:rsidRDefault="008A0A8D" w:rsidP="007D5745">
            <w:pPr>
              <w:pStyle w:val="BoxText"/>
              <w:numPr>
                <w:ilvl w:val="0"/>
                <w:numId w:val="56"/>
              </w:numPr>
              <w:spacing w:before="0" w:after="0"/>
              <w:ind w:left="714" w:hanging="357"/>
            </w:pPr>
            <w:r>
              <w:t xml:space="preserve">Invoice </w:t>
            </w:r>
            <w:r w:rsidR="0073514E">
              <w:t>80</w:t>
            </w:r>
            <w:r>
              <w:t xml:space="preserve">: </w:t>
            </w:r>
            <w:r w:rsidR="00FA0E48">
              <w:t>20 days</w:t>
            </w:r>
          </w:p>
          <w:p w14:paraId="1680D0B9" w14:textId="5B68D986" w:rsidR="00FA0E48" w:rsidRDefault="00FA0E48" w:rsidP="007D5745">
            <w:pPr>
              <w:pStyle w:val="BoxText"/>
              <w:numPr>
                <w:ilvl w:val="0"/>
                <w:numId w:val="56"/>
              </w:numPr>
              <w:spacing w:before="0" w:after="0"/>
              <w:ind w:left="714" w:hanging="357"/>
            </w:pPr>
            <w:r>
              <w:t>Invoice</w:t>
            </w:r>
            <w:r w:rsidR="0073514E">
              <w:t>s</w:t>
            </w:r>
            <w:r>
              <w:t xml:space="preserve"> 8</w:t>
            </w:r>
            <w:r w:rsidR="0073514E">
              <w:t>1-</w:t>
            </w:r>
            <w:r w:rsidR="001D799B">
              <w:t>9</w:t>
            </w:r>
            <w:r w:rsidR="00011BF5">
              <w:t>1</w:t>
            </w:r>
            <w:r>
              <w:t>: 21 days</w:t>
            </w:r>
          </w:p>
          <w:p w14:paraId="6966C07F" w14:textId="606DBE1F" w:rsidR="00FA0E48" w:rsidRDefault="00FA0E48" w:rsidP="007D5745">
            <w:pPr>
              <w:pStyle w:val="BoxText"/>
              <w:numPr>
                <w:ilvl w:val="0"/>
                <w:numId w:val="56"/>
              </w:numPr>
              <w:spacing w:before="0" w:after="0"/>
              <w:ind w:left="714" w:hanging="357"/>
            </w:pPr>
            <w:r>
              <w:t>Invoice</w:t>
            </w:r>
            <w:r w:rsidR="00156A22">
              <w:t>s</w:t>
            </w:r>
            <w:r>
              <w:t xml:space="preserve"> 9</w:t>
            </w:r>
            <w:r w:rsidR="00011BF5">
              <w:t>2-97</w:t>
            </w:r>
            <w:r>
              <w:t>: 28 days</w:t>
            </w:r>
          </w:p>
          <w:p w14:paraId="21F115D9" w14:textId="0AC9792D" w:rsidR="00FA0E48" w:rsidRDefault="00FA0E48" w:rsidP="00FA0E48">
            <w:pPr>
              <w:pStyle w:val="BoxText"/>
              <w:numPr>
                <w:ilvl w:val="0"/>
                <w:numId w:val="56"/>
              </w:numPr>
              <w:spacing w:before="0" w:after="0"/>
              <w:ind w:left="714" w:hanging="357"/>
            </w:pPr>
            <w:r>
              <w:t>Invoice</w:t>
            </w:r>
            <w:r w:rsidR="0073514E">
              <w:t>s</w:t>
            </w:r>
            <w:r>
              <w:t xml:space="preserve"> </w:t>
            </w:r>
            <w:r w:rsidR="0073514E">
              <w:t>9</w:t>
            </w:r>
            <w:r w:rsidR="00011BF5">
              <w:t>8</w:t>
            </w:r>
            <w:r w:rsidR="0073514E">
              <w:t>-</w:t>
            </w:r>
            <w:r>
              <w:t>10</w:t>
            </w:r>
            <w:r w:rsidR="0073514E">
              <w:t>0</w:t>
            </w:r>
            <w:r>
              <w:t xml:space="preserve">: </w:t>
            </w:r>
            <w:r w:rsidR="0073514E">
              <w:t>32</w:t>
            </w:r>
            <w:r>
              <w:t xml:space="preserve"> days</w:t>
            </w:r>
          </w:p>
          <w:p w14:paraId="3E29A08C" w14:textId="77777777" w:rsidR="00364189" w:rsidRPr="00EA1AFD" w:rsidRDefault="00364189" w:rsidP="007D5745">
            <w:pPr>
              <w:pStyle w:val="BoxText"/>
              <w:spacing w:before="0" w:after="0"/>
              <w:ind w:left="714"/>
            </w:pPr>
          </w:p>
          <w:p w14:paraId="2D612499" w14:textId="5181BE95" w:rsidR="002A27EE" w:rsidRDefault="00364189" w:rsidP="002A27EE">
            <w:pPr>
              <w:pStyle w:val="BoxBullet"/>
              <w:ind w:left="284" w:hanging="284"/>
            </w:pPr>
            <w:r>
              <w:t>The</w:t>
            </w:r>
            <w:r w:rsidR="00106E05">
              <w:t xml:space="preserve"> </w:t>
            </w:r>
            <w:r w:rsidR="00CB2B6E">
              <w:t xml:space="preserve">entity’s </w:t>
            </w:r>
            <w:r w:rsidR="00106E05">
              <w:t>80</w:t>
            </w:r>
            <w:r w:rsidR="00106E05" w:rsidRPr="007D5745">
              <w:rPr>
                <w:vertAlign w:val="superscript"/>
              </w:rPr>
              <w:t>th</w:t>
            </w:r>
            <w:r w:rsidR="00106E05">
              <w:t xml:space="preserve"> </w:t>
            </w:r>
            <w:r w:rsidR="003B4755">
              <w:t>percentile payment time</w:t>
            </w:r>
            <w:r w:rsidR="00F415CD">
              <w:t xml:space="preserve"> </w:t>
            </w:r>
            <w:r w:rsidR="009B0D81">
              <w:t xml:space="preserve">is </w:t>
            </w:r>
            <w:r w:rsidR="00B82648">
              <w:t>2</w:t>
            </w:r>
            <w:r w:rsidR="001D799B">
              <w:t>0</w:t>
            </w:r>
            <w:r w:rsidR="00B82648">
              <w:t xml:space="preserve"> days (being the number of days</w:t>
            </w:r>
            <w:r w:rsidR="00B71035">
              <w:t xml:space="preserve"> it </w:t>
            </w:r>
            <w:r w:rsidR="00B61142">
              <w:t xml:space="preserve">took </w:t>
            </w:r>
            <w:r w:rsidR="002D291B">
              <w:t xml:space="preserve">to </w:t>
            </w:r>
            <w:r w:rsidR="00337175">
              <w:t>pay</w:t>
            </w:r>
            <w:r w:rsidR="00B61142">
              <w:t xml:space="preserve"> 80% of its</w:t>
            </w:r>
            <w:r w:rsidR="00337175">
              <w:t xml:space="preserve"> invoices</w:t>
            </w:r>
            <w:r w:rsidR="00F37218">
              <w:t xml:space="preserve"> </w:t>
            </w:r>
            <w:r w:rsidR="000140CA">
              <w:t>to small business supplie</w:t>
            </w:r>
            <w:r w:rsidR="006A1FAF">
              <w:t>r</w:t>
            </w:r>
            <w:r w:rsidR="000140CA">
              <w:t>s</w:t>
            </w:r>
            <w:r w:rsidR="00F053DD">
              <w:t>)</w:t>
            </w:r>
          </w:p>
          <w:p w14:paraId="02C5D85A" w14:textId="3AA628A3" w:rsidR="002A27EE" w:rsidRPr="008950C5" w:rsidRDefault="00F053DD" w:rsidP="007D5745">
            <w:pPr>
              <w:pStyle w:val="BoxBullet"/>
              <w:ind w:left="284" w:hanging="284"/>
            </w:pPr>
            <w:r>
              <w:t>The entity’s 95</w:t>
            </w:r>
            <w:r w:rsidRPr="000B3D68">
              <w:rPr>
                <w:vertAlign w:val="superscript"/>
              </w:rPr>
              <w:t>th</w:t>
            </w:r>
            <w:r>
              <w:t xml:space="preserve"> percentile payment time is 28 days (being the number of days it took </w:t>
            </w:r>
            <w:r w:rsidR="00DF3A74">
              <w:t>to</w:t>
            </w:r>
            <w:r>
              <w:t xml:space="preserve"> pay </w:t>
            </w:r>
            <w:r w:rsidR="00547ECC">
              <w:t>95</w:t>
            </w:r>
            <w:r>
              <w:t>% of its invoices to small business supplies)</w:t>
            </w:r>
          </w:p>
        </w:tc>
      </w:tr>
    </w:tbl>
    <w:p w14:paraId="6F33B462" w14:textId="77777777" w:rsidR="002A27EE" w:rsidRDefault="002A27EE" w:rsidP="00D827ED">
      <w:pPr>
        <w:pStyle w:val="OutlineNumbered1"/>
        <w:numPr>
          <w:ilvl w:val="0"/>
          <w:numId w:val="0"/>
        </w:numPr>
        <w:spacing w:after="0"/>
      </w:pPr>
    </w:p>
    <w:tbl>
      <w:tblPr>
        <w:tblStyle w:val="TableGrid"/>
        <w:tblpPr w:leftFromText="180" w:rightFromText="180" w:vertAnchor="text" w:horzAnchor="margin" w:tblpY="100"/>
        <w:tblW w:w="0" w:type="auto"/>
        <w:tblLook w:val="04A0" w:firstRow="1" w:lastRow="0" w:firstColumn="1" w:lastColumn="0" w:noHBand="0" w:noVBand="1"/>
      </w:tblPr>
      <w:tblGrid>
        <w:gridCol w:w="4547"/>
        <w:gridCol w:w="4525"/>
      </w:tblGrid>
      <w:tr w:rsidR="000E0490" w14:paraId="6B3F18BE" w14:textId="77777777">
        <w:tc>
          <w:tcPr>
            <w:tcW w:w="4873" w:type="dxa"/>
            <w:shd w:val="clear" w:color="auto" w:fill="2C384A"/>
          </w:tcPr>
          <w:p w14:paraId="3C650D10"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Percentage of small business payment within terms</w:t>
            </w:r>
          </w:p>
        </w:tc>
        <w:tc>
          <w:tcPr>
            <w:tcW w:w="4873" w:type="dxa"/>
            <w:shd w:val="clear" w:color="auto" w:fill="2C384A"/>
          </w:tcPr>
          <w:p w14:paraId="0BB2F3C9"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6EA53019" w14:textId="77777777" w:rsidR="000E0490" w:rsidRPr="00EA0A6E" w:rsidRDefault="000E0490" w:rsidP="009C7523">
      <w:pPr>
        <w:pStyle w:val="OutlineNumbered1"/>
        <w:spacing w:before="120"/>
        <w:ind w:left="567" w:hanging="567"/>
      </w:pPr>
      <w:r w:rsidRPr="00EA0A6E">
        <w:t>Report the proportion of payments made to small businesses where the payment time is less than or equal to the payment term using this formula:</w:t>
      </w:r>
    </w:p>
    <w:p w14:paraId="523331AE" w14:textId="347C5C98" w:rsidR="000E0490" w:rsidRDefault="00204773" w:rsidP="000E0490">
      <w:pPr>
        <w:spacing w:before="100" w:beforeAutospacing="1" w:after="100" w:afterAutospacing="1"/>
        <w:jc w:val="center"/>
        <w:rPr>
          <w:rFonts w:cstheme="minorHAnsi"/>
          <w:i/>
          <w:iCs/>
          <w:szCs w:val="22"/>
        </w:rPr>
      </w:pPr>
      <w:r>
        <w:rPr>
          <w:rFonts w:cstheme="minorHAnsi"/>
          <w:i/>
          <w:iCs/>
          <w:szCs w:val="22"/>
        </w:rPr>
        <w:t>(</w:t>
      </w:r>
      <w:r w:rsidR="00CC4176">
        <w:rPr>
          <w:rFonts w:cstheme="minorHAnsi"/>
          <w:i/>
          <w:iCs/>
          <w:szCs w:val="22"/>
        </w:rPr>
        <w:t>(</w:t>
      </w:r>
      <w:r w:rsidR="000E0490" w:rsidRPr="00EA0A6E">
        <w:rPr>
          <w:rFonts w:cstheme="minorHAnsi"/>
          <w:i/>
          <w:iCs/>
          <w:szCs w:val="22"/>
        </w:rPr>
        <w:t xml:space="preserve">Number of payments </w:t>
      </w:r>
      <w:r w:rsidR="009E0E44">
        <w:rPr>
          <w:rFonts w:cstheme="minorHAnsi"/>
          <w:i/>
          <w:iCs/>
          <w:szCs w:val="22"/>
        </w:rPr>
        <w:t>in SB</w:t>
      </w:r>
      <w:r w:rsidR="00604907">
        <w:rPr>
          <w:rFonts w:cstheme="minorHAnsi"/>
          <w:i/>
          <w:iCs/>
          <w:szCs w:val="22"/>
        </w:rPr>
        <w:t>TCP Dataset</w:t>
      </w:r>
      <w:r w:rsidR="000E0490" w:rsidRPr="00EA0A6E">
        <w:rPr>
          <w:rFonts w:cstheme="minorHAnsi"/>
          <w:i/>
          <w:iCs/>
          <w:szCs w:val="22"/>
        </w:rPr>
        <w:t xml:space="preserve"> where Payment Time ≤ Payment Term</w:t>
      </w:r>
      <w:r w:rsidR="00CC4176">
        <w:rPr>
          <w:rFonts w:cstheme="minorHAnsi"/>
          <w:i/>
          <w:iCs/>
          <w:szCs w:val="22"/>
        </w:rPr>
        <w:t>)</w:t>
      </w:r>
      <w:r w:rsidR="000E0490" w:rsidRPr="00EA0A6E">
        <w:rPr>
          <w:rFonts w:cstheme="minorHAnsi"/>
          <w:i/>
          <w:iCs/>
          <w:szCs w:val="22"/>
        </w:rPr>
        <w:t xml:space="preserve"> ÷ Number of payments</w:t>
      </w:r>
      <w:r w:rsidR="00604907">
        <w:rPr>
          <w:rFonts w:cstheme="minorHAnsi"/>
          <w:i/>
          <w:iCs/>
          <w:szCs w:val="22"/>
        </w:rPr>
        <w:t xml:space="preserve"> in SBTCP Dataset</w:t>
      </w:r>
      <w:r>
        <w:rPr>
          <w:rFonts w:cstheme="minorHAnsi"/>
          <w:i/>
          <w:iCs/>
          <w:szCs w:val="22"/>
        </w:rPr>
        <w:t>) x 100</w:t>
      </w:r>
    </w:p>
    <w:tbl>
      <w:tblPr>
        <w:tblStyle w:val="TableGrid"/>
        <w:tblW w:w="0" w:type="auto"/>
        <w:tblLook w:val="04A0" w:firstRow="1" w:lastRow="0" w:firstColumn="1" w:lastColumn="0" w:noHBand="0" w:noVBand="1"/>
      </w:tblPr>
      <w:tblGrid>
        <w:gridCol w:w="4547"/>
        <w:gridCol w:w="4525"/>
      </w:tblGrid>
      <w:tr w:rsidR="000E0490" w14:paraId="2B19A068" w14:textId="77777777">
        <w:tc>
          <w:tcPr>
            <w:tcW w:w="4873" w:type="dxa"/>
            <w:shd w:val="clear" w:color="auto" w:fill="2C384A"/>
          </w:tcPr>
          <w:p w14:paraId="1105D122"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Percentage of invoices paid within specified days</w:t>
            </w:r>
          </w:p>
        </w:tc>
        <w:tc>
          <w:tcPr>
            <w:tcW w:w="4873" w:type="dxa"/>
            <w:shd w:val="clear" w:color="auto" w:fill="2C384A"/>
          </w:tcPr>
          <w:p w14:paraId="2734AE90"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112B844F" w14:textId="76E79EF8" w:rsidR="000E0490" w:rsidRDefault="000E0490" w:rsidP="009C7523">
      <w:pPr>
        <w:pStyle w:val="OutlineNumbered1"/>
        <w:spacing w:before="120"/>
        <w:ind w:left="567" w:hanging="567"/>
        <w:rPr>
          <w:rFonts w:ascii="Times New Roman" w:hAnsi="Times New Roman"/>
          <w:b/>
          <w:bCs/>
          <w:sz w:val="27"/>
          <w:szCs w:val="27"/>
        </w:rPr>
      </w:pPr>
      <w:r w:rsidRPr="00EA0A6E">
        <w:t xml:space="preserve">Report the percentage of </w:t>
      </w:r>
      <w:r w:rsidR="00834102">
        <w:t xml:space="preserve">the number of </w:t>
      </w:r>
      <w:r w:rsidRPr="00EA0A6E">
        <w:t>invoices paid within 0-30 days, 31-60 days and over 60 days</w:t>
      </w:r>
      <w:r>
        <w:t xml:space="preserve">. </w:t>
      </w:r>
      <w:r w:rsidRPr="00EA0A6E">
        <w:t>Ensure that the sum of all three percentages equals 1</w:t>
      </w:r>
      <w:r w:rsidR="00D00B32">
        <w:t>00%</w:t>
      </w:r>
      <w:r w:rsidRPr="00EA0A6E">
        <w:t xml:space="preserve"> (with allowance of a 2</w:t>
      </w:r>
      <w:r w:rsidR="00CF7F78">
        <w:t>%</w:t>
      </w:r>
      <w:r w:rsidR="005026A4">
        <w:t> </w:t>
      </w:r>
      <w:r w:rsidRPr="00EA0A6E">
        <w:t>margin for rounding).</w:t>
      </w:r>
    </w:p>
    <w:p w14:paraId="4D7F8BF6" w14:textId="3609B51E" w:rsidR="000E0490" w:rsidRDefault="000E0490" w:rsidP="000E0490">
      <w:pPr>
        <w:pStyle w:val="Heading3"/>
      </w:pPr>
      <w:bookmarkStart w:id="132" w:name="_Toc180688155"/>
      <w:bookmarkStart w:id="133" w:name="_Toc184822235"/>
      <w:r w:rsidRPr="00944B97">
        <w:t xml:space="preserve">Other </w:t>
      </w:r>
      <w:r w:rsidR="00441A3C">
        <w:t>P</w:t>
      </w:r>
      <w:r w:rsidRPr="00944B97">
        <w:t>ayment Practices</w:t>
      </w:r>
      <w:bookmarkEnd w:id="132"/>
      <w:bookmarkEnd w:id="133"/>
    </w:p>
    <w:tbl>
      <w:tblPr>
        <w:tblStyle w:val="TableGrid"/>
        <w:tblpPr w:leftFromText="180" w:rightFromText="180" w:vertAnchor="text" w:tblpY="133"/>
        <w:tblW w:w="0" w:type="auto"/>
        <w:tblLook w:val="04A0" w:firstRow="1" w:lastRow="0" w:firstColumn="1" w:lastColumn="0" w:noHBand="0" w:noVBand="1"/>
      </w:tblPr>
      <w:tblGrid>
        <w:gridCol w:w="4554"/>
        <w:gridCol w:w="4518"/>
      </w:tblGrid>
      <w:tr w:rsidR="000E0490" w14:paraId="6E2E7FC9" w14:textId="77777777">
        <w:tc>
          <w:tcPr>
            <w:tcW w:w="4873" w:type="dxa"/>
            <w:shd w:val="clear" w:color="auto" w:fill="2C384A"/>
          </w:tcPr>
          <w:p w14:paraId="31293E3A"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Percentage of small business procurement</w:t>
            </w:r>
          </w:p>
        </w:tc>
        <w:tc>
          <w:tcPr>
            <w:tcW w:w="4873" w:type="dxa"/>
            <w:shd w:val="clear" w:color="auto" w:fill="2C384A"/>
          </w:tcPr>
          <w:p w14:paraId="1644F317"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08E93856" w14:textId="77777777" w:rsidR="000E0490" w:rsidRDefault="000E0490" w:rsidP="009C7523">
      <w:pPr>
        <w:pStyle w:val="OutlineNumbered1"/>
        <w:spacing w:before="120"/>
        <w:ind w:left="567" w:hanging="567"/>
      </w:pPr>
      <w:bookmarkStart w:id="134" w:name="_Ref184648556"/>
      <w:r w:rsidRPr="00EA0A6E">
        <w:t xml:space="preserve">Report the </w:t>
      </w:r>
      <w:bookmarkStart w:id="135" w:name="_Hlk183611697"/>
      <w:r w:rsidRPr="00EA0A6E">
        <w:t>percentage of total trade credit payments made to small businesses</w:t>
      </w:r>
      <w:bookmarkEnd w:id="135"/>
      <w:r>
        <w:t>. Use the formula:</w:t>
      </w:r>
      <w:bookmarkEnd w:id="134"/>
    </w:p>
    <w:p w14:paraId="7622E786" w14:textId="7DCD6336" w:rsidR="000E0490" w:rsidRDefault="00204773" w:rsidP="002C2AFE">
      <w:pPr>
        <w:spacing w:before="100" w:beforeAutospacing="1" w:after="100" w:afterAutospacing="1"/>
        <w:ind w:firstLine="567"/>
        <w:jc w:val="center"/>
        <w:rPr>
          <w:i/>
        </w:rPr>
      </w:pPr>
      <w:r>
        <w:rPr>
          <w:i/>
        </w:rPr>
        <w:t>(</w:t>
      </w:r>
      <w:r w:rsidR="00790A67" w:rsidRPr="007D5745">
        <w:rPr>
          <w:i/>
        </w:rPr>
        <w:t>(</w:t>
      </w:r>
      <w:r w:rsidR="000E0490" w:rsidRPr="006B7AF2">
        <w:rPr>
          <w:i/>
        </w:rPr>
        <w:t>Number of payments in the SBTCP Dataset</w:t>
      </w:r>
      <w:r w:rsidR="000E0490" w:rsidRPr="007D5745">
        <w:rPr>
          <w:i/>
        </w:rPr>
        <w:t xml:space="preserve"> </w:t>
      </w:r>
      <w:r w:rsidR="00790A67" w:rsidRPr="00066D3A">
        <w:rPr>
          <w:i/>
        </w:rPr>
        <w:t>+</w:t>
      </w:r>
      <w:r w:rsidR="00EE7C56" w:rsidRPr="00066D3A">
        <w:rPr>
          <w:i/>
        </w:rPr>
        <w:t xml:space="preserve"> </w:t>
      </w:r>
      <w:r w:rsidR="00C7345D" w:rsidRPr="008965EC">
        <w:rPr>
          <w:b/>
          <w:bCs/>
          <w:i/>
        </w:rPr>
        <w:fldChar w:fldCharType="begin"/>
      </w:r>
      <w:r w:rsidR="00C7345D" w:rsidRPr="008965EC">
        <w:rPr>
          <w:b/>
          <w:bCs/>
          <w:i/>
        </w:rPr>
        <w:instrText xml:space="preserve"> REF _Ref184648898 \h </w:instrText>
      </w:r>
      <w:r w:rsidR="00066D3A" w:rsidRPr="008965EC">
        <w:rPr>
          <w:b/>
          <w:bCs/>
          <w:i/>
        </w:rPr>
        <w:instrText xml:space="preserve"> \* MERGEFORMAT </w:instrText>
      </w:r>
      <w:r w:rsidR="00C7345D" w:rsidRPr="008965EC">
        <w:rPr>
          <w:b/>
          <w:bCs/>
          <w:i/>
        </w:rPr>
      </w:r>
      <w:r w:rsidR="00C7345D" w:rsidRPr="008965EC">
        <w:rPr>
          <w:b/>
          <w:bCs/>
          <w:i/>
        </w:rPr>
        <w:fldChar w:fldCharType="separate"/>
      </w:r>
      <w:r w:rsidR="00066D3A" w:rsidRPr="008965EC">
        <w:rPr>
          <w:b/>
          <w:bCs/>
          <w:i/>
          <w:color w:val="00827F" w:themeColor="accent2"/>
        </w:rPr>
        <w:t>number of partial payments to Australian small business suppliers</w:t>
      </w:r>
      <w:r w:rsidR="00C7345D" w:rsidRPr="008965EC">
        <w:rPr>
          <w:b/>
          <w:bCs/>
          <w:i/>
        </w:rPr>
        <w:fldChar w:fldCharType="end"/>
      </w:r>
      <w:r w:rsidR="0024701A" w:rsidRPr="00070399">
        <w:rPr>
          <w:i/>
          <w:color w:val="00827F" w:themeColor="accent2"/>
        </w:rPr>
        <w:fldChar w:fldCharType="begin"/>
      </w:r>
      <w:r w:rsidR="0024701A" w:rsidRPr="00070399">
        <w:rPr>
          <w:i/>
          <w:color w:val="00827F" w:themeColor="accent2"/>
        </w:rPr>
        <w:instrText xml:space="preserve"> REF _Ref184648898 \h </w:instrText>
      </w:r>
      <w:r w:rsidR="0024701A" w:rsidRPr="00070399">
        <w:rPr>
          <w:i/>
          <w:color w:val="00827F" w:themeColor="accent2"/>
        </w:rPr>
      </w:r>
      <w:r w:rsidR="005C74C4">
        <w:rPr>
          <w:i/>
          <w:color w:val="00827F" w:themeColor="accent2"/>
        </w:rPr>
        <w:fldChar w:fldCharType="separate"/>
      </w:r>
      <w:r w:rsidR="0024701A" w:rsidRPr="00070399">
        <w:rPr>
          <w:i/>
          <w:color w:val="00827F" w:themeColor="accent2"/>
        </w:rPr>
        <w:fldChar w:fldCharType="end"/>
      </w:r>
      <w:r w:rsidR="00346384" w:rsidRPr="007D5745">
        <w:rPr>
          <w:i/>
        </w:rPr>
        <w:t>)</w:t>
      </w:r>
      <w:r w:rsidR="000E0490" w:rsidRPr="006B7AF2">
        <w:rPr>
          <w:i/>
        </w:rPr>
        <w:t xml:space="preserve"> </w:t>
      </w:r>
      <w:r w:rsidR="000E0490" w:rsidRPr="006B7AF2">
        <w:rPr>
          <w:rFonts w:cstheme="minorHAnsi"/>
          <w:i/>
        </w:rPr>
        <w:t>÷</w:t>
      </w:r>
      <w:r w:rsidR="000E0490" w:rsidRPr="006B7AF2">
        <w:rPr>
          <w:i/>
        </w:rPr>
        <w:t xml:space="preserve"> Number of payments in the TCP Dataset</w:t>
      </w:r>
      <w:r>
        <w:rPr>
          <w:i/>
        </w:rPr>
        <w:t>) x</w:t>
      </w:r>
      <w:r w:rsidR="00CC08AE">
        <w:rPr>
          <w:i/>
        </w:rPr>
        <w:t xml:space="preserve"> 100</w:t>
      </w:r>
    </w:p>
    <w:p w14:paraId="1A27905F" w14:textId="77777777" w:rsidR="009C7523" w:rsidRDefault="009C7523" w:rsidP="002C2AFE">
      <w:pPr>
        <w:spacing w:before="100" w:beforeAutospacing="1" w:after="100" w:afterAutospacing="1"/>
        <w:ind w:firstLine="567"/>
        <w:jc w:val="center"/>
        <w:rPr>
          <w:i/>
          <w:iCs/>
        </w:rPr>
      </w:pPr>
    </w:p>
    <w:p w14:paraId="7B9868F6" w14:textId="77777777" w:rsidR="009C7523" w:rsidRDefault="009C7523" w:rsidP="002C2AFE">
      <w:pPr>
        <w:spacing w:before="100" w:beforeAutospacing="1" w:after="100" w:afterAutospacing="1"/>
        <w:ind w:firstLine="567"/>
        <w:jc w:val="center"/>
        <w:rPr>
          <w:i/>
          <w:iCs/>
        </w:rPr>
      </w:pPr>
    </w:p>
    <w:tbl>
      <w:tblPr>
        <w:tblStyle w:val="TableGrid"/>
        <w:tblpPr w:leftFromText="180" w:rightFromText="180" w:vertAnchor="text" w:horzAnchor="margin" w:tblpY="96"/>
        <w:tblW w:w="0" w:type="auto"/>
        <w:tblLook w:val="04A0" w:firstRow="1" w:lastRow="0" w:firstColumn="1" w:lastColumn="0" w:noHBand="0" w:noVBand="1"/>
      </w:tblPr>
      <w:tblGrid>
        <w:gridCol w:w="4893"/>
        <w:gridCol w:w="4179"/>
      </w:tblGrid>
      <w:tr w:rsidR="000E0490" w14:paraId="146B5179" w14:textId="77777777">
        <w:tc>
          <w:tcPr>
            <w:tcW w:w="5245" w:type="dxa"/>
            <w:shd w:val="clear" w:color="auto" w:fill="2C384A"/>
          </w:tcPr>
          <w:p w14:paraId="3418E6EF" w14:textId="77777777" w:rsidR="000E0490" w:rsidRPr="002D315B" w:rsidRDefault="000E0490" w:rsidP="009C7523">
            <w:pPr>
              <w:keepLines/>
              <w:spacing w:before="100" w:beforeAutospacing="1" w:after="100" w:afterAutospacing="1"/>
              <w:jc w:val="left"/>
              <w:rPr>
                <w:rFonts w:asciiTheme="minorHAnsi" w:hAnsiTheme="minorHAnsi" w:cstheme="minorHAnsi"/>
                <w:b/>
                <w:bCs/>
                <w:szCs w:val="22"/>
              </w:rPr>
            </w:pPr>
            <w:r>
              <w:rPr>
                <w:rFonts w:asciiTheme="minorHAnsi" w:hAnsiTheme="minorHAnsi" w:cstheme="minorHAnsi"/>
                <w:b/>
                <w:bCs/>
                <w:color w:val="FFFFFF" w:themeColor="background1"/>
                <w:szCs w:val="22"/>
              </w:rPr>
              <w:lastRenderedPageBreak/>
              <w:t xml:space="preserve">Percentage of Peppol-enabled small business procurement </w:t>
            </w:r>
          </w:p>
        </w:tc>
        <w:tc>
          <w:tcPr>
            <w:tcW w:w="4501" w:type="dxa"/>
            <w:shd w:val="clear" w:color="auto" w:fill="2C384A"/>
          </w:tcPr>
          <w:p w14:paraId="3A601DFD" w14:textId="77777777" w:rsidR="000E0490" w:rsidRPr="002D315B" w:rsidRDefault="000E0490" w:rsidP="009C7523">
            <w:pPr>
              <w:keepLines/>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Format: Number [0.00]</w:t>
            </w:r>
          </w:p>
        </w:tc>
      </w:tr>
    </w:tbl>
    <w:p w14:paraId="74214B45" w14:textId="1EF7CF9A" w:rsidR="000E0490" w:rsidRPr="00EA0A6E" w:rsidRDefault="000E0490" w:rsidP="009C7523">
      <w:pPr>
        <w:pStyle w:val="OutlineNumbered1"/>
        <w:keepLines/>
        <w:spacing w:before="120"/>
        <w:ind w:left="567" w:hanging="567"/>
      </w:pPr>
      <w:r w:rsidRPr="00EA0A6E">
        <w:t>Report the proportion of small business payments</w:t>
      </w:r>
      <w:r w:rsidR="00650C17">
        <w:t xml:space="preserve"> in the SBTCP Dataset</w:t>
      </w:r>
      <w:r w:rsidRPr="00EA0A6E">
        <w:t xml:space="preserve"> that used Peppol-enabled systems. Use the formula:</w:t>
      </w:r>
    </w:p>
    <w:p w14:paraId="3C519EBC" w14:textId="33A636D7" w:rsidR="000E0490" w:rsidRDefault="00CC08AE" w:rsidP="009C7523">
      <w:pPr>
        <w:keepNext/>
        <w:keepLines/>
        <w:spacing w:before="100" w:beforeAutospacing="1" w:after="100" w:afterAutospacing="1"/>
        <w:ind w:firstLine="567"/>
        <w:jc w:val="center"/>
        <w:rPr>
          <w:rFonts w:cstheme="minorHAnsi"/>
          <w:i/>
          <w:iCs/>
        </w:rPr>
      </w:pPr>
      <w:r>
        <w:rPr>
          <w:i/>
          <w:iCs/>
        </w:rPr>
        <w:t>(</w:t>
      </w:r>
      <w:r w:rsidR="000E0490" w:rsidRPr="00EA0A6E">
        <w:rPr>
          <w:i/>
          <w:iCs/>
        </w:rPr>
        <w:t>Number of payments</w:t>
      </w:r>
      <w:r w:rsidR="00650C17">
        <w:rPr>
          <w:i/>
          <w:iCs/>
        </w:rPr>
        <w:t xml:space="preserve"> in the SBTCP Dataset</w:t>
      </w:r>
      <w:r w:rsidR="000E0490" w:rsidRPr="00EA0A6E">
        <w:rPr>
          <w:i/>
          <w:iCs/>
        </w:rPr>
        <w:t xml:space="preserve"> that are Peppol capable payments </w:t>
      </w:r>
      <w:r w:rsidR="000E0490" w:rsidRPr="00EA0A6E">
        <w:rPr>
          <w:rFonts w:cstheme="minorHAnsi"/>
          <w:i/>
          <w:iCs/>
        </w:rPr>
        <w:t>÷ Number of payments in the SBTCP Dataset</w:t>
      </w:r>
      <w:r>
        <w:rPr>
          <w:rFonts w:cstheme="minorHAnsi"/>
          <w:i/>
          <w:iCs/>
        </w:rPr>
        <w:t>) x 100</w:t>
      </w:r>
    </w:p>
    <w:tbl>
      <w:tblPr>
        <w:tblStyle w:val="TableGrid"/>
        <w:tblpPr w:leftFromText="180" w:rightFromText="180" w:vertAnchor="text" w:horzAnchor="margin" w:tblpY="37"/>
        <w:tblW w:w="0" w:type="auto"/>
        <w:tblLook w:val="04A0" w:firstRow="1" w:lastRow="0" w:firstColumn="1" w:lastColumn="0" w:noHBand="0" w:noVBand="1"/>
      </w:tblPr>
      <w:tblGrid>
        <w:gridCol w:w="4530"/>
        <w:gridCol w:w="4542"/>
      </w:tblGrid>
      <w:tr w:rsidR="000E0490" w14:paraId="4CB979DC" w14:textId="77777777">
        <w:tc>
          <w:tcPr>
            <w:tcW w:w="4873" w:type="dxa"/>
            <w:shd w:val="clear" w:color="auto" w:fill="2C384A"/>
          </w:tcPr>
          <w:p w14:paraId="22437820"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Offers supply chain finance</w:t>
            </w:r>
          </w:p>
        </w:tc>
        <w:tc>
          <w:tcPr>
            <w:tcW w:w="4873" w:type="dxa"/>
            <w:shd w:val="clear" w:color="auto" w:fill="2C384A"/>
          </w:tcPr>
          <w:p w14:paraId="116437B3"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Selection [Yes/No]</w:t>
            </w:r>
          </w:p>
        </w:tc>
      </w:tr>
    </w:tbl>
    <w:p w14:paraId="0284D0BB" w14:textId="77777777" w:rsidR="000E0490" w:rsidRPr="00EA0A6E" w:rsidRDefault="000E0490" w:rsidP="009C7523">
      <w:pPr>
        <w:pStyle w:val="OutlineNumbered1"/>
        <w:spacing w:before="120"/>
        <w:ind w:left="567" w:hanging="567"/>
      </w:pPr>
      <w:r w:rsidRPr="00EA0A6E">
        <w:t>Report whether the reporting entity offers supply chain financing options to small business suppliers. Supply chain finance includes:</w:t>
      </w:r>
    </w:p>
    <w:p w14:paraId="3C484750" w14:textId="77777777" w:rsidR="000E0490" w:rsidRPr="00EA0A6E" w:rsidRDefault="000E0490" w:rsidP="009C7523">
      <w:pPr>
        <w:pStyle w:val="OutlineNumberedDot"/>
        <w:spacing w:before="120"/>
        <w:ind w:left="851" w:hanging="284"/>
      </w:pPr>
      <w:r w:rsidRPr="00EA0A6E">
        <w:t>settlement discounts (when a supplier offers a buyer a discount for early payment)</w:t>
      </w:r>
    </w:p>
    <w:p w14:paraId="3BE49671" w14:textId="77777777" w:rsidR="000E0490" w:rsidRPr="00EA0A6E" w:rsidRDefault="000E0490" w:rsidP="009C7523">
      <w:pPr>
        <w:pStyle w:val="OutlineNumberedDot"/>
        <w:spacing w:before="120"/>
        <w:ind w:left="851" w:hanging="284"/>
      </w:pPr>
      <w:r w:rsidRPr="00EA0A6E">
        <w:t>dynamic discounts (when a buyer offers early payment in exchange for a discount)</w:t>
      </w:r>
    </w:p>
    <w:p w14:paraId="4B6C3761" w14:textId="77777777" w:rsidR="000E0490" w:rsidRPr="00EA0A6E" w:rsidRDefault="000E0490" w:rsidP="009C7523">
      <w:pPr>
        <w:pStyle w:val="OutlineNumberedDot"/>
        <w:spacing w:before="120"/>
        <w:ind w:left="851" w:hanging="284"/>
      </w:pPr>
      <w:r w:rsidRPr="00EA0A6E">
        <w:t>reverse factoring (when a buyer offers early payment, funded by a third party, in exchange for a discount).</w:t>
      </w:r>
    </w:p>
    <w:p w14:paraId="11956546" w14:textId="61BFC5A8" w:rsidR="000E0490" w:rsidRDefault="000E0490" w:rsidP="001D7648">
      <w:pPr>
        <w:pStyle w:val="OutlineNumbered1"/>
        <w:spacing w:before="120" w:after="240"/>
        <w:ind w:left="567" w:hanging="567"/>
      </w:pPr>
      <w:r w:rsidRPr="00EA0A6E">
        <w:t xml:space="preserve">If ‘Yes’, provide details of </w:t>
      </w:r>
      <w:r>
        <w:t xml:space="preserve">supply chain financing options </w:t>
      </w:r>
      <w:r w:rsidRPr="00EA0A6E">
        <w:t>in the report comments.</w:t>
      </w:r>
      <w:r w:rsidR="009F7084">
        <w:t xml:space="preserve"> </w:t>
      </w:r>
      <w:r w:rsidR="003866A2">
        <w:t>No calculation is required.</w:t>
      </w:r>
    </w:p>
    <w:tbl>
      <w:tblPr>
        <w:tblStyle w:val="TableGrid"/>
        <w:tblpPr w:leftFromText="180" w:rightFromText="180" w:vertAnchor="text" w:horzAnchor="margin" w:tblpY="142"/>
        <w:tblW w:w="0" w:type="auto"/>
        <w:tblLook w:val="04A0" w:firstRow="1" w:lastRow="0" w:firstColumn="1" w:lastColumn="0" w:noHBand="0" w:noVBand="1"/>
      </w:tblPr>
      <w:tblGrid>
        <w:gridCol w:w="4554"/>
        <w:gridCol w:w="4518"/>
      </w:tblGrid>
      <w:tr w:rsidR="000E0490" w14:paraId="16B1C576" w14:textId="77777777">
        <w:tc>
          <w:tcPr>
            <w:tcW w:w="4873" w:type="dxa"/>
            <w:shd w:val="clear" w:color="auto" w:fill="2C384A"/>
          </w:tcPr>
          <w:p w14:paraId="2B5AEA86"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 xml:space="preserve">Practices and arrangements to accept invoices </w:t>
            </w:r>
          </w:p>
        </w:tc>
        <w:tc>
          <w:tcPr>
            <w:tcW w:w="4873" w:type="dxa"/>
            <w:shd w:val="clear" w:color="auto" w:fill="2C384A"/>
          </w:tcPr>
          <w:p w14:paraId="59E3E414"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Selection [Yes/No]</w:t>
            </w:r>
          </w:p>
        </w:tc>
      </w:tr>
    </w:tbl>
    <w:p w14:paraId="3CF0EC73" w14:textId="77777777" w:rsidR="000E0490" w:rsidRPr="00EA0A6E" w:rsidRDefault="000E0490" w:rsidP="00A40BDF">
      <w:pPr>
        <w:pStyle w:val="OutlineNumbered1"/>
        <w:spacing w:before="120"/>
        <w:ind w:left="567" w:hanging="567"/>
      </w:pPr>
      <w:r w:rsidRPr="00EA0A6E">
        <w:t>Report whether the reporting entity charges fees for small businesses to participate in procurement processes. This includes listing or subscription fees associated with e-procurement platforms and fees to stay on supplier lists.</w:t>
      </w:r>
    </w:p>
    <w:p w14:paraId="38058707" w14:textId="40785073" w:rsidR="000E0490" w:rsidRDefault="000E0490" w:rsidP="001D7648">
      <w:pPr>
        <w:pStyle w:val="OutlineNumbered1"/>
        <w:spacing w:before="120" w:after="240"/>
        <w:ind w:left="567" w:hanging="567"/>
      </w:pPr>
      <w:r w:rsidRPr="0011766B">
        <w:t>If ‘Yes’, provide details of any fees collected by the reporting entity or entities it controls in the report comments.</w:t>
      </w:r>
    </w:p>
    <w:tbl>
      <w:tblPr>
        <w:tblStyle w:val="TableGrid"/>
        <w:tblpPr w:leftFromText="180" w:rightFromText="180" w:vertAnchor="text" w:horzAnchor="margin" w:tblpY="100"/>
        <w:tblW w:w="0" w:type="auto"/>
        <w:tblLook w:val="04A0" w:firstRow="1" w:lastRow="0" w:firstColumn="1" w:lastColumn="0" w:noHBand="0" w:noVBand="1"/>
      </w:tblPr>
      <w:tblGrid>
        <w:gridCol w:w="5786"/>
        <w:gridCol w:w="3286"/>
      </w:tblGrid>
      <w:tr w:rsidR="000E0490" w14:paraId="77A44A60" w14:textId="77777777">
        <w:tc>
          <w:tcPr>
            <w:tcW w:w="6237" w:type="dxa"/>
            <w:shd w:val="clear" w:color="auto" w:fill="2C384A"/>
          </w:tcPr>
          <w:p w14:paraId="4719E9AB"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Payment practices to small businesses – legal or voluntary obligations</w:t>
            </w:r>
          </w:p>
        </w:tc>
        <w:tc>
          <w:tcPr>
            <w:tcW w:w="3509" w:type="dxa"/>
            <w:shd w:val="clear" w:color="auto" w:fill="2C384A"/>
          </w:tcPr>
          <w:p w14:paraId="48261299"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Selection [Yes/No]</w:t>
            </w:r>
          </w:p>
        </w:tc>
      </w:tr>
    </w:tbl>
    <w:p w14:paraId="74C63A0F" w14:textId="77777777" w:rsidR="000E0490" w:rsidRPr="00EA0A6E" w:rsidRDefault="000E0490" w:rsidP="001D7648">
      <w:pPr>
        <w:pStyle w:val="OutlineNumbered1"/>
        <w:spacing w:before="120"/>
        <w:ind w:left="567" w:hanging="567"/>
      </w:pPr>
      <w:r w:rsidRPr="00EA0A6E">
        <w:t>Report whether the reporting entity or its controlled entities have legal or voluntary obligations regarding payment times (e.g. industry codes or security of payment laws).</w:t>
      </w:r>
    </w:p>
    <w:p w14:paraId="73AE54F2" w14:textId="77777777" w:rsidR="000E0490" w:rsidRDefault="000E0490" w:rsidP="001D7648">
      <w:pPr>
        <w:pStyle w:val="OutlineNumbered1"/>
        <w:spacing w:before="120"/>
        <w:ind w:left="567" w:hanging="567"/>
      </w:pPr>
      <w:r w:rsidRPr="00647D8B">
        <w:t>If ‘Yes’, provide details of obligations in the report comments.</w:t>
      </w:r>
    </w:p>
    <w:p w14:paraId="6EDE79E5" w14:textId="77777777" w:rsidR="001D7648" w:rsidRDefault="001D7648" w:rsidP="001D7648">
      <w:pPr>
        <w:pStyle w:val="OutlineNumbered1"/>
        <w:numPr>
          <w:ilvl w:val="0"/>
          <w:numId w:val="0"/>
        </w:numPr>
        <w:spacing w:before="120"/>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B45F0" w14:paraId="4D88FD8A" w14:textId="77777777">
        <w:tc>
          <w:tcPr>
            <w:tcW w:w="5000" w:type="pct"/>
            <w:shd w:val="clear" w:color="auto" w:fill="EBF1F7"/>
          </w:tcPr>
          <w:p w14:paraId="58CB987B" w14:textId="3944567A" w:rsidR="00AB45F0" w:rsidRPr="000553FE" w:rsidRDefault="003D7D20" w:rsidP="009575BA">
            <w:pPr>
              <w:pStyle w:val="BoxHeading"/>
              <w:keepNext w:val="0"/>
              <w:rPr>
                <w:b w:val="0"/>
              </w:rPr>
            </w:pPr>
            <w:r>
              <w:t>Example</w:t>
            </w:r>
            <w:r w:rsidR="00031282">
              <w:t xml:space="preserve"> 43</w:t>
            </w:r>
          </w:p>
          <w:p w14:paraId="15A5809A" w14:textId="369D078E" w:rsidR="00AB45F0" w:rsidRPr="00247BAC" w:rsidRDefault="003D7D20" w:rsidP="009575BA">
            <w:pPr>
              <w:pStyle w:val="BoxHeading2-Blue"/>
            </w:pPr>
            <w:r>
              <w:rPr>
                <w:rStyle w:val="Strong"/>
              </w:rPr>
              <w:t>Industry code signatory</w:t>
            </w:r>
          </w:p>
          <w:p w14:paraId="70C36757" w14:textId="77777777" w:rsidR="003D7D20" w:rsidRDefault="003D7D20" w:rsidP="009575BA">
            <w:pPr>
              <w:pStyle w:val="BoxText"/>
            </w:pPr>
            <w:r w:rsidRPr="003D7D20">
              <w:t xml:space="preserve">A reporting entity is a member of an industry code that commits signatories to paying small businesses in 30 days. </w:t>
            </w:r>
          </w:p>
          <w:p w14:paraId="488FBE6B" w14:textId="37DA25EB" w:rsidR="00AB45F0" w:rsidRPr="008950C5" w:rsidRDefault="003D7D20" w:rsidP="009575BA">
            <w:pPr>
              <w:pStyle w:val="BoxBullet"/>
              <w:ind w:left="284" w:hanging="284"/>
            </w:pPr>
            <w:r w:rsidRPr="003D7D20">
              <w:t>The reporting entity must report ‘Yes’ and give details of the code it is a signatory of and the commitment of 30 days</w:t>
            </w:r>
          </w:p>
        </w:tc>
      </w:tr>
    </w:tbl>
    <w:p w14:paraId="0E721333" w14:textId="77777777" w:rsidR="009575BA" w:rsidRDefault="009575BA"/>
    <w:tbl>
      <w:tblPr>
        <w:tblpPr w:leftFromText="180" w:rightFromText="180" w:vertAnchor="text" w:horzAnchor="margin" w:tblpY="370"/>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827ED" w14:paraId="573BB7BB" w14:textId="77777777" w:rsidTr="00D827ED">
        <w:tc>
          <w:tcPr>
            <w:tcW w:w="5000" w:type="pct"/>
            <w:shd w:val="clear" w:color="auto" w:fill="EBF1F7"/>
          </w:tcPr>
          <w:p w14:paraId="7022C4F9" w14:textId="77777777" w:rsidR="00D827ED" w:rsidRPr="000553FE" w:rsidRDefault="00D827ED" w:rsidP="009575BA">
            <w:pPr>
              <w:pStyle w:val="BoxHeading"/>
              <w:keepLines/>
              <w:rPr>
                <w:b w:val="0"/>
              </w:rPr>
            </w:pPr>
            <w:r>
              <w:lastRenderedPageBreak/>
              <w:t>Example 44</w:t>
            </w:r>
          </w:p>
          <w:p w14:paraId="00EB89AF" w14:textId="77777777" w:rsidR="00D827ED" w:rsidRPr="00247BAC" w:rsidRDefault="00D827ED" w:rsidP="009575BA">
            <w:pPr>
              <w:pStyle w:val="BoxHeading2-Blue"/>
              <w:keepNext/>
              <w:keepLines/>
            </w:pPr>
            <w:r>
              <w:rPr>
                <w:rStyle w:val="Strong"/>
              </w:rPr>
              <w:t>Security of payment laws</w:t>
            </w:r>
          </w:p>
          <w:p w14:paraId="670DB08D" w14:textId="77777777" w:rsidR="00D827ED" w:rsidRDefault="00D827ED" w:rsidP="009575BA">
            <w:pPr>
              <w:pStyle w:val="BoxText"/>
              <w:keepNext/>
              <w:keepLines/>
            </w:pPr>
            <w:r>
              <w:t>A reporting entity operates a construction business in several Australian states. In each state the entity is subject to Security of payment laws that require them to make progress payments to contractors within a fixed number of days after receiving a claim for payment.</w:t>
            </w:r>
          </w:p>
          <w:p w14:paraId="133AF0FC" w14:textId="77777777" w:rsidR="00D827ED" w:rsidRPr="008950C5" w:rsidRDefault="00D827ED" w:rsidP="009575BA">
            <w:pPr>
              <w:pStyle w:val="BoxBullet"/>
              <w:keepNext/>
              <w:keepLines/>
              <w:ind w:left="284" w:hanging="284"/>
            </w:pPr>
            <w:r>
              <w:t>The reporting entity must report ‘Yes’ and give details of the security of payment laws it must comply with.</w:t>
            </w:r>
          </w:p>
        </w:tc>
      </w:tr>
    </w:tbl>
    <w:p w14:paraId="19535E35" w14:textId="77777777" w:rsidR="00AB45F0" w:rsidRDefault="00AB45F0" w:rsidP="00AB45F0">
      <w:pPr>
        <w:pStyle w:val="OutlineNumbered1"/>
        <w:numPr>
          <w:ilvl w:val="0"/>
          <w:numId w:val="0"/>
        </w:numPr>
      </w:pPr>
    </w:p>
    <w:p w14:paraId="3D4338F3" w14:textId="77777777" w:rsidR="000E0490" w:rsidRDefault="000E0490" w:rsidP="00D827ED">
      <w:pPr>
        <w:pStyle w:val="Heading3"/>
        <w:spacing w:before="480"/>
      </w:pPr>
      <w:bookmarkStart w:id="136" w:name="_Ref179827237"/>
      <w:bookmarkStart w:id="137" w:name="_Toc180688156"/>
      <w:bookmarkStart w:id="138" w:name="_Toc184822236"/>
      <w:r>
        <w:t>Contextual Information and Approvals</w:t>
      </w:r>
      <w:bookmarkEnd w:id="136"/>
      <w:bookmarkEnd w:id="137"/>
      <w:bookmarkEnd w:id="138"/>
    </w:p>
    <w:tbl>
      <w:tblPr>
        <w:tblStyle w:val="TableGrid"/>
        <w:tblpPr w:leftFromText="180" w:rightFromText="180" w:vertAnchor="text" w:horzAnchor="margin" w:tblpY="135"/>
        <w:tblW w:w="0" w:type="auto"/>
        <w:tblLook w:val="04A0" w:firstRow="1" w:lastRow="0" w:firstColumn="1" w:lastColumn="0" w:noHBand="0" w:noVBand="1"/>
      </w:tblPr>
      <w:tblGrid>
        <w:gridCol w:w="4545"/>
        <w:gridCol w:w="4527"/>
      </w:tblGrid>
      <w:tr w:rsidR="000E0490" w14:paraId="4160920B" w14:textId="77777777">
        <w:tc>
          <w:tcPr>
            <w:tcW w:w="4873" w:type="dxa"/>
            <w:shd w:val="clear" w:color="auto" w:fill="2C384A"/>
          </w:tcPr>
          <w:p w14:paraId="56ECA33C" w14:textId="1796CEEF"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Report comments</w:t>
            </w:r>
          </w:p>
        </w:tc>
        <w:tc>
          <w:tcPr>
            <w:tcW w:w="4873" w:type="dxa"/>
            <w:shd w:val="clear" w:color="auto" w:fill="2C384A"/>
          </w:tcPr>
          <w:p w14:paraId="4F3F1049"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Text</w:t>
            </w:r>
          </w:p>
        </w:tc>
      </w:tr>
    </w:tbl>
    <w:p w14:paraId="30CF7B73" w14:textId="706B6E11" w:rsidR="000E0490" w:rsidRPr="00EA0A6E" w:rsidRDefault="001A3522" w:rsidP="009575BA">
      <w:pPr>
        <w:pStyle w:val="OutlineNumbered1"/>
        <w:spacing w:before="120"/>
        <w:ind w:left="567" w:hanging="567"/>
      </w:pPr>
      <w:bookmarkStart w:id="139" w:name="_Toc179072380"/>
      <w:r>
        <w:t>If applicable, u</w:t>
      </w:r>
      <w:r w:rsidR="000E0490" w:rsidRPr="00EA0A6E">
        <w:t>se the comments section of the report to explain an</w:t>
      </w:r>
      <w:r w:rsidR="000E0490">
        <w:t>d</w:t>
      </w:r>
      <w:r w:rsidR="000E0490" w:rsidRPr="00EA0A6E">
        <w:t xml:space="preserve"> provide context for the reporting entity’s payment times and practices. </w:t>
      </w:r>
      <w:r w:rsidR="00A67245">
        <w:t xml:space="preserve">Entities </w:t>
      </w:r>
      <w:r w:rsidR="00A67245" w:rsidRPr="00F73013">
        <w:rPr>
          <w:u w:val="single"/>
        </w:rPr>
        <w:t>must</w:t>
      </w:r>
      <w:r w:rsidR="00A67245">
        <w:t xml:space="preserve"> provide </w:t>
      </w:r>
      <w:r w:rsidR="00A67245" w:rsidRPr="00104A8C">
        <w:rPr>
          <w:color w:val="000000"/>
          <w:szCs w:val="22"/>
        </w:rPr>
        <w:t>reasonable additional information relating to any of the following</w:t>
      </w:r>
      <w:r>
        <w:rPr>
          <w:color w:val="000000"/>
          <w:szCs w:val="22"/>
        </w:rPr>
        <w:t>:</w:t>
      </w:r>
    </w:p>
    <w:p w14:paraId="22BFC13F" w14:textId="2C03CC82" w:rsidR="000E0490" w:rsidRPr="00EA0A6E" w:rsidRDefault="000E0490" w:rsidP="009575BA">
      <w:pPr>
        <w:pStyle w:val="OutlineNumberedDot"/>
        <w:spacing w:before="120"/>
        <w:ind w:left="851" w:hanging="284"/>
      </w:pPr>
      <w:r w:rsidRPr="00EA0A6E">
        <w:t>Material events that affected payment times</w:t>
      </w:r>
      <w:r w:rsidR="006B37BC">
        <w:t xml:space="preserve"> and practices</w:t>
      </w:r>
      <w:r w:rsidRPr="00EA0A6E">
        <w:t>.</w:t>
      </w:r>
    </w:p>
    <w:p w14:paraId="316558E4" w14:textId="77777777" w:rsidR="000E0490" w:rsidRPr="00EA0A6E" w:rsidRDefault="000E0490" w:rsidP="009575BA">
      <w:pPr>
        <w:pStyle w:val="OutlineNumberedDot"/>
        <w:spacing w:before="120"/>
        <w:ind w:left="851" w:hanging="284"/>
      </w:pPr>
      <w:r w:rsidRPr="00EA0A6E">
        <w:t>Changes to financial reporting practices or methods.</w:t>
      </w:r>
    </w:p>
    <w:p w14:paraId="180FF5DA" w14:textId="77777777" w:rsidR="000E0490" w:rsidRPr="00EA0A6E" w:rsidRDefault="000E0490" w:rsidP="009575BA">
      <w:pPr>
        <w:pStyle w:val="OutlineNumberedDot"/>
        <w:spacing w:before="120"/>
        <w:ind w:left="851" w:hanging="284"/>
      </w:pPr>
      <w:r w:rsidRPr="00EA0A6E">
        <w:t>Identification of controlled entities for which payment data</w:t>
      </w:r>
      <w:r>
        <w:t xml:space="preserve"> was excluded</w:t>
      </w:r>
      <w:r w:rsidRPr="00EA0A6E">
        <w:t xml:space="preserve">, explaining why the information was </w:t>
      </w:r>
      <w:r>
        <w:t>not accessible</w:t>
      </w:r>
      <w:r w:rsidRPr="00EA0A6E">
        <w:t>.</w:t>
      </w:r>
      <w:r>
        <w:t xml:space="preserve"> </w:t>
      </w:r>
    </w:p>
    <w:p w14:paraId="44524ED7" w14:textId="6DF02FC3" w:rsidR="006B37BC" w:rsidRPr="00EA0A6E" w:rsidRDefault="006B37BC" w:rsidP="009575BA">
      <w:pPr>
        <w:pStyle w:val="OutlineNumberedDot"/>
        <w:spacing w:before="120"/>
        <w:ind w:left="851" w:hanging="284"/>
      </w:pPr>
      <w:r>
        <w:t>Any other details without which the report is likely to be misleading in a material respect.</w:t>
      </w:r>
    </w:p>
    <w:p w14:paraId="37576990" w14:textId="555F86EF" w:rsidR="000E0490" w:rsidRDefault="000E0490" w:rsidP="009575BA">
      <w:pPr>
        <w:pStyle w:val="OutlineNumbered1"/>
        <w:spacing w:before="120"/>
        <w:ind w:left="567" w:hanging="567"/>
      </w:pPr>
      <w:r w:rsidRPr="002D315B">
        <w:t xml:space="preserve">For information on </w:t>
      </w:r>
      <w:r>
        <w:t xml:space="preserve">excluding payments where data is not accessible, see </w:t>
      </w:r>
      <w:r w:rsidR="008965EC">
        <w:br/>
      </w:r>
      <w:r w:rsidRPr="008965EC">
        <w:rPr>
          <w:b/>
          <w:bCs/>
          <w:color w:val="00827F" w:themeColor="accent2"/>
        </w:rPr>
        <w:fldChar w:fldCharType="begin"/>
      </w:r>
      <w:r w:rsidRPr="008965EC">
        <w:rPr>
          <w:b/>
          <w:bCs/>
          <w:color w:val="00827F" w:themeColor="accent2"/>
        </w:rPr>
        <w:instrText xml:space="preserve"> REF _Ref179827150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Controlled Entity Data Not Accessible</w:t>
      </w:r>
      <w:r w:rsidRPr="008965EC">
        <w:rPr>
          <w:b/>
          <w:bCs/>
          <w:color w:val="00827F" w:themeColor="accent2"/>
        </w:rPr>
        <w:fldChar w:fldCharType="end"/>
      </w:r>
      <w:r w:rsidRPr="003C2458">
        <w:t>.</w:t>
      </w:r>
    </w:p>
    <w:p w14:paraId="2F798A16" w14:textId="77777777" w:rsidR="000E0490" w:rsidRDefault="000E0490" w:rsidP="009575BA">
      <w:pPr>
        <w:pStyle w:val="OutlineNumbered1"/>
        <w:spacing w:before="120" w:after="240"/>
        <w:ind w:left="567" w:hanging="567"/>
      </w:pPr>
      <w:r>
        <w:t xml:space="preserve">Comments </w:t>
      </w:r>
      <w:r w:rsidRPr="00EA0A6E">
        <w:t>should not include any personal or commercially sensitive information. If necessary, the Regulator may redact sensitive information from the published report.</w:t>
      </w:r>
    </w:p>
    <w:tbl>
      <w:tblPr>
        <w:tblStyle w:val="TableGrid"/>
        <w:tblpPr w:leftFromText="180" w:rightFromText="180" w:vertAnchor="text" w:horzAnchor="margin" w:tblpY="127"/>
        <w:tblW w:w="0" w:type="auto"/>
        <w:tblLook w:val="04A0" w:firstRow="1" w:lastRow="0" w:firstColumn="1" w:lastColumn="0" w:noHBand="0" w:noVBand="1"/>
      </w:tblPr>
      <w:tblGrid>
        <w:gridCol w:w="4551"/>
        <w:gridCol w:w="4521"/>
      </w:tblGrid>
      <w:tr w:rsidR="000E0490" w14:paraId="4C96AAD4" w14:textId="77777777">
        <w:tc>
          <w:tcPr>
            <w:tcW w:w="4873" w:type="dxa"/>
            <w:shd w:val="clear" w:color="auto" w:fill="2C384A"/>
          </w:tcPr>
          <w:p w14:paraId="64B3407C"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Confirmation statement</w:t>
            </w:r>
          </w:p>
        </w:tc>
        <w:tc>
          <w:tcPr>
            <w:tcW w:w="4873" w:type="dxa"/>
            <w:shd w:val="clear" w:color="auto" w:fill="2C384A"/>
          </w:tcPr>
          <w:p w14:paraId="4BBDD4B9"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Selection [Yes/No]</w:t>
            </w:r>
          </w:p>
        </w:tc>
      </w:tr>
    </w:tbl>
    <w:p w14:paraId="4B2456E4" w14:textId="77777777" w:rsidR="000E0490" w:rsidRPr="00EA0A6E" w:rsidRDefault="000E0490" w:rsidP="009575BA">
      <w:pPr>
        <w:pStyle w:val="OutlineNumbered1"/>
        <w:spacing w:before="120"/>
        <w:ind w:left="567" w:hanging="567"/>
      </w:pPr>
      <w:r w:rsidRPr="00EA0A6E">
        <w:t xml:space="preserve">Reporting entities must confirm that the entity information provided with a report is true and correct. </w:t>
      </w:r>
    </w:p>
    <w:p w14:paraId="4C26346E" w14:textId="77C00182" w:rsidR="000E0490" w:rsidRDefault="000E0490" w:rsidP="009575BA">
      <w:pPr>
        <w:pStyle w:val="OutlineNumbered1"/>
        <w:spacing w:before="120" w:after="240"/>
        <w:ind w:left="567" w:hanging="567"/>
      </w:pPr>
      <w:r w:rsidRPr="000C15CB">
        <w:t xml:space="preserve">For information on entity information requirements, </w:t>
      </w:r>
      <w:r w:rsidRPr="003C2458">
        <w:t xml:space="preserve">see </w:t>
      </w:r>
      <w:r w:rsidRPr="008965EC">
        <w:rPr>
          <w:b/>
          <w:bCs/>
          <w:color w:val="00827F" w:themeColor="accent2"/>
        </w:rPr>
        <w:fldChar w:fldCharType="begin"/>
      </w:r>
      <w:r w:rsidRPr="008965EC">
        <w:rPr>
          <w:b/>
          <w:bCs/>
          <w:color w:val="00827F" w:themeColor="accent2"/>
        </w:rPr>
        <w:instrText xml:space="preserve"> REF _Ref179827385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Entity information</w:t>
      </w:r>
      <w:r w:rsidRPr="008965EC">
        <w:rPr>
          <w:b/>
          <w:bCs/>
          <w:color w:val="00827F" w:themeColor="accent2"/>
        </w:rPr>
        <w:fldChar w:fldCharType="end"/>
      </w:r>
      <w:r w:rsidRPr="003C2458">
        <w:t>.</w:t>
      </w:r>
    </w:p>
    <w:tbl>
      <w:tblPr>
        <w:tblStyle w:val="TableGrid"/>
        <w:tblpPr w:leftFromText="180" w:rightFromText="180" w:vertAnchor="text" w:horzAnchor="margin" w:tblpY="168"/>
        <w:tblW w:w="0" w:type="auto"/>
        <w:tblLook w:val="04A0" w:firstRow="1" w:lastRow="0" w:firstColumn="1" w:lastColumn="0" w:noHBand="0" w:noVBand="1"/>
      </w:tblPr>
      <w:tblGrid>
        <w:gridCol w:w="4539"/>
        <w:gridCol w:w="4533"/>
      </w:tblGrid>
      <w:tr w:rsidR="000E0490" w14:paraId="3B4F9A7D" w14:textId="77777777">
        <w:tc>
          <w:tcPr>
            <w:tcW w:w="4873" w:type="dxa"/>
            <w:shd w:val="clear" w:color="auto" w:fill="2C384A"/>
          </w:tcPr>
          <w:p w14:paraId="70B6445D" w14:textId="77777777" w:rsidR="000E0490" w:rsidRPr="002D315B" w:rsidRDefault="000E0490">
            <w:pPr>
              <w:spacing w:before="100" w:beforeAutospacing="1" w:after="100" w:afterAutospacing="1"/>
              <w:rPr>
                <w:rFonts w:asciiTheme="minorHAnsi" w:hAnsiTheme="minorHAnsi" w:cstheme="minorHAnsi"/>
                <w:b/>
                <w:bCs/>
                <w:szCs w:val="22"/>
              </w:rPr>
            </w:pPr>
            <w:r>
              <w:rPr>
                <w:rFonts w:asciiTheme="minorHAnsi" w:hAnsiTheme="minorHAnsi" w:cstheme="minorHAnsi"/>
                <w:b/>
                <w:bCs/>
                <w:color w:val="FFFFFF" w:themeColor="background1"/>
                <w:szCs w:val="22"/>
              </w:rPr>
              <w:t>Report approval</w:t>
            </w:r>
          </w:p>
        </w:tc>
        <w:tc>
          <w:tcPr>
            <w:tcW w:w="4873" w:type="dxa"/>
            <w:shd w:val="clear" w:color="auto" w:fill="2C384A"/>
          </w:tcPr>
          <w:p w14:paraId="1B698CEA" w14:textId="77777777" w:rsidR="000E0490" w:rsidRPr="002D315B" w:rsidRDefault="000E0490">
            <w:pPr>
              <w:spacing w:before="100" w:beforeAutospacing="1" w:after="100" w:afterAutospacing="1"/>
              <w:jc w:val="right"/>
              <w:rPr>
                <w:rFonts w:asciiTheme="minorHAnsi" w:hAnsiTheme="minorHAnsi" w:cstheme="minorHAnsi"/>
                <w:b/>
                <w:bCs/>
                <w:szCs w:val="22"/>
              </w:rPr>
            </w:pPr>
            <w:r w:rsidRPr="002D315B">
              <w:rPr>
                <w:rFonts w:asciiTheme="minorHAnsi" w:hAnsiTheme="minorHAnsi" w:cstheme="minorHAnsi"/>
                <w:b/>
                <w:bCs/>
                <w:color w:val="FFFFFF" w:themeColor="background1"/>
                <w:szCs w:val="22"/>
              </w:rPr>
              <w:t xml:space="preserve">Format: </w:t>
            </w:r>
            <w:r>
              <w:rPr>
                <w:rFonts w:asciiTheme="minorHAnsi" w:hAnsiTheme="minorHAnsi" w:cstheme="minorHAnsi"/>
                <w:b/>
                <w:bCs/>
                <w:color w:val="FFFFFF" w:themeColor="background1"/>
                <w:szCs w:val="22"/>
              </w:rPr>
              <w:t>Text</w:t>
            </w:r>
          </w:p>
        </w:tc>
      </w:tr>
    </w:tbl>
    <w:p w14:paraId="77E69110" w14:textId="1BFF7760" w:rsidR="0013776C" w:rsidRDefault="000E0490" w:rsidP="006D1CF8">
      <w:pPr>
        <w:pStyle w:val="OutlineNumbered1"/>
        <w:spacing w:before="120"/>
        <w:ind w:left="567" w:hanging="567"/>
      </w:pPr>
      <w:r w:rsidRPr="00EA0A6E">
        <w:t>Report the name of the responsible member who approved the report. The approval must be in writing and provided before the report is submitted</w:t>
      </w:r>
      <w:r w:rsidR="00EA4B38">
        <w:t>.</w:t>
      </w:r>
      <w:r w:rsidRPr="00EA0A6E">
        <w:t xml:space="preserve"> </w:t>
      </w:r>
    </w:p>
    <w:p w14:paraId="21FD8257" w14:textId="61041328" w:rsidR="005633A5" w:rsidRDefault="0013776C" w:rsidP="006D1CF8">
      <w:pPr>
        <w:pStyle w:val="OutlineNumbered1"/>
        <w:spacing w:before="120"/>
        <w:ind w:left="567" w:hanging="567"/>
      </w:pPr>
      <w:r>
        <w:t xml:space="preserve">A responsible member </w:t>
      </w:r>
      <w:r w:rsidR="00011531">
        <w:t xml:space="preserve">approving the report </w:t>
      </w:r>
      <w:r w:rsidR="002A6302">
        <w:t xml:space="preserve">must have authority to give that approval and </w:t>
      </w:r>
      <w:r w:rsidR="00D86677">
        <w:t xml:space="preserve">must </w:t>
      </w:r>
      <w:r w:rsidR="002A6302">
        <w:t>be</w:t>
      </w:r>
      <w:r w:rsidR="00D86677">
        <w:t xml:space="preserve"> either</w:t>
      </w:r>
      <w:r w:rsidR="005633A5">
        <w:t>:</w:t>
      </w:r>
      <w:r w:rsidR="002A6302">
        <w:t xml:space="preserve"> </w:t>
      </w:r>
    </w:p>
    <w:p w14:paraId="0BD951F6" w14:textId="224B73E1" w:rsidR="005633A5" w:rsidRDefault="003B0126" w:rsidP="006D1CF8">
      <w:pPr>
        <w:pStyle w:val="OutlineNumberedDot"/>
        <w:spacing w:before="120"/>
        <w:ind w:left="851" w:hanging="284"/>
      </w:pPr>
      <w:r>
        <w:t>an individual member of that entity’s principal governing body</w:t>
      </w:r>
      <w:r w:rsidR="008A6484">
        <w:t>; or</w:t>
      </w:r>
      <w:r>
        <w:t xml:space="preserve"> </w:t>
      </w:r>
    </w:p>
    <w:p w14:paraId="654EE413" w14:textId="5914D652" w:rsidR="008A6484" w:rsidRDefault="003952BC" w:rsidP="006D1CF8">
      <w:pPr>
        <w:pStyle w:val="OutlineNumberedDot"/>
        <w:spacing w:before="120"/>
        <w:ind w:left="851" w:hanging="284"/>
      </w:pPr>
      <w:r>
        <w:t>if the entity is a trust</w:t>
      </w:r>
      <w:r w:rsidR="00212E9F">
        <w:t xml:space="preserve"> administered by a sole trustee</w:t>
      </w:r>
      <w:r>
        <w:t xml:space="preserve">, </w:t>
      </w:r>
      <w:r w:rsidR="00212E9F">
        <w:t>that</w:t>
      </w:r>
      <w:r w:rsidR="003B0126">
        <w:t xml:space="preserve"> trustee</w:t>
      </w:r>
      <w:r w:rsidR="008A6484">
        <w:t>; or</w:t>
      </w:r>
    </w:p>
    <w:p w14:paraId="04C9EFA5" w14:textId="0F6F0047" w:rsidR="008A6484" w:rsidRDefault="006A4F05" w:rsidP="006D1CF8">
      <w:pPr>
        <w:pStyle w:val="OutlineNumberedDot"/>
        <w:spacing w:before="120"/>
        <w:ind w:left="851" w:hanging="284"/>
      </w:pPr>
      <w:r>
        <w:t xml:space="preserve">if the entity is a corporation sole, </w:t>
      </w:r>
      <w:r w:rsidR="00D15A59">
        <w:t>an individual constituting the corporation</w:t>
      </w:r>
      <w:r w:rsidR="008A6484">
        <w:t>; or</w:t>
      </w:r>
    </w:p>
    <w:p w14:paraId="38E5E741" w14:textId="1C06259A" w:rsidR="008A6484" w:rsidRDefault="003952BC" w:rsidP="006D1CF8">
      <w:pPr>
        <w:pStyle w:val="OutlineNumberedDot"/>
        <w:spacing w:before="120"/>
        <w:ind w:left="851" w:hanging="284"/>
      </w:pPr>
      <w:r>
        <w:t xml:space="preserve">if an entity is under administration, </w:t>
      </w:r>
      <w:r w:rsidR="00D86677">
        <w:t xml:space="preserve">the </w:t>
      </w:r>
      <w:r w:rsidR="0072311D">
        <w:t>administrator</w:t>
      </w:r>
      <w:r w:rsidR="00DD0906">
        <w:t xml:space="preserve">; </w:t>
      </w:r>
      <w:r w:rsidR="0072311D">
        <w:t xml:space="preserve">or </w:t>
      </w:r>
    </w:p>
    <w:p w14:paraId="6487EE5D" w14:textId="0C3C8EAE" w:rsidR="003C6D36" w:rsidRPr="00EA0A6E" w:rsidRDefault="003952BC" w:rsidP="006D1CF8">
      <w:pPr>
        <w:pStyle w:val="OutlineNumberedDot"/>
        <w:spacing w:before="120"/>
        <w:ind w:left="851" w:hanging="284"/>
      </w:pPr>
      <w:r>
        <w:lastRenderedPageBreak/>
        <w:t xml:space="preserve">if the entity is of a kind prescribed by the rules, </w:t>
      </w:r>
      <w:r w:rsidR="00694492">
        <w:t>a prescribed member of the entity</w:t>
      </w:r>
      <w:r w:rsidR="005633A5">
        <w:t>.</w:t>
      </w:r>
      <w:r w:rsidR="00725C9D">
        <w:t xml:space="preserve"> </w:t>
      </w:r>
    </w:p>
    <w:p w14:paraId="635802FA" w14:textId="0A3A6023" w:rsidR="000E0490" w:rsidRDefault="000E0490" w:rsidP="006D1CF8">
      <w:pPr>
        <w:pStyle w:val="OutlineNumbered1"/>
        <w:spacing w:before="120" w:after="240"/>
        <w:ind w:left="567" w:hanging="567"/>
      </w:pPr>
      <w:r>
        <w:t>Reporting e</w:t>
      </w:r>
      <w:r w:rsidRPr="00EA0A6E">
        <w:t xml:space="preserve">ntities do not need to attach evidence of </w:t>
      </w:r>
      <w:r w:rsidR="00486569">
        <w:t>the</w:t>
      </w:r>
      <w:r w:rsidRPr="00EA0A6E">
        <w:t xml:space="preserve"> written or signed approval to the report</w:t>
      </w:r>
      <w:r w:rsidR="00486569">
        <w:t xml:space="preserve"> as it </w:t>
      </w:r>
      <w:r w:rsidR="00EA4B38" w:rsidRPr="00EA0A6E">
        <w:t xml:space="preserve">will not be published on the </w:t>
      </w:r>
      <w:hyperlink r:id="rId54">
        <w:r w:rsidR="00EA4B38" w:rsidRPr="10279036">
          <w:rPr>
            <w:rStyle w:val="Hyperlink"/>
          </w:rPr>
          <w:t>Register.</w:t>
        </w:r>
      </w:hyperlink>
      <w:r w:rsidRPr="00EA0A6E">
        <w:t xml:space="preserve"> However, the Regulator may review </w:t>
      </w:r>
      <w:r w:rsidR="00C60301">
        <w:t xml:space="preserve">the </w:t>
      </w:r>
      <w:r w:rsidRPr="00EA0A6E">
        <w:t>documented approval as part of compliance activities.</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B45F0" w14:paraId="2CF380A7" w14:textId="77777777">
        <w:tc>
          <w:tcPr>
            <w:tcW w:w="5000" w:type="pct"/>
            <w:shd w:val="clear" w:color="auto" w:fill="EBF1F7"/>
          </w:tcPr>
          <w:p w14:paraId="40B30544" w14:textId="09A3C828" w:rsidR="00AB45F0" w:rsidRPr="000553FE" w:rsidRDefault="003D7D20">
            <w:pPr>
              <w:pStyle w:val="BoxHeading"/>
              <w:rPr>
                <w:b w:val="0"/>
              </w:rPr>
            </w:pPr>
            <w:r>
              <w:t>Example</w:t>
            </w:r>
            <w:r w:rsidR="00031282">
              <w:t xml:space="preserve"> 45</w:t>
            </w:r>
          </w:p>
          <w:p w14:paraId="2EDDE223" w14:textId="189DE5CC" w:rsidR="00AB45F0" w:rsidRPr="00247BAC" w:rsidRDefault="003D7D20">
            <w:pPr>
              <w:pStyle w:val="BoxHeading2-Blue"/>
            </w:pPr>
            <w:r>
              <w:rPr>
                <w:rStyle w:val="Strong"/>
              </w:rPr>
              <w:t>Approval of a payment times report</w:t>
            </w:r>
          </w:p>
          <w:p w14:paraId="0F5D5288" w14:textId="77777777" w:rsidR="002C2AFE" w:rsidRDefault="003D7D20" w:rsidP="003D7D20">
            <w:pPr>
              <w:pStyle w:val="BoxText"/>
            </w:pPr>
            <w:r w:rsidRPr="003D7D20">
              <w:rPr>
                <w:u w:val="single"/>
              </w:rPr>
              <w:t>Scenario 1:</w:t>
            </w:r>
            <w:r>
              <w:t xml:space="preserve"> </w:t>
            </w:r>
          </w:p>
          <w:p w14:paraId="1099461D" w14:textId="15D45F6B" w:rsidR="003D7D20" w:rsidRDefault="003D7D20" w:rsidP="003D7D20">
            <w:pPr>
              <w:pStyle w:val="BoxText"/>
            </w:pPr>
            <w:r>
              <w:t xml:space="preserve">A payment times report is prepared and included in a board pack. The board approved the report which is recorded in the agreed minutes. </w:t>
            </w:r>
          </w:p>
          <w:p w14:paraId="3A4CD798" w14:textId="5C0C4A08" w:rsidR="003D7D20" w:rsidRDefault="003D7D20" w:rsidP="003D7D20">
            <w:pPr>
              <w:pStyle w:val="BoxBullet"/>
              <w:ind w:left="284" w:hanging="284"/>
            </w:pPr>
            <w:r>
              <w:t xml:space="preserve">The entity reports the name of </w:t>
            </w:r>
            <w:r w:rsidR="00510119">
              <w:t>all</w:t>
            </w:r>
            <w:r>
              <w:t xml:space="preserve"> board members </w:t>
            </w:r>
            <w:r w:rsidR="00510119">
              <w:t xml:space="preserve">who </w:t>
            </w:r>
            <w:r>
              <w:t>approved the report.</w:t>
            </w:r>
          </w:p>
          <w:p w14:paraId="7E3A0058" w14:textId="77777777" w:rsidR="002C2AFE" w:rsidRDefault="003D7D20" w:rsidP="003D7D20">
            <w:pPr>
              <w:pStyle w:val="BoxText"/>
            </w:pPr>
            <w:r w:rsidRPr="003D7D20">
              <w:rPr>
                <w:u w:val="single"/>
              </w:rPr>
              <w:t>Scenario 2:</w:t>
            </w:r>
            <w:r>
              <w:t xml:space="preserve"> </w:t>
            </w:r>
          </w:p>
          <w:p w14:paraId="7290EE4E" w14:textId="31896024" w:rsidR="003D7D20" w:rsidRDefault="003D7D20" w:rsidP="003D7D20">
            <w:pPr>
              <w:pStyle w:val="BoxText"/>
            </w:pPr>
            <w:r>
              <w:t xml:space="preserve">A Managing Director provides an email response approving a report. </w:t>
            </w:r>
          </w:p>
          <w:p w14:paraId="2DD3AF29" w14:textId="53DF5C20" w:rsidR="00AB45F0" w:rsidRPr="008950C5" w:rsidRDefault="003D7D20" w:rsidP="003D7D20">
            <w:pPr>
              <w:pStyle w:val="BoxBullet"/>
              <w:ind w:left="284" w:hanging="284"/>
            </w:pPr>
            <w:r>
              <w:t>The email is written approval and the reporting entity reports the Managing director as approving the report.</w:t>
            </w:r>
          </w:p>
        </w:tc>
      </w:tr>
    </w:tbl>
    <w:p w14:paraId="134E7BA0" w14:textId="77777777" w:rsidR="000E0490" w:rsidRDefault="000E0490" w:rsidP="000E0490">
      <w:pPr>
        <w:pStyle w:val="Heading3"/>
      </w:pPr>
      <w:bookmarkStart w:id="140" w:name="_Toc180688157"/>
      <w:bookmarkStart w:id="141" w:name="_Toc184822237"/>
      <w:r>
        <w:t>Additional reporting requirements</w:t>
      </w:r>
      <w:bookmarkEnd w:id="140"/>
      <w:bookmarkEnd w:id="141"/>
      <w:r>
        <w:t xml:space="preserve"> </w:t>
      </w:r>
    </w:p>
    <w:p w14:paraId="44E9655E" w14:textId="7053A4A8" w:rsidR="000E0490" w:rsidRPr="00EA0A6E" w:rsidRDefault="000E0490" w:rsidP="00AB45F0">
      <w:pPr>
        <w:pStyle w:val="OutlineNumbered1"/>
        <w:ind w:left="567" w:hanging="567"/>
      </w:pPr>
      <w:r w:rsidRPr="00EA0A6E">
        <w:t xml:space="preserve">Some entities need to provide more information. </w:t>
      </w:r>
      <w:hyperlink r:id="rId55" w:history="1">
        <w:r w:rsidR="00841C0D">
          <w:rPr>
            <w:rStyle w:val="Hyperlink"/>
          </w:rPr>
          <w:t>The</w:t>
        </w:r>
        <w:r w:rsidR="00841C0D" w:rsidRPr="004979D3">
          <w:rPr>
            <w:rStyle w:val="Hyperlink"/>
          </w:rPr>
          <w:t xml:space="preserve"> Portal</w:t>
        </w:r>
      </w:hyperlink>
      <w:r w:rsidRPr="00EA0A6E">
        <w:t xml:space="preserve"> helps identify what needs to be reported. By completing entity details, the system will guide </w:t>
      </w:r>
      <w:r>
        <w:t>reporters</w:t>
      </w:r>
      <w:r w:rsidRPr="00EA0A6E">
        <w:t xml:space="preserve"> through any extra requirements.</w:t>
      </w:r>
    </w:p>
    <w:p w14:paraId="48E2A27C" w14:textId="77777777" w:rsidR="000E0490" w:rsidRDefault="000E0490" w:rsidP="000E0490">
      <w:pPr>
        <w:pStyle w:val="Heading4"/>
      </w:pPr>
      <w:r>
        <w:t>Operating Segments</w:t>
      </w:r>
    </w:p>
    <w:p w14:paraId="398058FF" w14:textId="635CF4C2" w:rsidR="000E0490" w:rsidRPr="00EA0A6E" w:rsidRDefault="000E0490" w:rsidP="00AB45F0">
      <w:pPr>
        <w:pStyle w:val="OutlineNumbered1"/>
        <w:ind w:left="567" w:hanging="567"/>
      </w:pPr>
      <w:r w:rsidRPr="00EA0A6E">
        <w:t xml:space="preserve">If a reporting entity reports according to </w:t>
      </w:r>
      <w:r w:rsidRPr="00EA0A6E">
        <w:rPr>
          <w:i/>
        </w:rPr>
        <w:t>AASB 8: Operating Segments</w:t>
      </w:r>
      <w:r w:rsidRPr="00EA0A6E">
        <w:t xml:space="preserve"> or a similar foreign standard, it must provide the following payment details for each segment</w:t>
      </w:r>
      <w:r w:rsidR="000644D5">
        <w:t xml:space="preserve">, in addition </w:t>
      </w:r>
      <w:r w:rsidR="000A5714">
        <w:t>to the main reporting content for the consolidated group</w:t>
      </w:r>
      <w:r w:rsidRPr="00EA0A6E">
        <w:t>:</w:t>
      </w:r>
    </w:p>
    <w:p w14:paraId="0BE30256" w14:textId="1ECC895B" w:rsidR="000E0490" w:rsidRPr="00EA0A6E" w:rsidRDefault="000E0490" w:rsidP="00AB45F0">
      <w:pPr>
        <w:pStyle w:val="OutlineNumberedDot"/>
        <w:ind w:left="851" w:hanging="284"/>
      </w:pPr>
      <w:r w:rsidRPr="00EA0A6E">
        <w:t>Mode payment term</w:t>
      </w:r>
      <w:r w:rsidR="00205FA7">
        <w:t>;</w:t>
      </w:r>
    </w:p>
    <w:p w14:paraId="1EDD4C99" w14:textId="51FE0138" w:rsidR="000E0490" w:rsidRPr="00EA0A6E" w:rsidRDefault="000E0490" w:rsidP="00AB45F0">
      <w:pPr>
        <w:pStyle w:val="OutlineNumberedDot"/>
        <w:ind w:left="851" w:hanging="284"/>
      </w:pPr>
      <w:r w:rsidRPr="00EA0A6E">
        <w:t xml:space="preserve">Average payment </w:t>
      </w:r>
      <w:r w:rsidR="002A0080">
        <w:t>time</w:t>
      </w:r>
      <w:r w:rsidR="00205FA7">
        <w:t>;</w:t>
      </w:r>
    </w:p>
    <w:p w14:paraId="2AD05BA1" w14:textId="5E76B2AA" w:rsidR="000E0490" w:rsidRPr="00EA0A6E" w:rsidRDefault="000E0490" w:rsidP="00AB45F0">
      <w:pPr>
        <w:pStyle w:val="OutlineNumberedDot"/>
        <w:ind w:left="851" w:hanging="284"/>
      </w:pPr>
      <w:r w:rsidRPr="00EA0A6E">
        <w:t xml:space="preserve">Median payment </w:t>
      </w:r>
      <w:r w:rsidR="002A0080">
        <w:t>time</w:t>
      </w:r>
      <w:r w:rsidR="00205FA7">
        <w:t>;</w:t>
      </w:r>
    </w:p>
    <w:p w14:paraId="1658055C" w14:textId="782825CD" w:rsidR="000E0490" w:rsidRPr="00EA0A6E" w:rsidRDefault="000E0490" w:rsidP="00AB45F0">
      <w:pPr>
        <w:pStyle w:val="OutlineNumberedDot"/>
        <w:ind w:left="851" w:hanging="284"/>
      </w:pPr>
      <w:r w:rsidRPr="00EA0A6E">
        <w:t>80th and 95th percentile payment times</w:t>
      </w:r>
      <w:r w:rsidR="00205FA7">
        <w:t>;</w:t>
      </w:r>
    </w:p>
    <w:p w14:paraId="49D2540B" w14:textId="5AF1B8B4" w:rsidR="000E0490" w:rsidRPr="00EA0A6E" w:rsidRDefault="000E0490" w:rsidP="00AB45F0">
      <w:pPr>
        <w:pStyle w:val="OutlineNumberedDot"/>
        <w:ind w:left="851" w:hanging="284"/>
      </w:pPr>
      <w:r w:rsidRPr="00EA0A6E">
        <w:t>Proportion of payments within 30 days, 31–60 days and 61 or more days</w:t>
      </w:r>
      <w:r w:rsidR="00D86677">
        <w:t>; and</w:t>
      </w:r>
    </w:p>
    <w:p w14:paraId="24EEF7A0" w14:textId="77777777" w:rsidR="000E0490" w:rsidRPr="00EA0A6E" w:rsidRDefault="000E0490" w:rsidP="00AB45F0">
      <w:pPr>
        <w:pStyle w:val="OutlineNumberedDot"/>
        <w:ind w:left="851" w:hanging="284"/>
      </w:pPr>
      <w:r w:rsidRPr="00EA0A6E">
        <w:t>Payments made on time</w:t>
      </w:r>
      <w:r>
        <w:t>.</w:t>
      </w:r>
    </w:p>
    <w:p w14:paraId="273EEA8F" w14:textId="6FC994A2" w:rsidR="00BA3834" w:rsidRDefault="000E0490" w:rsidP="00AB45F0">
      <w:pPr>
        <w:pStyle w:val="OutlineNumbered1"/>
        <w:ind w:left="567" w:hanging="567"/>
      </w:pPr>
      <w:r w:rsidRPr="00EA0A6E">
        <w:t xml:space="preserve">These details are reported for each segment, </w:t>
      </w:r>
      <w:r w:rsidR="00EF7CF7">
        <w:t>within the same payment times report as the details reported for the consolidated group</w:t>
      </w:r>
      <w:r w:rsidRPr="00EA0A6E">
        <w:t>.</w:t>
      </w:r>
      <w:r w:rsidR="00744E2C">
        <w:t xml:space="preserve"> The report webform will enable the necessary data fields </w:t>
      </w:r>
      <w:r w:rsidR="00985D0E">
        <w:t>to be loaded up and displayed as required</w:t>
      </w:r>
      <w:r w:rsidR="00CF5D28">
        <w:t>. To report on operating segment p</w:t>
      </w:r>
      <w:r w:rsidR="007F6477">
        <w:t>ayment details,</w:t>
      </w:r>
      <w:r w:rsidRPr="00EA0A6E">
        <w:t xml:space="preserve"> </w:t>
      </w:r>
      <w:r w:rsidR="002B6337">
        <w:t xml:space="preserve">classify each payment in the SBTCP </w:t>
      </w:r>
      <w:r w:rsidR="007B1018">
        <w:t>D</w:t>
      </w:r>
      <w:r w:rsidR="000E22CB">
        <w:t>ataset</w:t>
      </w:r>
      <w:r w:rsidRPr="00EA0A6E">
        <w:t xml:space="preserve"> by segment. </w:t>
      </w:r>
    </w:p>
    <w:p w14:paraId="099E3FF8" w14:textId="2E58492F" w:rsidR="00A325E1" w:rsidRDefault="000E0490" w:rsidP="007D5745">
      <w:pPr>
        <w:pStyle w:val="OutlineNumbered1"/>
        <w:ind w:left="567" w:hanging="567"/>
      </w:pPr>
      <w:r w:rsidRPr="00EA0A6E">
        <w:t>Payments that can</w:t>
      </w:r>
      <w:r>
        <w:t>not</w:t>
      </w:r>
      <w:r w:rsidRPr="00EA0A6E">
        <w:t xml:space="preserve"> be classified</w:t>
      </w:r>
      <w:r w:rsidR="00C75678">
        <w:t xml:space="preserve"> </w:t>
      </w:r>
      <w:r w:rsidR="00F721AC">
        <w:t xml:space="preserve">by </w:t>
      </w:r>
      <w:r w:rsidR="00C75678">
        <w:t xml:space="preserve">segment (such as </w:t>
      </w:r>
      <w:r w:rsidR="00D42712">
        <w:t>corporate overhead transactions)</w:t>
      </w:r>
      <w:r w:rsidRPr="00EA0A6E">
        <w:t xml:space="preserve"> are excluded from segment reporting.</w:t>
      </w:r>
      <w:r w:rsidR="00A325E1">
        <w:t xml:space="preserve"> If a payment transaction is allocated across multiple segments f</w:t>
      </w:r>
      <w:r w:rsidR="00A325E1" w:rsidRPr="00D0688B">
        <w:t>or financial reporting</w:t>
      </w:r>
      <w:r w:rsidR="00A325E1">
        <w:t xml:space="preserve"> purposes,</w:t>
      </w:r>
      <w:r w:rsidR="00A325E1" w:rsidRPr="00D0688B">
        <w:t xml:space="preserve"> </w:t>
      </w:r>
      <w:r w:rsidR="00A325E1">
        <w:t xml:space="preserve">this </w:t>
      </w:r>
      <w:r w:rsidR="00A325E1" w:rsidRPr="00D0688B">
        <w:t xml:space="preserve">allocation cannot be applied to </w:t>
      </w:r>
      <w:r w:rsidR="00A325E1">
        <w:t>the</w:t>
      </w:r>
      <w:r w:rsidR="00A325E1" w:rsidRPr="00D0688B">
        <w:t xml:space="preserve"> payment</w:t>
      </w:r>
      <w:r w:rsidR="00A325E1">
        <w:t xml:space="preserve"> for the purposes of payment times reporting</w:t>
      </w:r>
      <w:r w:rsidR="00A325E1" w:rsidRPr="00D0688B">
        <w:t xml:space="preserve">. </w:t>
      </w:r>
      <w:r w:rsidR="00A325E1">
        <w:t>The payment should be allocated to the primary operating segment. If there</w:t>
      </w:r>
      <w:r w:rsidR="00A325E1" w:rsidRPr="00D0688B">
        <w:t xml:space="preserve"> is no primary segment</w:t>
      </w:r>
      <w:r w:rsidR="00A325E1">
        <w:t xml:space="preserve"> (</w:t>
      </w:r>
      <w:r w:rsidR="00840E81">
        <w:t>i.e.</w:t>
      </w:r>
      <w:r w:rsidR="00A325E1">
        <w:t>. 50/50 allocation across two segments</w:t>
      </w:r>
      <w:r w:rsidR="00734A32">
        <w:t xml:space="preserve"> </w:t>
      </w:r>
      <w:r w:rsidR="00B859D1">
        <w:lastRenderedPageBreak/>
        <w:t>in the financial report</w:t>
      </w:r>
      <w:r w:rsidR="00A325E1">
        <w:t>) the entity can</w:t>
      </w:r>
      <w:r w:rsidR="00A325E1" w:rsidRPr="00D0688B">
        <w:t xml:space="preserve"> elect a segment</w:t>
      </w:r>
      <w:r w:rsidR="00A325E1">
        <w:t xml:space="preserve"> for the purpose of </w:t>
      </w:r>
      <w:r w:rsidR="00B5609B">
        <w:t xml:space="preserve">payment times </w:t>
      </w:r>
      <w:r w:rsidR="00A325E1">
        <w:t>reporting</w:t>
      </w:r>
      <w:r w:rsidR="00A325E1" w:rsidRPr="00D0688B">
        <w:t xml:space="preserve"> and leave information about allocations in the comments of the report.</w:t>
      </w:r>
    </w:p>
    <w:p w14:paraId="726244BE" w14:textId="63FC213F" w:rsidR="00431DA7" w:rsidRDefault="00431DA7" w:rsidP="00D96ADD">
      <w:pPr>
        <w:pStyle w:val="OutlineNumbered1"/>
        <w:numPr>
          <w:ilvl w:val="0"/>
          <w:numId w:val="0"/>
        </w:numPr>
        <w:ind w:left="567"/>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B45F0" w14:paraId="57D14AA5" w14:textId="77777777">
        <w:tc>
          <w:tcPr>
            <w:tcW w:w="5000" w:type="pct"/>
            <w:shd w:val="clear" w:color="auto" w:fill="EBF1F7"/>
          </w:tcPr>
          <w:p w14:paraId="136E39D7" w14:textId="0230FCD9" w:rsidR="00AB45F0" w:rsidRPr="000553FE" w:rsidRDefault="00FD0131">
            <w:pPr>
              <w:pStyle w:val="BoxHeading"/>
              <w:rPr>
                <w:b w:val="0"/>
              </w:rPr>
            </w:pPr>
            <w:r>
              <w:t>Example</w:t>
            </w:r>
            <w:r w:rsidR="00031282">
              <w:t xml:space="preserve"> 46</w:t>
            </w:r>
          </w:p>
          <w:p w14:paraId="06AD981E" w14:textId="5FC3FCBB" w:rsidR="00AB45F0" w:rsidRPr="00247BAC" w:rsidRDefault="00FE47C2">
            <w:pPr>
              <w:pStyle w:val="BoxHeading2-Blue"/>
            </w:pPr>
            <w:r>
              <w:rPr>
                <w:rStyle w:val="Strong"/>
              </w:rPr>
              <w:t>Payment</w:t>
            </w:r>
            <w:r w:rsidR="00E4799A">
              <w:rPr>
                <w:rStyle w:val="Strong"/>
              </w:rPr>
              <w:t>s</w:t>
            </w:r>
            <w:r>
              <w:rPr>
                <w:rStyle w:val="Strong"/>
              </w:rPr>
              <w:t xml:space="preserve"> not attributable to an operating segment</w:t>
            </w:r>
            <w:r w:rsidR="00E4799A">
              <w:rPr>
                <w:rStyle w:val="Strong"/>
              </w:rPr>
              <w:t xml:space="preserve"> or allocated across multiple operating segments</w:t>
            </w:r>
          </w:p>
          <w:p w14:paraId="5F99DFA7" w14:textId="387B7F9A" w:rsidR="007919BC" w:rsidRDefault="00FE47C2" w:rsidP="00FE47C2">
            <w:pPr>
              <w:pStyle w:val="BoxText"/>
            </w:pPr>
            <w:r>
              <w:t>A reporting entity is ASX-listed and required to prepare financial reports that present operating segment information in accordance with AASB 8: Operating Segments.</w:t>
            </w:r>
            <w:r w:rsidR="00924F7F">
              <w:t xml:space="preserve"> </w:t>
            </w:r>
            <w:r w:rsidR="00723F10">
              <w:t>The entity has 2</w:t>
            </w:r>
            <w:r w:rsidR="00AA2CFD">
              <w:t> </w:t>
            </w:r>
            <w:r w:rsidR="00723F10">
              <w:t>operating segments based on</w:t>
            </w:r>
            <w:r w:rsidR="00BE2772">
              <w:t xml:space="preserve"> industry</w:t>
            </w:r>
            <w:r w:rsidR="00723F10">
              <w:t xml:space="preserve">: </w:t>
            </w:r>
            <w:r w:rsidR="00BE2772">
              <w:t xml:space="preserve">Retail </w:t>
            </w:r>
            <w:r w:rsidR="00285303">
              <w:t>and Manufacturing</w:t>
            </w:r>
            <w:r w:rsidR="00723F10">
              <w:t>.</w:t>
            </w:r>
            <w:r>
              <w:t xml:space="preserve"> </w:t>
            </w:r>
          </w:p>
          <w:p w14:paraId="4474CDB7" w14:textId="5E8A0411" w:rsidR="00C8264B" w:rsidRDefault="00D72337" w:rsidP="00FE47C2">
            <w:pPr>
              <w:pStyle w:val="BoxText"/>
            </w:pPr>
            <w:r>
              <w:t>For the purposes of financial reporting:</w:t>
            </w:r>
          </w:p>
          <w:p w14:paraId="03897B17" w14:textId="6E0647B3" w:rsidR="00F43DC8" w:rsidRDefault="006E6E5E" w:rsidP="00FE47C2">
            <w:pPr>
              <w:pStyle w:val="BoxText"/>
              <w:numPr>
                <w:ilvl w:val="0"/>
                <w:numId w:val="54"/>
              </w:numPr>
            </w:pPr>
            <w:r>
              <w:t xml:space="preserve">A </w:t>
            </w:r>
            <w:r w:rsidR="00D539DF">
              <w:t xml:space="preserve">$5,000 </w:t>
            </w:r>
            <w:r w:rsidR="00FE47C2">
              <w:t xml:space="preserve">payment by the holding parent entity </w:t>
            </w:r>
            <w:r w:rsidR="00A1264E">
              <w:t>wa</w:t>
            </w:r>
            <w:r w:rsidR="00D72337">
              <w:t>s</w:t>
            </w:r>
            <w:r w:rsidR="00C71366">
              <w:t xml:space="preserve"> not </w:t>
            </w:r>
            <w:r w:rsidR="008C4618">
              <w:t xml:space="preserve">allocated to any operating segment </w:t>
            </w:r>
          </w:p>
          <w:p w14:paraId="7C4738E7" w14:textId="5EA88115" w:rsidR="00352AC4" w:rsidRDefault="006E6E5E" w:rsidP="00FE47C2">
            <w:pPr>
              <w:pStyle w:val="BoxText"/>
              <w:numPr>
                <w:ilvl w:val="0"/>
                <w:numId w:val="54"/>
              </w:numPr>
            </w:pPr>
            <w:r>
              <w:t xml:space="preserve">A </w:t>
            </w:r>
            <w:r w:rsidR="00D539DF">
              <w:t xml:space="preserve">$100,000 </w:t>
            </w:r>
            <w:r w:rsidR="00BA1D54">
              <w:t>payment</w:t>
            </w:r>
            <w:r w:rsidR="00907DE4">
              <w:t xml:space="preserve"> by</w:t>
            </w:r>
            <w:r w:rsidR="00C65155">
              <w:t xml:space="preserve"> a controlled entity </w:t>
            </w:r>
            <w:r w:rsidR="00A1264E">
              <w:t>wa</w:t>
            </w:r>
            <w:r w:rsidR="00F43DC8">
              <w:t>s allocated</w:t>
            </w:r>
            <w:r w:rsidR="00CE7BE2">
              <w:t xml:space="preserve"> </w:t>
            </w:r>
            <w:r w:rsidR="00C612B9">
              <w:t xml:space="preserve">to the Retail </w:t>
            </w:r>
            <w:r w:rsidR="00352AC4">
              <w:t>segment</w:t>
            </w:r>
            <w:r w:rsidR="00C612B9">
              <w:t xml:space="preserve"> (70%) and </w:t>
            </w:r>
            <w:r w:rsidR="00352AC4">
              <w:t>Manufacturing segment (30%)</w:t>
            </w:r>
          </w:p>
          <w:p w14:paraId="45E9D393" w14:textId="47DCF592" w:rsidR="00FE47C2" w:rsidRDefault="006E6E5E" w:rsidP="007919BC">
            <w:pPr>
              <w:pStyle w:val="BoxText"/>
              <w:numPr>
                <w:ilvl w:val="0"/>
                <w:numId w:val="54"/>
              </w:numPr>
            </w:pPr>
            <w:r>
              <w:t xml:space="preserve">A </w:t>
            </w:r>
            <w:r w:rsidR="00D539DF">
              <w:t>$200,000</w:t>
            </w:r>
            <w:r w:rsidR="00352AC4">
              <w:t xml:space="preserve"> payment by a controlled entity </w:t>
            </w:r>
            <w:r w:rsidR="00A1264E">
              <w:t>wa</w:t>
            </w:r>
            <w:r w:rsidR="00352AC4">
              <w:t>s allocated to the Retail segment (50%) and Manufacturing segment (50%)</w:t>
            </w:r>
          </w:p>
          <w:p w14:paraId="71D37BB9" w14:textId="4C51DA8F" w:rsidR="004824F3" w:rsidRDefault="004824F3">
            <w:pPr>
              <w:pStyle w:val="BoxBullet"/>
              <w:ind w:left="284" w:hanging="284"/>
            </w:pPr>
            <w:r>
              <w:t>For the purposes of</w:t>
            </w:r>
            <w:r w:rsidR="00CC569D">
              <w:t xml:space="preserve"> </w:t>
            </w:r>
            <w:r w:rsidR="005255E7">
              <w:t xml:space="preserve">operating segment reporting on </w:t>
            </w:r>
            <w:r w:rsidR="00092F99">
              <w:t>the</w:t>
            </w:r>
            <w:r w:rsidR="005255E7">
              <w:t xml:space="preserve"> </w:t>
            </w:r>
            <w:r w:rsidR="008066F1">
              <w:t>payment times re</w:t>
            </w:r>
            <w:r w:rsidR="005255E7">
              <w:t>port</w:t>
            </w:r>
            <w:r w:rsidR="00CC569D">
              <w:t>:</w:t>
            </w:r>
          </w:p>
          <w:p w14:paraId="0DCF8B58" w14:textId="4B24A71D" w:rsidR="00122A5C" w:rsidRDefault="00D72337" w:rsidP="00122A5C">
            <w:pPr>
              <w:pStyle w:val="BoxBullet"/>
              <w:numPr>
                <w:ilvl w:val="0"/>
                <w:numId w:val="54"/>
              </w:numPr>
            </w:pPr>
            <w:r>
              <w:t xml:space="preserve">The </w:t>
            </w:r>
            <w:r w:rsidR="00D539DF">
              <w:t xml:space="preserve">$5,000 </w:t>
            </w:r>
            <w:r>
              <w:t>p</w:t>
            </w:r>
            <w:r w:rsidR="00FE47C2">
              <w:t xml:space="preserve">ayment by the holding entity </w:t>
            </w:r>
            <w:r>
              <w:t>is</w:t>
            </w:r>
            <w:r w:rsidR="00FE47C2">
              <w:t xml:space="preserve"> excluded</w:t>
            </w:r>
            <w:r w:rsidR="00092F99">
              <w:t xml:space="preserve"> </w:t>
            </w:r>
          </w:p>
          <w:p w14:paraId="64F8C851" w14:textId="455860FB" w:rsidR="00122A5C" w:rsidRDefault="00352AC4" w:rsidP="00122A5C">
            <w:pPr>
              <w:pStyle w:val="BoxBullet"/>
              <w:numPr>
                <w:ilvl w:val="0"/>
                <w:numId w:val="54"/>
              </w:numPr>
            </w:pPr>
            <w:r>
              <w:t xml:space="preserve">The </w:t>
            </w:r>
            <w:r w:rsidR="00D539DF">
              <w:t xml:space="preserve">$100,000 </w:t>
            </w:r>
            <w:r>
              <w:t xml:space="preserve">payment </w:t>
            </w:r>
            <w:r w:rsidR="00D72337">
              <w:t xml:space="preserve">is </w:t>
            </w:r>
            <w:r w:rsidR="0021259D">
              <w:t>allocated to the Retail segment</w:t>
            </w:r>
          </w:p>
          <w:p w14:paraId="7F255F98" w14:textId="2534A4EC" w:rsidR="00AD6918" w:rsidRPr="008950C5" w:rsidRDefault="008E0E56" w:rsidP="007D5745">
            <w:pPr>
              <w:pStyle w:val="BoxBullet"/>
              <w:numPr>
                <w:ilvl w:val="0"/>
                <w:numId w:val="54"/>
              </w:numPr>
            </w:pPr>
            <w:r>
              <w:t xml:space="preserve">The </w:t>
            </w:r>
            <w:r w:rsidR="00D539DF">
              <w:t xml:space="preserve">$200,000 </w:t>
            </w:r>
            <w:r>
              <w:t>payment</w:t>
            </w:r>
            <w:r w:rsidR="00D539DF">
              <w:t xml:space="preserve"> can be allocated to either the Retail or Manufacturing segment, at the discretion of the entity</w:t>
            </w:r>
            <w:r w:rsidR="00421345">
              <w:t xml:space="preserve">. The entity </w:t>
            </w:r>
            <w:r w:rsidR="002239FB">
              <w:t>also</w:t>
            </w:r>
            <w:r w:rsidR="00421345">
              <w:t xml:space="preserve"> include</w:t>
            </w:r>
            <w:r w:rsidR="002239FB">
              <w:t>s</w:t>
            </w:r>
            <w:r w:rsidR="00F74E76">
              <w:t xml:space="preserve"> a </w:t>
            </w:r>
            <w:r w:rsidR="00912E7A">
              <w:t xml:space="preserve">comment </w:t>
            </w:r>
            <w:r w:rsidR="001B3744">
              <w:t>about the</w:t>
            </w:r>
            <w:r w:rsidR="0062112B">
              <w:t xml:space="preserve"> </w:t>
            </w:r>
            <w:r w:rsidR="006C0E11">
              <w:t>chosen</w:t>
            </w:r>
            <w:r w:rsidR="001B3744">
              <w:t xml:space="preserve"> allocation </w:t>
            </w:r>
            <w:r w:rsidR="0062112B">
              <w:t xml:space="preserve">in </w:t>
            </w:r>
            <w:r w:rsidR="006C0E11">
              <w:t>its</w:t>
            </w:r>
            <w:r w:rsidR="0062112B">
              <w:t xml:space="preserve"> report.</w:t>
            </w:r>
          </w:p>
        </w:tc>
      </w:tr>
    </w:tbl>
    <w:p w14:paraId="228E1CD0" w14:textId="77777777" w:rsidR="00D96ADD" w:rsidRDefault="00D96ADD" w:rsidP="00AB45F0">
      <w:pPr>
        <w:pStyle w:val="OutlineNumbered1"/>
        <w:numPr>
          <w:ilvl w:val="0"/>
          <w:numId w:val="0"/>
        </w:numPr>
      </w:pP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B45F0" w14:paraId="444D9408" w14:textId="77777777">
        <w:tc>
          <w:tcPr>
            <w:tcW w:w="5000" w:type="pct"/>
            <w:shd w:val="clear" w:color="auto" w:fill="EBF1F7"/>
          </w:tcPr>
          <w:p w14:paraId="19DF9D32" w14:textId="415D840D" w:rsidR="00AB45F0" w:rsidRPr="000553FE" w:rsidRDefault="00FE47C2">
            <w:pPr>
              <w:pStyle w:val="BoxHeading"/>
              <w:rPr>
                <w:b w:val="0"/>
              </w:rPr>
            </w:pPr>
            <w:r>
              <w:t>Example</w:t>
            </w:r>
            <w:r w:rsidR="00031282">
              <w:t xml:space="preserve"> 47</w:t>
            </w:r>
          </w:p>
          <w:p w14:paraId="329E36AB" w14:textId="35E422A6" w:rsidR="00AB45F0" w:rsidRPr="00247BAC" w:rsidRDefault="00570DB2">
            <w:pPr>
              <w:pStyle w:val="BoxHeading2-Blue"/>
            </w:pPr>
            <w:r>
              <w:rPr>
                <w:rStyle w:val="Strong"/>
              </w:rPr>
              <w:t>Nil report for an operating segment</w:t>
            </w:r>
          </w:p>
          <w:p w14:paraId="6DC9BA33" w14:textId="77777777" w:rsidR="0079381F" w:rsidRDefault="00570DB2" w:rsidP="00570DB2">
            <w:pPr>
              <w:pStyle w:val="BoxText"/>
            </w:pPr>
            <w:r>
              <w:t xml:space="preserve">A reporting entity is SGX-listed and required to prepare financial reports that present operating segment information in accordance with International Financial Reporting Standard 8: Operating Segments. </w:t>
            </w:r>
          </w:p>
          <w:p w14:paraId="3F47FD88" w14:textId="77AB7986" w:rsidR="00570DB2" w:rsidRDefault="00570DB2" w:rsidP="00570DB2">
            <w:pPr>
              <w:pStyle w:val="BoxText"/>
            </w:pPr>
            <w:r>
              <w:t xml:space="preserve">The entity has 3 operating segments based on location: APAC, EU and US. </w:t>
            </w:r>
            <w:r w:rsidR="00BC60FB">
              <w:t xml:space="preserve">All </w:t>
            </w:r>
            <w:r w:rsidR="00784C29">
              <w:t xml:space="preserve">payments are </w:t>
            </w:r>
            <w:r w:rsidR="00E30D7A">
              <w:t>attribut</w:t>
            </w:r>
            <w:r w:rsidR="00F51880">
              <w:t>ed</w:t>
            </w:r>
            <w:r w:rsidR="00E30D7A">
              <w:t xml:space="preserve"> </w:t>
            </w:r>
            <w:r w:rsidR="000223BE">
              <w:t xml:space="preserve">to at least </w:t>
            </w:r>
            <w:r w:rsidR="00392250">
              <w:t>one of the operating segments</w:t>
            </w:r>
            <w:r w:rsidR="00F51880">
              <w:t xml:space="preserve"> for financial reporting purposes. O</w:t>
            </w:r>
            <w:r>
              <w:t xml:space="preserve">nly entities in the APAC segment made payments to Australian small </w:t>
            </w:r>
            <w:r w:rsidR="000C723F">
              <w:t>business suppliers</w:t>
            </w:r>
            <w:r w:rsidR="003A596D">
              <w:t>.</w:t>
            </w:r>
          </w:p>
          <w:p w14:paraId="42A41FB4" w14:textId="77777777" w:rsidR="003028E4" w:rsidRDefault="00570DB2" w:rsidP="00570DB2">
            <w:pPr>
              <w:pStyle w:val="BoxBullet"/>
              <w:ind w:left="284" w:hanging="284"/>
            </w:pPr>
            <w:r>
              <w:t xml:space="preserve">Operating segment information must be reported for all segments. </w:t>
            </w:r>
          </w:p>
          <w:p w14:paraId="659F9C77" w14:textId="77777777" w:rsidR="003028E4" w:rsidRDefault="00570DB2" w:rsidP="00570DB2">
            <w:pPr>
              <w:pStyle w:val="BoxBullet"/>
              <w:ind w:left="284" w:hanging="284"/>
            </w:pPr>
            <w:r>
              <w:t xml:space="preserve">The APAC segment data will be the same as that reported by the reporting entity. </w:t>
            </w:r>
          </w:p>
          <w:p w14:paraId="4773E60E" w14:textId="2D31ABFC" w:rsidR="00AB45F0" w:rsidRPr="008950C5" w:rsidRDefault="00570DB2" w:rsidP="00570DB2">
            <w:pPr>
              <w:pStyle w:val="BoxBullet"/>
              <w:ind w:left="284" w:hanging="284"/>
            </w:pPr>
            <w:r>
              <w:t>Nil values are reported for the EU and US segments.</w:t>
            </w:r>
          </w:p>
        </w:tc>
      </w:tr>
    </w:tbl>
    <w:p w14:paraId="47E89D6D" w14:textId="31F0B660" w:rsidR="000E0490" w:rsidRPr="00EA0A6E" w:rsidRDefault="000E0490" w:rsidP="007D5745">
      <w:pPr>
        <w:pStyle w:val="OutlineNumbered1"/>
        <w:numPr>
          <w:ilvl w:val="0"/>
          <w:numId w:val="0"/>
        </w:numPr>
        <w:ind w:left="851" w:hanging="851"/>
      </w:pPr>
    </w:p>
    <w:p w14:paraId="1C6C4750" w14:textId="77777777" w:rsidR="000E0490" w:rsidRDefault="000E0490" w:rsidP="000E0490">
      <w:pPr>
        <w:pStyle w:val="Heading2"/>
      </w:pPr>
      <w:bookmarkStart w:id="142" w:name="_Ref179827100"/>
      <w:bookmarkStart w:id="143" w:name="_Toc180688159"/>
      <w:bookmarkStart w:id="144" w:name="_Toc184822238"/>
      <w:r>
        <w:lastRenderedPageBreak/>
        <w:t>Modified Reporting</w:t>
      </w:r>
      <w:bookmarkEnd w:id="142"/>
      <w:bookmarkEnd w:id="143"/>
      <w:bookmarkEnd w:id="144"/>
    </w:p>
    <w:p w14:paraId="00F88A87" w14:textId="77777777" w:rsidR="000E0490" w:rsidRDefault="000E0490" w:rsidP="000E0490">
      <w:pPr>
        <w:pStyle w:val="Heading3"/>
      </w:pPr>
      <w:bookmarkStart w:id="145" w:name="_Toc180688160"/>
      <w:bookmarkStart w:id="146" w:name="_Toc184822239"/>
      <w:r w:rsidRPr="00280EF0">
        <w:t>Reporting entities in external administration</w:t>
      </w:r>
      <w:bookmarkEnd w:id="145"/>
      <w:bookmarkEnd w:id="146"/>
    </w:p>
    <w:p w14:paraId="59E714F0" w14:textId="0E36B6F7" w:rsidR="000E0490" w:rsidRPr="00EA0A6E" w:rsidRDefault="000E0490" w:rsidP="00AB45F0">
      <w:pPr>
        <w:pStyle w:val="OutlineNumbered1"/>
        <w:ind w:left="567" w:hanging="567"/>
      </w:pPr>
      <w:r w:rsidRPr="00EA0A6E">
        <w:t xml:space="preserve">If a reporting entity is placed in external administration at any point during a reporting period or the </w:t>
      </w:r>
      <w:r w:rsidR="0021186B">
        <w:t xml:space="preserve">3 </w:t>
      </w:r>
      <w:r w:rsidRPr="00EA0A6E">
        <w:t xml:space="preserve">month window before the report is due, </w:t>
      </w:r>
      <w:r>
        <w:t>it must still submit a report</w:t>
      </w:r>
      <w:r w:rsidRPr="00EA0A6E">
        <w:t xml:space="preserve">. </w:t>
      </w:r>
      <w:r w:rsidRPr="002D315B">
        <w:t xml:space="preserve">However, </w:t>
      </w:r>
      <w:r>
        <w:t>it can submit a sim</w:t>
      </w:r>
      <w:r w:rsidRPr="002D315B">
        <w:t>plified report.</w:t>
      </w:r>
    </w:p>
    <w:p w14:paraId="111B285D" w14:textId="77777777" w:rsidR="000E0490" w:rsidRPr="00EA0A6E" w:rsidRDefault="000E0490" w:rsidP="00AB45F0">
      <w:pPr>
        <w:pStyle w:val="OutlineNumbered1"/>
        <w:ind w:left="567" w:hanging="567"/>
      </w:pPr>
      <w:r w:rsidRPr="00EA0A6E">
        <w:t>The simplified report must include:</w:t>
      </w:r>
    </w:p>
    <w:p w14:paraId="59E82950" w14:textId="79D59B1A" w:rsidR="000E0490" w:rsidRPr="00EA0A6E" w:rsidRDefault="000E0490" w:rsidP="00AB45F0">
      <w:pPr>
        <w:pStyle w:val="OutlineNumberedDot"/>
        <w:ind w:left="851" w:hanging="284"/>
      </w:pPr>
      <w:r w:rsidRPr="00EA0A6E">
        <w:t>The start and end dates of the reporting period</w:t>
      </w:r>
      <w:r w:rsidR="00205FA7">
        <w:t>;</w:t>
      </w:r>
    </w:p>
    <w:p w14:paraId="3A85BE60" w14:textId="0C763B35" w:rsidR="000E0490" w:rsidRPr="00EA0A6E" w:rsidRDefault="000E0490" w:rsidP="00AB45F0">
      <w:pPr>
        <w:pStyle w:val="OutlineNumberedDot"/>
        <w:ind w:left="851" w:hanging="284"/>
      </w:pPr>
      <w:r>
        <w:t>The name of the responsible member who approved the repo</w:t>
      </w:r>
      <w:r w:rsidR="00476C60">
        <w:t>r</w:t>
      </w:r>
      <w:r>
        <w:t>t and the date they approved the report</w:t>
      </w:r>
      <w:r w:rsidR="00205FA7">
        <w:t>;</w:t>
      </w:r>
    </w:p>
    <w:p w14:paraId="37E53A53" w14:textId="2E192790" w:rsidR="000E0490" w:rsidRPr="00EA0A6E" w:rsidRDefault="000E0490" w:rsidP="00AB45F0">
      <w:pPr>
        <w:pStyle w:val="OutlineNumberedDot"/>
        <w:ind w:left="851" w:hanging="284"/>
      </w:pPr>
      <w:r w:rsidRPr="00EA0A6E">
        <w:t>The name of the external administrator</w:t>
      </w:r>
      <w:r w:rsidR="00205FA7">
        <w:t>;</w:t>
      </w:r>
    </w:p>
    <w:p w14:paraId="6FFB46A2" w14:textId="5E5ED086" w:rsidR="000E0490" w:rsidRPr="00EA0A6E" w:rsidRDefault="000E0490" w:rsidP="00AB45F0">
      <w:pPr>
        <w:pStyle w:val="OutlineNumberedDot"/>
        <w:ind w:left="851" w:hanging="284"/>
      </w:pPr>
      <w:r w:rsidRPr="00EA0A6E">
        <w:t>The capacity in which the administrator was appointed</w:t>
      </w:r>
      <w:r w:rsidR="00205FA7">
        <w:t>; and</w:t>
      </w:r>
    </w:p>
    <w:p w14:paraId="15D1B5CE" w14:textId="77777777" w:rsidR="000E0490" w:rsidRPr="00EA0A6E" w:rsidRDefault="000E0490" w:rsidP="00AB45F0">
      <w:pPr>
        <w:pStyle w:val="OutlineNumberedDot"/>
        <w:ind w:left="851" w:hanging="284"/>
      </w:pPr>
      <w:r w:rsidRPr="00EA0A6E">
        <w:t>The date of their appointment.</w:t>
      </w:r>
    </w:p>
    <w:p w14:paraId="29386A8B" w14:textId="31827F4D" w:rsidR="000E0490" w:rsidRPr="00EA0A6E" w:rsidRDefault="000E0490" w:rsidP="00AB45F0">
      <w:pPr>
        <w:pStyle w:val="OutlineNumbered1"/>
        <w:ind w:left="567" w:hanging="567"/>
      </w:pPr>
      <w:r w:rsidRPr="00EA0A6E">
        <w:t>For the purposes of the Act, external administration</w:t>
      </w:r>
      <w:r>
        <w:t xml:space="preserve"> has</w:t>
      </w:r>
      <w:r w:rsidRPr="00EA0A6E">
        <w:t xml:space="preserve"> the same </w:t>
      </w:r>
      <w:r>
        <w:t>meaning</w:t>
      </w:r>
      <w:r w:rsidRPr="00EA0A6E">
        <w:t xml:space="preserve"> as in the </w:t>
      </w:r>
      <w:r w:rsidRPr="001760C3">
        <w:rPr>
          <w:iCs/>
        </w:rPr>
        <w:t>Corporations Ac</w:t>
      </w:r>
      <w:r w:rsidR="001760C3">
        <w:rPr>
          <w:iCs/>
        </w:rPr>
        <w:t>t</w:t>
      </w:r>
      <w:r w:rsidRPr="00E51504">
        <w:t>.</w:t>
      </w:r>
      <w:r w:rsidRPr="00EA0A6E">
        <w:t xml:space="preserve"> This includes situations where a liquidator has been appointed.</w:t>
      </w:r>
    </w:p>
    <w:p w14:paraId="745C0DA4" w14:textId="77777777" w:rsidR="000E0490" w:rsidRDefault="000E0490" w:rsidP="000E0490">
      <w:pPr>
        <w:pStyle w:val="Heading3"/>
      </w:pPr>
      <w:bookmarkStart w:id="147" w:name="_Ref179826880"/>
      <w:bookmarkStart w:id="148" w:name="_Toc180688161"/>
      <w:bookmarkStart w:id="149" w:name="_Toc184822240"/>
      <w:r w:rsidRPr="002E57D5">
        <w:t>Reporting entities that have a reporting nominee</w:t>
      </w:r>
      <w:bookmarkEnd w:id="147"/>
      <w:bookmarkEnd w:id="148"/>
      <w:bookmarkEnd w:id="149"/>
    </w:p>
    <w:p w14:paraId="0A8440CC" w14:textId="77777777" w:rsidR="000E0490" w:rsidRPr="00EA0A6E" w:rsidRDefault="000E0490" w:rsidP="00AB45F0">
      <w:pPr>
        <w:pStyle w:val="OutlineNumbered1"/>
        <w:ind w:left="567" w:hanging="567"/>
      </w:pPr>
      <w:r w:rsidRPr="00EA0A6E">
        <w:t xml:space="preserve">If a reporting entity is consolidated into the report of a nominee reporting entity, it must still submit a report. However, </w:t>
      </w:r>
      <w:r>
        <w:t>it can submit a sim</w:t>
      </w:r>
      <w:r w:rsidRPr="00EA0A6E">
        <w:t>plified report.</w:t>
      </w:r>
    </w:p>
    <w:p w14:paraId="0EB67B19" w14:textId="3902F520" w:rsidR="000E0490" w:rsidRPr="00EA0A6E" w:rsidRDefault="000E0490" w:rsidP="00AB45F0">
      <w:pPr>
        <w:pStyle w:val="OutlineNumbered1"/>
        <w:ind w:left="567" w:hanging="567"/>
      </w:pPr>
      <w:r w:rsidRPr="00EA0A6E">
        <w:t>The simplified report must include:</w:t>
      </w:r>
    </w:p>
    <w:p w14:paraId="099D2F46" w14:textId="77777777" w:rsidR="000E0490" w:rsidRPr="00EA0A6E" w:rsidRDefault="000E0490" w:rsidP="00AB45F0">
      <w:pPr>
        <w:pStyle w:val="OutlineNumberedDot"/>
        <w:ind w:left="851" w:hanging="284"/>
      </w:pPr>
      <w:r w:rsidRPr="00EA0A6E">
        <w:t>The start and end dates of the reporting perio</w:t>
      </w:r>
      <w:r>
        <w:t>d</w:t>
      </w:r>
    </w:p>
    <w:p w14:paraId="6E2B44F4" w14:textId="2897D2FA" w:rsidR="000E0490" w:rsidRPr="00EA0A6E" w:rsidRDefault="000E0490" w:rsidP="00AB45F0">
      <w:pPr>
        <w:pStyle w:val="OutlineNumberedDot"/>
        <w:ind w:left="851" w:hanging="284"/>
      </w:pPr>
      <w:r>
        <w:t>The name of the responsible member who approved the repo</w:t>
      </w:r>
      <w:r w:rsidR="006B3A39">
        <w:t>r</w:t>
      </w:r>
      <w:r>
        <w:t>t and the date they approved the report</w:t>
      </w:r>
    </w:p>
    <w:p w14:paraId="0D012B25" w14:textId="77777777" w:rsidR="000E0490" w:rsidRPr="00EA0A6E" w:rsidRDefault="000E0490" w:rsidP="00AB45F0">
      <w:pPr>
        <w:pStyle w:val="OutlineNumberedDot"/>
        <w:ind w:left="851" w:hanging="284"/>
      </w:pPr>
      <w:r w:rsidRPr="00EA0A6E">
        <w:t>Details of the nominee reporting entity.</w:t>
      </w:r>
    </w:p>
    <w:p w14:paraId="00E0F081" w14:textId="77777777" w:rsidR="000E0490" w:rsidRDefault="000E0490" w:rsidP="00AB45F0">
      <w:pPr>
        <w:pStyle w:val="OutlineNumbered1"/>
        <w:ind w:left="567" w:hanging="567"/>
        <w:rPr>
          <w:rFonts w:ascii="Times New Roman" w:hAnsi="Times New Roman"/>
          <w:sz w:val="24"/>
          <w:szCs w:val="24"/>
        </w:rPr>
      </w:pPr>
      <w:r w:rsidRPr="00EA0A6E">
        <w:t xml:space="preserve">This information is published on the </w:t>
      </w:r>
      <w:hyperlink r:id="rId56" w:history="1">
        <w:r>
          <w:rPr>
            <w:rStyle w:val="Hyperlink"/>
          </w:rPr>
          <w:t>Register</w:t>
        </w:r>
      </w:hyperlink>
      <w:r w:rsidRPr="00EA0A6E">
        <w:t xml:space="preserve"> so that users can connect the reporting entity to the controlling nominee reporting entity that reports on the</w:t>
      </w:r>
      <w:r>
        <w:t xml:space="preserve"> reporting</w:t>
      </w:r>
      <w:r w:rsidRPr="00EA0A6E">
        <w:t xml:space="preserve"> entity’s behalf.</w:t>
      </w:r>
    </w:p>
    <w:p w14:paraId="507731F8" w14:textId="77777777" w:rsidR="000E0490" w:rsidRDefault="000E0490" w:rsidP="000E0490">
      <w:pPr>
        <w:pStyle w:val="Heading3"/>
      </w:pPr>
      <w:bookmarkStart w:id="150" w:name="_Toc179215335"/>
      <w:bookmarkStart w:id="151" w:name="_Toc180688162"/>
      <w:bookmarkStart w:id="152" w:name="_Toc184822241"/>
      <w:r>
        <w:t>Reporting entities that do not pay small businesses</w:t>
      </w:r>
      <w:bookmarkEnd w:id="150"/>
      <w:bookmarkEnd w:id="151"/>
      <w:bookmarkEnd w:id="152"/>
    </w:p>
    <w:p w14:paraId="07C4DE46" w14:textId="77777777" w:rsidR="000E0490" w:rsidRPr="00EA0A6E" w:rsidRDefault="000E0490" w:rsidP="00AB45F0">
      <w:pPr>
        <w:pStyle w:val="OutlineNumbered1"/>
        <w:ind w:left="567" w:hanging="567"/>
      </w:pPr>
      <w:r w:rsidRPr="00EA0A6E">
        <w:t xml:space="preserve">If a reporting entity does not make payments to Australian small businesses, it must still submit a report. </w:t>
      </w:r>
      <w:r w:rsidRPr="00BE4602">
        <w:t>However, i</w:t>
      </w:r>
      <w:r>
        <w:t>t</w:t>
      </w:r>
      <w:r w:rsidRPr="00BE4602">
        <w:t xml:space="preserve"> can submit a simplified report.</w:t>
      </w:r>
    </w:p>
    <w:p w14:paraId="268FE6F1" w14:textId="4C5969A8" w:rsidR="000E0490" w:rsidRPr="00EA0A6E" w:rsidRDefault="000E0490" w:rsidP="00AB45F0">
      <w:pPr>
        <w:pStyle w:val="OutlineNumbered1"/>
        <w:ind w:left="567" w:hanging="567"/>
      </w:pPr>
      <w:r w:rsidRPr="00EA0A6E">
        <w:t>The simplified report must include:</w:t>
      </w:r>
    </w:p>
    <w:p w14:paraId="799B7846" w14:textId="7B33DB8B" w:rsidR="000E0490" w:rsidRPr="00EA0A6E" w:rsidRDefault="000E0490" w:rsidP="00AB45F0">
      <w:pPr>
        <w:pStyle w:val="OutlineNumberedDot"/>
        <w:ind w:left="851" w:hanging="284"/>
      </w:pPr>
      <w:r w:rsidRPr="00EA0A6E">
        <w:t>The start and end dates of the reporting period</w:t>
      </w:r>
      <w:r w:rsidR="00205FA7">
        <w:t>;</w:t>
      </w:r>
    </w:p>
    <w:p w14:paraId="5C6215A1" w14:textId="3D86B33D" w:rsidR="000E0490" w:rsidRPr="00EA0A6E" w:rsidRDefault="000E0490" w:rsidP="00AB45F0">
      <w:pPr>
        <w:pStyle w:val="OutlineNumberedDot"/>
        <w:ind w:left="851" w:hanging="284"/>
      </w:pPr>
      <w:r>
        <w:t>The name of the responsible member who approved the report and the date they approved the report</w:t>
      </w:r>
      <w:r w:rsidR="00205FA7">
        <w:t>; and</w:t>
      </w:r>
    </w:p>
    <w:p w14:paraId="39E4B999" w14:textId="77777777" w:rsidR="000E0490" w:rsidRPr="00EA0A6E" w:rsidRDefault="000E0490" w:rsidP="00AB45F0">
      <w:pPr>
        <w:pStyle w:val="OutlineNumberedDot"/>
        <w:ind w:left="851" w:hanging="284"/>
      </w:pPr>
      <w:r w:rsidRPr="00EA0A6E">
        <w:t>The proportion of payments made to Australian small business suppliers, which must be zero.</w:t>
      </w:r>
    </w:p>
    <w:p w14:paraId="16B102F1" w14:textId="77777777" w:rsidR="000E0490" w:rsidRPr="00EA0A6E" w:rsidRDefault="000E0490" w:rsidP="00AB45F0">
      <w:pPr>
        <w:pStyle w:val="OutlineNumbered1"/>
        <w:ind w:left="567" w:hanging="567"/>
      </w:pPr>
      <w:r w:rsidRPr="00EA0A6E">
        <w:t xml:space="preserve">Whether the entity needs to prepare a TCP Dataset and a SBTCP Dataset to confirm it made no payments to Australian small businesses depends on its circumstances. </w:t>
      </w:r>
    </w:p>
    <w:p w14:paraId="1FCAA1A8" w14:textId="77777777" w:rsidR="000E0490" w:rsidRDefault="000E0490" w:rsidP="00AB45F0">
      <w:pPr>
        <w:pStyle w:val="OutlineNumbered1"/>
        <w:ind w:left="567" w:hanging="567"/>
      </w:pPr>
      <w:r w:rsidRPr="00EA0A6E">
        <w:t>The entity must document the method used to determine that no payments were made to small businesses, and this may be subject to compliance reviews by the Regulator.</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B45F0" w14:paraId="5CDB882B" w14:textId="77777777">
        <w:tc>
          <w:tcPr>
            <w:tcW w:w="5000" w:type="pct"/>
            <w:shd w:val="clear" w:color="auto" w:fill="EBF1F7"/>
          </w:tcPr>
          <w:p w14:paraId="1ED3A590" w14:textId="60443B83" w:rsidR="00AB45F0" w:rsidRPr="000553FE" w:rsidRDefault="006E392C">
            <w:pPr>
              <w:pStyle w:val="BoxHeading"/>
              <w:rPr>
                <w:b w:val="0"/>
              </w:rPr>
            </w:pPr>
            <w:r>
              <w:lastRenderedPageBreak/>
              <w:t>Example</w:t>
            </w:r>
            <w:r w:rsidR="00031282">
              <w:t xml:space="preserve"> 48</w:t>
            </w:r>
          </w:p>
          <w:p w14:paraId="38833CC3" w14:textId="6AFC9D71" w:rsidR="00AB45F0" w:rsidRPr="00247BAC" w:rsidRDefault="006E392C">
            <w:pPr>
              <w:pStyle w:val="BoxHeading2-Blue"/>
            </w:pPr>
            <w:r>
              <w:rPr>
                <w:rStyle w:val="Strong"/>
              </w:rPr>
              <w:t>Nil payments to Australian small businesses</w:t>
            </w:r>
          </w:p>
          <w:p w14:paraId="4BEC22A4" w14:textId="77777777" w:rsidR="000E64E1" w:rsidRDefault="006E392C" w:rsidP="006E392C">
            <w:pPr>
              <w:pStyle w:val="BoxText"/>
            </w:pPr>
            <w:r w:rsidRPr="006E392C">
              <w:rPr>
                <w:u w:val="single"/>
              </w:rPr>
              <w:t>Scenario 1:</w:t>
            </w:r>
            <w:r>
              <w:t xml:space="preserve"> </w:t>
            </w:r>
          </w:p>
          <w:p w14:paraId="3A40A057" w14:textId="69CF2C87" w:rsidR="006E392C" w:rsidRDefault="006E392C" w:rsidP="006E392C">
            <w:pPr>
              <w:pStyle w:val="BoxText"/>
            </w:pPr>
            <w:r>
              <w:t xml:space="preserve">A reporting entity collects and distributes royalties and has no controlled entities or operating costs. </w:t>
            </w:r>
          </w:p>
          <w:p w14:paraId="358B7812" w14:textId="6906859C" w:rsidR="006E392C" w:rsidRDefault="006E392C" w:rsidP="006E392C">
            <w:pPr>
              <w:pStyle w:val="BoxBullet"/>
              <w:ind w:left="284" w:hanging="284"/>
            </w:pPr>
            <w:r>
              <w:t>The entity may be able to determine it makes no payments to Australian small businesses without preparing a TCP Dataset and SBTCP Dataset.</w:t>
            </w:r>
          </w:p>
          <w:p w14:paraId="1EA3495A" w14:textId="77777777" w:rsidR="000E64E1" w:rsidRDefault="006E392C" w:rsidP="006E392C">
            <w:pPr>
              <w:pStyle w:val="BoxText"/>
            </w:pPr>
            <w:r w:rsidRPr="006E392C">
              <w:rPr>
                <w:u w:val="single"/>
              </w:rPr>
              <w:t>Scenario 2:</w:t>
            </w:r>
            <w:r>
              <w:t xml:space="preserve"> </w:t>
            </w:r>
          </w:p>
          <w:p w14:paraId="762CD423" w14:textId="0DB61DD6" w:rsidR="006E392C" w:rsidRDefault="006E392C" w:rsidP="006E392C">
            <w:pPr>
              <w:pStyle w:val="BoxText"/>
            </w:pPr>
            <w:r>
              <w:t xml:space="preserve">A reporting entity is a holding company that primarily operates through subsidiaries outside of Australia. The entity makes a small number of domestic payments from its Australian bank account. </w:t>
            </w:r>
          </w:p>
          <w:p w14:paraId="6A65C24A" w14:textId="21CC3091" w:rsidR="00AB45F0" w:rsidRPr="008950C5" w:rsidRDefault="006E392C" w:rsidP="006E392C">
            <w:pPr>
              <w:pStyle w:val="BoxBullet"/>
              <w:ind w:left="284" w:hanging="284"/>
            </w:pPr>
            <w:r>
              <w:t>The entity will likely need to prepare TCP Dataset and SBTCP Dataset to determine whether it pays Australian small businesses.</w:t>
            </w:r>
          </w:p>
        </w:tc>
      </w:tr>
    </w:tbl>
    <w:p w14:paraId="56C22D34" w14:textId="77777777" w:rsidR="002F1F62" w:rsidRPr="00ED2C02" w:rsidRDefault="002F1F62" w:rsidP="002F1F62">
      <w:pPr>
        <w:pStyle w:val="Heading2"/>
      </w:pPr>
      <w:bookmarkStart w:id="153" w:name="_Toc184822242"/>
      <w:r>
        <w:t>Record keeping</w:t>
      </w:r>
      <w:bookmarkEnd w:id="153"/>
    </w:p>
    <w:p w14:paraId="724CF7BC" w14:textId="77777777" w:rsidR="002F1F62" w:rsidRPr="002D315B" w:rsidRDefault="002F1F62" w:rsidP="002F1F62">
      <w:pPr>
        <w:pStyle w:val="OutlineNumbered1"/>
        <w:ind w:left="567" w:hanging="567"/>
      </w:pPr>
      <w:r w:rsidRPr="002D315B">
        <w:t>All reporting entities must retain the information used to prepare their reports for seven years. This includes:</w:t>
      </w:r>
    </w:p>
    <w:p w14:paraId="0DC8CAF4" w14:textId="2641F2B2" w:rsidR="002F1F62" w:rsidRPr="002D315B" w:rsidRDefault="002F1F62" w:rsidP="002F1F62">
      <w:pPr>
        <w:pStyle w:val="OutlineNumberedDot"/>
        <w:ind w:left="851" w:hanging="284"/>
      </w:pPr>
      <w:r w:rsidRPr="002D315B">
        <w:t>The data and methods used to classify payments</w:t>
      </w:r>
      <w:r w:rsidR="00205FA7">
        <w:t>;</w:t>
      </w:r>
    </w:p>
    <w:p w14:paraId="6B1EBC98" w14:textId="551306FB" w:rsidR="002F1F62" w:rsidRPr="002D315B" w:rsidRDefault="002F1F62" w:rsidP="002F1F62">
      <w:pPr>
        <w:pStyle w:val="OutlineNumberedDot"/>
        <w:ind w:left="851" w:hanging="284"/>
      </w:pPr>
      <w:r w:rsidRPr="002D315B">
        <w:t>Assumptions and interpretations made in the report</w:t>
      </w:r>
      <w:r w:rsidR="00205FA7">
        <w:t>; and</w:t>
      </w:r>
    </w:p>
    <w:p w14:paraId="1535F7C7" w14:textId="77777777" w:rsidR="002F1F62" w:rsidRPr="002D315B" w:rsidRDefault="002F1F62" w:rsidP="002F1F62">
      <w:pPr>
        <w:pStyle w:val="OutlineNumberedDot"/>
        <w:ind w:left="851" w:hanging="284"/>
      </w:pPr>
      <w:r w:rsidRPr="002D315B">
        <w:t>Documentation on governance and approval processes.</w:t>
      </w:r>
    </w:p>
    <w:p w14:paraId="526F37C7" w14:textId="0516818E" w:rsidR="002F1F62" w:rsidRDefault="002F1F62" w:rsidP="002F1F62">
      <w:pPr>
        <w:pStyle w:val="OutlineNumbered1"/>
        <w:ind w:left="567" w:hanging="567"/>
      </w:pPr>
      <w:r w:rsidRPr="002D315B">
        <w:t>If a</w:t>
      </w:r>
      <w:r>
        <w:t xml:space="preserve"> reporting</w:t>
      </w:r>
      <w:r w:rsidRPr="002D315B">
        <w:t xml:space="preserve"> entity uses automated systems or customi</w:t>
      </w:r>
      <w:r w:rsidR="00283770">
        <w:t>s</w:t>
      </w:r>
      <w:r w:rsidRPr="002D315B">
        <w:t>ed data extraction methods to prepare a report, it must keep detailed records of the process. This includes the rules, parameters, and reconciliation steps used to ensure data accuracy.</w:t>
      </w:r>
    </w:p>
    <w:p w14:paraId="4DF60D9D" w14:textId="77777777" w:rsidR="00682EC3" w:rsidRDefault="002F1F62" w:rsidP="00D5451B">
      <w:pPr>
        <w:pStyle w:val="OutlineNumbered1"/>
        <w:ind w:left="567" w:hanging="567"/>
      </w:pPr>
      <w:r w:rsidRPr="002D315B">
        <w:t xml:space="preserve">Civil penalties </w:t>
      </w:r>
      <w:r>
        <w:t xml:space="preserve">may </w:t>
      </w:r>
      <w:r w:rsidRPr="002D315B">
        <w:t xml:space="preserve">apply if a reporting entity fails to keep records, so it is important to </w:t>
      </w:r>
      <w:r>
        <w:t xml:space="preserve">ensure good record-keeping practices </w:t>
      </w:r>
      <w:r w:rsidRPr="002D315B">
        <w:t>for compliance reviews.</w:t>
      </w:r>
    </w:p>
    <w:p w14:paraId="385CBC3B" w14:textId="58DB2DCA" w:rsidR="000E0490" w:rsidRPr="007D5745" w:rsidRDefault="000E0490" w:rsidP="007D5745">
      <w:pPr>
        <w:spacing w:before="0" w:after="160" w:line="259" w:lineRule="auto"/>
      </w:pPr>
      <w:r w:rsidDel="002F1F62">
        <w:br w:type="page"/>
      </w:r>
    </w:p>
    <w:p w14:paraId="58AE061D" w14:textId="77777777" w:rsidR="000E0490" w:rsidRDefault="000E0490" w:rsidP="000E0490">
      <w:pPr>
        <w:pStyle w:val="Heading1"/>
      </w:pPr>
      <w:bookmarkStart w:id="154" w:name="_Toc180688163"/>
      <w:bookmarkStart w:id="155" w:name="_Toc184822243"/>
      <w:r>
        <w:lastRenderedPageBreak/>
        <w:t>Applications</w:t>
      </w:r>
      <w:bookmarkEnd w:id="154"/>
      <w:bookmarkEnd w:id="155"/>
    </w:p>
    <w:p w14:paraId="272D68D8" w14:textId="77777777" w:rsidR="000E0490" w:rsidRDefault="000E0490" w:rsidP="000E0490">
      <w:pPr>
        <w:pStyle w:val="Heading2"/>
      </w:pPr>
      <w:bookmarkStart w:id="156" w:name="_Toc180688164"/>
      <w:bookmarkStart w:id="157" w:name="_Toc184822244"/>
      <w:r>
        <w:t>General application requirements</w:t>
      </w:r>
      <w:bookmarkEnd w:id="156"/>
      <w:bookmarkEnd w:id="157"/>
      <w:r>
        <w:t xml:space="preserve"> </w:t>
      </w:r>
    </w:p>
    <w:p w14:paraId="141BE5F0" w14:textId="77777777" w:rsidR="000E0490" w:rsidRDefault="000E0490" w:rsidP="000E0490">
      <w:pPr>
        <w:pStyle w:val="Heading3"/>
      </w:pPr>
      <w:bookmarkStart w:id="158" w:name="_Toc179215338"/>
      <w:bookmarkStart w:id="159" w:name="_Toc180688165"/>
      <w:bookmarkStart w:id="160" w:name="_Toc184822245"/>
      <w:r>
        <w:t>Form, content and approval requirements</w:t>
      </w:r>
      <w:bookmarkEnd w:id="158"/>
      <w:bookmarkEnd w:id="159"/>
      <w:bookmarkEnd w:id="160"/>
    </w:p>
    <w:p w14:paraId="0D50D5E6" w14:textId="77777777" w:rsidR="000E0490" w:rsidRPr="00EA0A6E" w:rsidRDefault="000E0490" w:rsidP="00570586">
      <w:pPr>
        <w:pStyle w:val="OutlineNumbered1"/>
        <w:ind w:left="567" w:hanging="567"/>
      </w:pPr>
      <w:r w:rsidRPr="00EA0A6E">
        <w:t xml:space="preserve">Applications to become a volunteer, nominee, or subsidiary reporting entity, as well as applications for exemptions from reporting or extensions of time to report, </w:t>
      </w:r>
      <w:r>
        <w:t>have</w:t>
      </w:r>
      <w:r w:rsidRPr="00EA0A6E">
        <w:t xml:space="preserve"> specific requirements regarding how they </w:t>
      </w:r>
      <w:r>
        <w:t>must be</w:t>
      </w:r>
      <w:r w:rsidRPr="00EA0A6E">
        <w:t xml:space="preserve"> submitted and what information and approvals they must include.</w:t>
      </w:r>
    </w:p>
    <w:p w14:paraId="712A8463" w14:textId="35331F91" w:rsidR="000E0490" w:rsidRPr="00EA0A6E" w:rsidRDefault="000E0490" w:rsidP="00570586">
      <w:pPr>
        <w:pStyle w:val="OutlineNumbered1"/>
        <w:ind w:left="567" w:hanging="567"/>
      </w:pPr>
      <w:r w:rsidRPr="00EA0A6E">
        <w:t xml:space="preserve">These applications must be submitted through </w:t>
      </w:r>
      <w:hyperlink r:id="rId57" w:history="1">
        <w:r w:rsidR="00841C0D">
          <w:rPr>
            <w:rStyle w:val="Hyperlink"/>
          </w:rPr>
          <w:t>the</w:t>
        </w:r>
        <w:r w:rsidR="00841C0D" w:rsidRPr="004979D3">
          <w:rPr>
            <w:rStyle w:val="Hyperlink"/>
          </w:rPr>
          <w:t xml:space="preserve"> Portal</w:t>
        </w:r>
      </w:hyperlink>
      <w:r w:rsidRPr="00EA0A6E">
        <w:t xml:space="preserve"> and must:</w:t>
      </w:r>
    </w:p>
    <w:p w14:paraId="0725ADC6" w14:textId="77777777" w:rsidR="000E0490" w:rsidRPr="00EA0A6E" w:rsidRDefault="000E0490" w:rsidP="00570586">
      <w:pPr>
        <w:pStyle w:val="OutlineNumberedDot"/>
        <w:ind w:left="851" w:hanging="284"/>
      </w:pPr>
      <w:r w:rsidRPr="00EA0A6E">
        <w:t>Contain the required information in the relevant form, and</w:t>
      </w:r>
    </w:p>
    <w:p w14:paraId="4B88364F" w14:textId="77777777" w:rsidR="000E0490" w:rsidRPr="00EA0A6E" w:rsidRDefault="000E0490" w:rsidP="00570586">
      <w:pPr>
        <w:pStyle w:val="OutlineNumberedDot"/>
        <w:ind w:left="851" w:hanging="284"/>
      </w:pPr>
      <w:r w:rsidRPr="00EA0A6E">
        <w:t>Include confirmation that the application was authorised in writing by a responsible member of the entity.</w:t>
      </w:r>
    </w:p>
    <w:p w14:paraId="43984313" w14:textId="3B1F269A" w:rsidR="000E0490" w:rsidRPr="00EA0A6E" w:rsidRDefault="000E0490" w:rsidP="00570586">
      <w:pPr>
        <w:pStyle w:val="OutlineNumbered1"/>
        <w:ind w:left="567" w:hanging="567"/>
      </w:pPr>
      <w:r w:rsidRPr="00EA0A6E">
        <w:t xml:space="preserve">The Regulator will only accept an application outside </w:t>
      </w:r>
      <w:hyperlink r:id="rId58" w:history="1">
        <w:r w:rsidR="00841C0D">
          <w:rPr>
            <w:rStyle w:val="Hyperlink"/>
          </w:rPr>
          <w:t>the</w:t>
        </w:r>
        <w:r w:rsidR="00841C0D" w:rsidRPr="004979D3">
          <w:rPr>
            <w:rStyle w:val="Hyperlink"/>
          </w:rPr>
          <w:t xml:space="preserve"> Portal</w:t>
        </w:r>
      </w:hyperlink>
      <w:r w:rsidRPr="00EA0A6E">
        <w:t xml:space="preserve"> if the entity is ineligible for RAM access because it either:</w:t>
      </w:r>
    </w:p>
    <w:p w14:paraId="43520997" w14:textId="77777777" w:rsidR="000E0490" w:rsidRPr="00EA0A6E" w:rsidRDefault="000E0490" w:rsidP="00570586">
      <w:pPr>
        <w:pStyle w:val="OutlineNumberedDot"/>
        <w:ind w:left="851" w:hanging="284"/>
      </w:pPr>
      <w:r w:rsidRPr="00EA0A6E">
        <w:t>Does not have an ABN, or</w:t>
      </w:r>
    </w:p>
    <w:p w14:paraId="3D46CFF4" w14:textId="3518B8B7" w:rsidR="000E0490" w:rsidRPr="00EA0A6E" w:rsidRDefault="000E0490" w:rsidP="00570586">
      <w:pPr>
        <w:pStyle w:val="OutlineNumberedDot"/>
        <w:ind w:left="851" w:hanging="284"/>
      </w:pPr>
      <w:r w:rsidRPr="00EA0A6E">
        <w:t xml:space="preserve">Does not have a responsible member or authorised manager eligible for a standard strength </w:t>
      </w:r>
      <w:r w:rsidR="009F4BDB">
        <w:t>myID</w:t>
      </w:r>
      <w:r w:rsidRPr="00EA0A6E">
        <w:t>.</w:t>
      </w:r>
    </w:p>
    <w:p w14:paraId="60A4A545" w14:textId="77777777" w:rsidR="000E0490" w:rsidRDefault="000E0490" w:rsidP="000E0490">
      <w:pPr>
        <w:pStyle w:val="Heading3"/>
      </w:pPr>
      <w:bookmarkStart w:id="161" w:name="_Toc180688166"/>
      <w:bookmarkStart w:id="162" w:name="_Toc184822246"/>
      <w:r>
        <w:t>Providing Additional Information</w:t>
      </w:r>
      <w:bookmarkEnd w:id="161"/>
      <w:bookmarkEnd w:id="162"/>
    </w:p>
    <w:p w14:paraId="27653BE8" w14:textId="77777777" w:rsidR="000E0490" w:rsidRPr="00EA0A6E" w:rsidRDefault="000E0490" w:rsidP="00570586">
      <w:pPr>
        <w:pStyle w:val="OutlineNumbered1"/>
        <w:ind w:left="567" w:hanging="567"/>
      </w:pPr>
      <w:r w:rsidRPr="00EA0A6E">
        <w:t xml:space="preserve">The Regulator may require additional information for an application. If the applicant does not provide the requested information, the Regulator may refuse to make a </w:t>
      </w:r>
      <w:r>
        <w:t>determination.</w:t>
      </w:r>
    </w:p>
    <w:p w14:paraId="71B80613" w14:textId="107304FF" w:rsidR="000E0490" w:rsidRPr="00EA0A6E" w:rsidRDefault="000E0490" w:rsidP="00570586">
      <w:pPr>
        <w:pStyle w:val="OutlineNumbered1"/>
        <w:ind w:left="567" w:hanging="567"/>
      </w:pPr>
      <w:r w:rsidRPr="00EA0A6E">
        <w:t xml:space="preserve">The Regulator will request additional information when there is not enough detail to make a </w:t>
      </w:r>
      <w:r>
        <w:t>determination</w:t>
      </w:r>
      <w:r w:rsidRPr="00EA0A6E">
        <w:t>. These requests will give</w:t>
      </w:r>
      <w:r w:rsidR="00103DC7">
        <w:t xml:space="preserve"> an applicant</w:t>
      </w:r>
      <w:r w:rsidRPr="00EA0A6E">
        <w:t xml:space="preserve"> 14 </w:t>
      </w:r>
      <w:r>
        <w:t xml:space="preserve">calendar </w:t>
      </w:r>
      <w:r w:rsidRPr="00EA0A6E">
        <w:t>days to respond.</w:t>
      </w:r>
    </w:p>
    <w:p w14:paraId="3BCDFC17" w14:textId="77777777" w:rsidR="000E0490" w:rsidRDefault="000E0490" w:rsidP="000E0490">
      <w:pPr>
        <w:pStyle w:val="Heading3"/>
      </w:pPr>
      <w:bookmarkStart w:id="163" w:name="_Toc180688167"/>
      <w:bookmarkStart w:id="164" w:name="_Toc184822247"/>
      <w:r>
        <w:t>Fees</w:t>
      </w:r>
      <w:bookmarkEnd w:id="163"/>
      <w:bookmarkEnd w:id="164"/>
    </w:p>
    <w:p w14:paraId="684CDB7D" w14:textId="7EA89637" w:rsidR="000E0490" w:rsidRDefault="000E0490" w:rsidP="00570586">
      <w:pPr>
        <w:pStyle w:val="OutlineNumbered1"/>
        <w:ind w:left="567" w:hanging="567"/>
      </w:pPr>
      <w:r w:rsidRPr="00EA0A6E">
        <w:t xml:space="preserve">Applicants must pay a fee for certain applications, including applications for </w:t>
      </w:r>
      <w:r w:rsidRPr="00EA0A6E">
        <w:rPr>
          <w:rStyle w:val="Strong"/>
          <w:rFonts w:asciiTheme="minorHAnsi" w:hAnsiTheme="minorHAnsi"/>
        </w:rPr>
        <w:t>nominee</w:t>
      </w:r>
      <w:r w:rsidRPr="00EA0A6E">
        <w:t xml:space="preserve"> and </w:t>
      </w:r>
      <w:r w:rsidRPr="00EA0A6E">
        <w:rPr>
          <w:rStyle w:val="Strong"/>
          <w:rFonts w:asciiTheme="minorHAnsi" w:hAnsiTheme="minorHAnsi"/>
        </w:rPr>
        <w:t>subsidiary reporting entities</w:t>
      </w:r>
      <w:r w:rsidRPr="00EA0A6E">
        <w:t xml:space="preserve">, </w:t>
      </w:r>
      <w:r w:rsidRPr="00EA0A6E">
        <w:rPr>
          <w:rStyle w:val="Strong"/>
          <w:rFonts w:asciiTheme="minorHAnsi" w:hAnsiTheme="minorHAnsi"/>
        </w:rPr>
        <w:t>exemptions from reporting</w:t>
      </w:r>
      <w:r w:rsidRPr="00EA0A6E">
        <w:t xml:space="preserve">, and </w:t>
      </w:r>
      <w:r w:rsidRPr="00EA0A6E">
        <w:rPr>
          <w:rStyle w:val="Strong"/>
          <w:rFonts w:asciiTheme="minorHAnsi" w:hAnsiTheme="minorHAnsi"/>
        </w:rPr>
        <w:t>extensions of time</w:t>
      </w:r>
      <w:r w:rsidRPr="00EA0A6E">
        <w:t>.</w:t>
      </w:r>
      <w:r w:rsidR="009C5D91">
        <w:t xml:space="preserve"> Fees will not apply </w:t>
      </w:r>
      <w:r w:rsidR="00A73247">
        <w:t>to</w:t>
      </w:r>
      <w:r w:rsidR="009C5D91">
        <w:t xml:space="preserve"> applications submitted </w:t>
      </w:r>
      <w:r w:rsidR="00A73247">
        <w:t>before 1 July 2025.</w:t>
      </w:r>
      <w:r w:rsidR="00113C32" w:rsidRPr="00113C32">
        <w:rPr>
          <w:rFonts w:cstheme="minorHAnsi"/>
          <w:i/>
          <w:iCs/>
          <w:szCs w:val="22"/>
        </w:rPr>
        <w:t xml:space="preserve"> </w:t>
      </w:r>
      <w:r w:rsidR="00113C32" w:rsidRPr="00113C32">
        <w:t xml:space="preserve">Further information, including fee amounts, will be provided in future consultations to develop a </w:t>
      </w:r>
      <w:r w:rsidR="00113C32" w:rsidRPr="00113C32">
        <w:rPr>
          <w:b/>
          <w:bCs/>
        </w:rPr>
        <w:t>Cost Recovery Implementation Statement</w:t>
      </w:r>
      <w:r w:rsidR="00113C32" w:rsidRPr="00113C32">
        <w:t>.</w:t>
      </w:r>
    </w:p>
    <w:p w14:paraId="678D4225" w14:textId="4EE7B62C" w:rsidR="000E0490" w:rsidRPr="00EA0A6E" w:rsidRDefault="000E0490" w:rsidP="00570586">
      <w:pPr>
        <w:pStyle w:val="OutlineNumbered1"/>
        <w:ind w:left="567" w:hanging="567"/>
      </w:pPr>
      <w:r w:rsidRPr="00EA0A6E">
        <w:t xml:space="preserve">The fees are set in accordance with the </w:t>
      </w:r>
      <w:r w:rsidRPr="00EA0A6E">
        <w:rPr>
          <w:rStyle w:val="Strong"/>
          <w:rFonts w:asciiTheme="minorHAnsi" w:hAnsiTheme="minorHAnsi"/>
        </w:rPr>
        <w:t>Australian Government Charging Framework</w:t>
      </w:r>
      <w:r w:rsidRPr="00EA0A6E">
        <w:t xml:space="preserve">. Information about the fees, how they are determined, and how to pay them </w:t>
      </w:r>
      <w:r w:rsidR="00BB188D">
        <w:t>will be</w:t>
      </w:r>
      <w:r w:rsidRPr="00EA0A6E">
        <w:t xml:space="preserve"> available on the Regulator’s website.</w:t>
      </w:r>
    </w:p>
    <w:p w14:paraId="312F6952" w14:textId="12F0FEAB" w:rsidR="000E0490" w:rsidRPr="00EA0A6E" w:rsidRDefault="00D26E22" w:rsidP="00570586">
      <w:pPr>
        <w:pStyle w:val="OutlineNumbered1"/>
        <w:ind w:left="567" w:hanging="567"/>
      </w:pPr>
      <w:r>
        <w:t>An application is not taken to have been made unless the fee is paid and the</w:t>
      </w:r>
      <w:r w:rsidR="000E0490" w:rsidRPr="00EA0A6E">
        <w:t xml:space="preserve"> Regulator may refuse to start considering an application until the fee </w:t>
      </w:r>
      <w:r w:rsidR="000E0490">
        <w:t xml:space="preserve">is </w:t>
      </w:r>
      <w:r w:rsidR="000E0490" w:rsidRPr="00EA0A6E">
        <w:t>paid.</w:t>
      </w:r>
    </w:p>
    <w:p w14:paraId="24F1F1C2" w14:textId="77777777" w:rsidR="000E0490" w:rsidRDefault="000E0490" w:rsidP="000E0490">
      <w:pPr>
        <w:pStyle w:val="Heading3"/>
      </w:pPr>
      <w:bookmarkStart w:id="165" w:name="_Toc180688168"/>
      <w:bookmarkStart w:id="166" w:name="_Toc184822248"/>
      <w:r>
        <w:t>Timing of Decisions</w:t>
      </w:r>
      <w:bookmarkEnd w:id="165"/>
      <w:bookmarkEnd w:id="166"/>
    </w:p>
    <w:p w14:paraId="70D4532D" w14:textId="77777777" w:rsidR="000E0490" w:rsidRPr="00EA0A6E" w:rsidRDefault="000E0490" w:rsidP="00F70B36">
      <w:pPr>
        <w:pStyle w:val="OutlineNumbered1"/>
        <w:ind w:left="567" w:hanging="567"/>
      </w:pPr>
      <w:r w:rsidRPr="00EA0A6E">
        <w:t xml:space="preserve">The Regulator aims to approve or issue a notice of proposed refusal within 15 business days of receiving all the information necessary to consider the application. The only exception is for a </w:t>
      </w:r>
      <w:r w:rsidRPr="00EA0A6E">
        <w:rPr>
          <w:rStyle w:val="Strong"/>
          <w:rFonts w:asciiTheme="minorHAnsi" w:hAnsiTheme="minorHAnsi"/>
        </w:rPr>
        <w:t>short-term extension of time</w:t>
      </w:r>
      <w:r w:rsidRPr="00EA0A6E">
        <w:t>, which can typically be decided within 5 business days.</w:t>
      </w:r>
    </w:p>
    <w:p w14:paraId="077F4362" w14:textId="77777777" w:rsidR="00570F32" w:rsidRDefault="00570F32">
      <w:pPr>
        <w:spacing w:before="0" w:after="160" w:line="259" w:lineRule="auto"/>
      </w:pPr>
      <w:r>
        <w:br w:type="page"/>
      </w:r>
    </w:p>
    <w:p w14:paraId="1C87E2EE" w14:textId="11B27D58" w:rsidR="000E0490" w:rsidRPr="00EA0A6E" w:rsidRDefault="000E0490" w:rsidP="00F70B36">
      <w:pPr>
        <w:pStyle w:val="OutlineNumbered1"/>
        <w:ind w:left="567" w:hanging="567"/>
      </w:pPr>
      <w:r w:rsidRPr="00EA0A6E">
        <w:lastRenderedPageBreak/>
        <w:t>While the Regulator strives to meet these timeframes, it may not always be possible. To ensure timely assessment, applicants must provide all the necessary evidence with their application. If an application is submitted near the end of a reporting period or close to a report's due date, the Regulator may not be able to consider it in time for the relevant date.</w:t>
      </w:r>
    </w:p>
    <w:p w14:paraId="2419886C" w14:textId="77777777" w:rsidR="000E0490" w:rsidRDefault="000E0490" w:rsidP="00F70B36">
      <w:pPr>
        <w:pStyle w:val="OutlineNumbered1"/>
        <w:ind w:left="567" w:hanging="567"/>
      </w:pPr>
      <w:r w:rsidRPr="00EA0A6E">
        <w:t>Be mindful of these timelines when submitting an application.</w:t>
      </w:r>
    </w:p>
    <w:p w14:paraId="02936769" w14:textId="77777777" w:rsidR="000E0490" w:rsidRDefault="000E0490" w:rsidP="000E0490">
      <w:pPr>
        <w:pStyle w:val="Heading3"/>
      </w:pPr>
      <w:bookmarkStart w:id="167" w:name="_Toc180688169"/>
      <w:bookmarkStart w:id="168" w:name="_Toc184822249"/>
      <w:r>
        <w:t>Publication of Application Decision</w:t>
      </w:r>
      <w:bookmarkEnd w:id="167"/>
      <w:bookmarkEnd w:id="168"/>
    </w:p>
    <w:p w14:paraId="6BF2E841" w14:textId="77777777" w:rsidR="000E0490" w:rsidRPr="00EA0A6E" w:rsidRDefault="000E0490" w:rsidP="00F70B36">
      <w:pPr>
        <w:pStyle w:val="OutlineNumbered1"/>
        <w:ind w:left="567" w:hanging="567"/>
      </w:pPr>
      <w:r w:rsidRPr="00EA0A6E">
        <w:t xml:space="preserve">If an application affects an entity’s reporting, its reporting structure, or the timing of submitting a report, the decision may be published on the </w:t>
      </w:r>
      <w:hyperlink r:id="rId59" w:history="1">
        <w:r w:rsidRPr="008D7DF6">
          <w:rPr>
            <w:rStyle w:val="Hyperlink"/>
          </w:rPr>
          <w:t>Register</w:t>
        </w:r>
      </w:hyperlink>
      <w:r w:rsidRPr="00EA0A6E">
        <w:t xml:space="preserve"> to ensure transparency for users of payment times information.</w:t>
      </w:r>
    </w:p>
    <w:p w14:paraId="60C4FFE6" w14:textId="77777777" w:rsidR="000E0490" w:rsidRPr="00EA0A6E" w:rsidRDefault="000E0490" w:rsidP="00F70B36">
      <w:pPr>
        <w:pStyle w:val="OutlineNumbered1"/>
        <w:ind w:left="567" w:hanging="567"/>
      </w:pPr>
      <w:r w:rsidRPr="00EA0A6E">
        <w:t xml:space="preserve">The Regulator must publish </w:t>
      </w:r>
      <w:r>
        <w:t>determinations</w:t>
      </w:r>
      <w:r w:rsidRPr="00EA0A6E">
        <w:t xml:space="preserve"> to grant or revoke </w:t>
      </w:r>
      <w:r w:rsidRPr="00EA0A6E">
        <w:rPr>
          <w:rStyle w:val="Strong"/>
          <w:rFonts w:asciiTheme="minorHAnsi" w:hAnsiTheme="minorHAnsi"/>
        </w:rPr>
        <w:t>volunteer</w:t>
      </w:r>
      <w:r w:rsidRPr="00EA0A6E">
        <w:t xml:space="preserve">, </w:t>
      </w:r>
      <w:r w:rsidRPr="00EA0A6E">
        <w:rPr>
          <w:rStyle w:val="Strong"/>
          <w:rFonts w:asciiTheme="minorHAnsi" w:hAnsiTheme="minorHAnsi"/>
        </w:rPr>
        <w:t>nominee</w:t>
      </w:r>
      <w:r w:rsidRPr="00EA0A6E">
        <w:t xml:space="preserve">, and </w:t>
      </w:r>
      <w:r w:rsidRPr="00EA0A6E">
        <w:rPr>
          <w:rStyle w:val="Strong"/>
          <w:rFonts w:asciiTheme="minorHAnsi" w:hAnsiTheme="minorHAnsi"/>
        </w:rPr>
        <w:t>subsidiary reporting entity</w:t>
      </w:r>
      <w:r w:rsidRPr="00EA0A6E">
        <w:t xml:space="preserve"> status on the </w:t>
      </w:r>
      <w:hyperlink r:id="rId60" w:history="1">
        <w:r w:rsidRPr="008D7DF6">
          <w:rPr>
            <w:rStyle w:val="Hyperlink"/>
          </w:rPr>
          <w:t>Register</w:t>
        </w:r>
      </w:hyperlink>
      <w:r w:rsidRPr="00EA0A6E">
        <w:t xml:space="preserve">. The Regulator must also publish details of decisions to grant </w:t>
      </w:r>
      <w:r w:rsidRPr="00EA0A6E">
        <w:rPr>
          <w:rStyle w:val="Strong"/>
          <w:rFonts w:asciiTheme="minorHAnsi" w:hAnsiTheme="minorHAnsi"/>
        </w:rPr>
        <w:t>extensions of time to report</w:t>
      </w:r>
      <w:r w:rsidRPr="00EA0A6E">
        <w:t>.</w:t>
      </w:r>
      <w:r>
        <w:t xml:space="preserve"> </w:t>
      </w:r>
      <w:r w:rsidRPr="00EA0A6E">
        <w:t xml:space="preserve">Additionally, the Regulator may publish </w:t>
      </w:r>
      <w:r>
        <w:t>determinations</w:t>
      </w:r>
      <w:r w:rsidRPr="00EA0A6E">
        <w:t xml:space="preserve"> to grant or revoke an </w:t>
      </w:r>
      <w:r w:rsidRPr="00EA0A6E">
        <w:rPr>
          <w:rStyle w:val="Strong"/>
          <w:rFonts w:asciiTheme="minorHAnsi" w:hAnsiTheme="minorHAnsi"/>
        </w:rPr>
        <w:t>exemption from reporting</w:t>
      </w:r>
      <w:r>
        <w:t>.</w:t>
      </w:r>
    </w:p>
    <w:p w14:paraId="0099F5E5" w14:textId="77777777" w:rsidR="000E0490" w:rsidRDefault="000E0490" w:rsidP="00F70B36">
      <w:pPr>
        <w:pStyle w:val="OutlineNumbered1"/>
        <w:ind w:left="567" w:hanging="567"/>
      </w:pPr>
      <w:r w:rsidRPr="00EA0A6E">
        <w:t>Only the type of application, the decision</w:t>
      </w:r>
      <w:r>
        <w:t xml:space="preserve"> or determination</w:t>
      </w:r>
      <w:r w:rsidRPr="00EA0A6E">
        <w:t>, and the date it takes effect will be published. The Regulator will not publish the reasons for the decision</w:t>
      </w:r>
      <w:r>
        <w:t xml:space="preserve"> or determination</w:t>
      </w:r>
      <w:r w:rsidRPr="00EA0A6E">
        <w:t xml:space="preserve"> or any information submitted in the application.</w:t>
      </w:r>
    </w:p>
    <w:p w14:paraId="2D7B15C7" w14:textId="77777777" w:rsidR="000E0490" w:rsidRDefault="000E0490" w:rsidP="000E0490">
      <w:pPr>
        <w:pStyle w:val="Heading2"/>
      </w:pPr>
      <w:bookmarkStart w:id="169" w:name="_Toc180688170"/>
      <w:bookmarkStart w:id="170" w:name="_Toc184822250"/>
      <w:r>
        <w:t>Refusal of applications</w:t>
      </w:r>
      <w:bookmarkEnd w:id="169"/>
      <w:bookmarkEnd w:id="170"/>
      <w:r>
        <w:t xml:space="preserve"> </w:t>
      </w:r>
    </w:p>
    <w:p w14:paraId="65FF46FD" w14:textId="77777777" w:rsidR="000E0490" w:rsidRDefault="000E0490" w:rsidP="000E0490">
      <w:pPr>
        <w:pStyle w:val="Heading3"/>
      </w:pPr>
      <w:bookmarkStart w:id="171" w:name="_Toc180688171"/>
      <w:bookmarkStart w:id="172" w:name="_Toc184822251"/>
      <w:r>
        <w:t>Procedural Fairness and Review of Decisions</w:t>
      </w:r>
      <w:bookmarkEnd w:id="171"/>
      <w:bookmarkEnd w:id="172"/>
    </w:p>
    <w:p w14:paraId="0D533922" w14:textId="77777777" w:rsidR="000E0490" w:rsidRPr="00EA0A6E" w:rsidRDefault="000E0490" w:rsidP="00AE41F1">
      <w:pPr>
        <w:pStyle w:val="OutlineNumbered1"/>
        <w:ind w:left="567" w:hanging="567"/>
      </w:pPr>
      <w:r w:rsidRPr="00EA0A6E">
        <w:t xml:space="preserve">Before the Regulator makes a decision that could materially impact an applicant or another person adversely, the Regulator will ensure </w:t>
      </w:r>
      <w:r w:rsidRPr="00EA0A6E">
        <w:rPr>
          <w:rStyle w:val="Strong"/>
          <w:rFonts w:asciiTheme="minorHAnsi" w:hAnsiTheme="minorHAnsi"/>
        </w:rPr>
        <w:t>procedural fairness</w:t>
      </w:r>
      <w:r w:rsidRPr="00EA0A6E">
        <w:t xml:space="preserve"> </w:t>
      </w:r>
      <w:r>
        <w:t>is provided to</w:t>
      </w:r>
      <w:r w:rsidRPr="00EA0A6E">
        <w:t xml:space="preserve"> the affected parties.</w:t>
      </w:r>
    </w:p>
    <w:p w14:paraId="4CC387A5" w14:textId="60977A88" w:rsidR="000E0490" w:rsidRPr="00EA0A6E" w:rsidRDefault="000E0490" w:rsidP="00AE41F1">
      <w:pPr>
        <w:pStyle w:val="OutlineNumbered1"/>
        <w:ind w:left="567" w:hanging="567"/>
      </w:pPr>
      <w:r w:rsidRPr="00EA0A6E">
        <w:t xml:space="preserve">If the Regulator intends to refuse an application, the applicant will receive a notification of the proposed decision and an invitation to submit further written submissions. </w:t>
      </w:r>
      <w:r>
        <w:t>A</w:t>
      </w:r>
      <w:r w:rsidRPr="00EA0A6E">
        <w:t xml:space="preserve">pplicants </w:t>
      </w:r>
      <w:r w:rsidR="00C164F9">
        <w:t>will</w:t>
      </w:r>
      <w:r w:rsidRPr="00EA0A6E">
        <w:t xml:space="preserve"> </w:t>
      </w:r>
      <w:r>
        <w:t xml:space="preserve">be given </w:t>
      </w:r>
      <w:r w:rsidRPr="00EA0A6E">
        <w:t xml:space="preserve">14 </w:t>
      </w:r>
      <w:r>
        <w:t xml:space="preserve">calendar </w:t>
      </w:r>
      <w:r w:rsidRPr="00EA0A6E">
        <w:t>days to provide additional submissions for the Regulator to consider.</w:t>
      </w:r>
    </w:p>
    <w:p w14:paraId="0437AAEC" w14:textId="77777777" w:rsidR="000E0490" w:rsidRPr="00EA0A6E" w:rsidRDefault="000E0490" w:rsidP="00AE41F1">
      <w:pPr>
        <w:pStyle w:val="OutlineNumbered1"/>
        <w:ind w:left="567" w:hanging="567"/>
      </w:pPr>
      <w:r w:rsidRPr="00EA0A6E">
        <w:t xml:space="preserve">If the Regulator refuses to make a determination or denies an extension of time to submit a report, the decision may be </w:t>
      </w:r>
      <w:r w:rsidRPr="00EA0A6E">
        <w:rPr>
          <w:rStyle w:val="Strong"/>
          <w:rFonts w:asciiTheme="minorHAnsi" w:hAnsiTheme="minorHAnsi"/>
        </w:rPr>
        <w:t>reviewable</w:t>
      </w:r>
      <w:r w:rsidRPr="00EA0A6E">
        <w:t>. The applicant can seek reconsideration of the decision by applying to the Regulator for a review.</w:t>
      </w:r>
    </w:p>
    <w:p w14:paraId="66A4DB60" w14:textId="27C97B30" w:rsidR="000E0490" w:rsidRPr="00EA0A6E"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8965EC">
        <w:rPr>
          <w:b/>
          <w:bCs/>
        </w:rPr>
        <w:t>.</w:t>
      </w:r>
    </w:p>
    <w:p w14:paraId="5D80E231" w14:textId="77777777" w:rsidR="000E0490" w:rsidRDefault="000E0490" w:rsidP="000E0490">
      <w:pPr>
        <w:pStyle w:val="Heading2"/>
      </w:pPr>
      <w:bookmarkStart w:id="173" w:name="_Toc180688172"/>
      <w:bookmarkStart w:id="174" w:name="_Toc184822252"/>
      <w:r>
        <w:lastRenderedPageBreak/>
        <w:t>Reporting entity applications</w:t>
      </w:r>
      <w:bookmarkEnd w:id="173"/>
      <w:bookmarkEnd w:id="174"/>
    </w:p>
    <w:p w14:paraId="3472565B" w14:textId="77777777" w:rsidR="000E0490" w:rsidRDefault="000E0490" w:rsidP="000E0490">
      <w:pPr>
        <w:pStyle w:val="Heading3"/>
      </w:pPr>
      <w:bookmarkStart w:id="175" w:name="_Toc179215345"/>
      <w:bookmarkStart w:id="176" w:name="_Ref179826626"/>
      <w:bookmarkStart w:id="177" w:name="_Toc180688173"/>
      <w:bookmarkStart w:id="178" w:name="_Toc184822253"/>
      <w:r>
        <w:t>Volunteer Reporting Entity Applications</w:t>
      </w:r>
      <w:bookmarkEnd w:id="175"/>
      <w:bookmarkEnd w:id="176"/>
      <w:bookmarkEnd w:id="177"/>
      <w:bookmarkEnd w:id="178"/>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0B36" w14:paraId="1A0B5F55" w14:textId="77777777">
        <w:tc>
          <w:tcPr>
            <w:tcW w:w="5000" w:type="pct"/>
            <w:shd w:val="clear" w:color="auto" w:fill="FEF2E4" w:themeFill="accent5"/>
          </w:tcPr>
          <w:p w14:paraId="5573ABCB" w14:textId="635EA7C7" w:rsidR="00F70B36" w:rsidRPr="000553FE" w:rsidRDefault="00D86CB1">
            <w:pPr>
              <w:pStyle w:val="BoxHeading"/>
              <w:rPr>
                <w:b w:val="0"/>
              </w:rPr>
            </w:pPr>
            <w:r>
              <w:t>Regulator Note</w:t>
            </w:r>
          </w:p>
          <w:p w14:paraId="7EABA5FA" w14:textId="6D0AB361" w:rsidR="00F70B36" w:rsidRPr="008950C5" w:rsidRDefault="00D86CB1" w:rsidP="00D86CB1">
            <w:pPr>
              <w:pStyle w:val="BoxText"/>
            </w:pPr>
            <w:r w:rsidRPr="00D86CB1">
              <w:t xml:space="preserve">For information on whether an entity is eligible to apply for volunteer reporting entity status, the obligations of volunteer reporting entities, and how volunteer reporting entity status can be revoked, see </w:t>
            </w:r>
            <w:r w:rsidRPr="008965EC">
              <w:rPr>
                <w:rFonts w:asciiTheme="minorHAnsi" w:hAnsiTheme="minorHAnsi" w:cstheme="minorHAnsi"/>
                <w:b/>
                <w:bCs/>
                <w:color w:val="00827F" w:themeColor="accent2"/>
                <w:szCs w:val="22"/>
              </w:rPr>
              <w:fldChar w:fldCharType="begin"/>
            </w:r>
            <w:r w:rsidRPr="008965EC">
              <w:rPr>
                <w:rFonts w:asciiTheme="minorHAnsi" w:hAnsiTheme="minorHAnsi" w:cstheme="minorHAnsi"/>
                <w:b/>
                <w:bCs/>
                <w:color w:val="00827F" w:themeColor="accent2"/>
                <w:szCs w:val="22"/>
              </w:rPr>
              <w:instrText xml:space="preserve"> REF _Ref179827468 \h  \* MERGEFORMAT </w:instrText>
            </w:r>
            <w:r w:rsidRPr="008965EC">
              <w:rPr>
                <w:rFonts w:asciiTheme="minorHAnsi" w:hAnsiTheme="minorHAnsi" w:cstheme="minorHAnsi"/>
                <w:b/>
                <w:bCs/>
                <w:color w:val="00827F" w:themeColor="accent2"/>
                <w:szCs w:val="22"/>
              </w:rPr>
            </w:r>
            <w:r w:rsidRPr="008965EC">
              <w:rPr>
                <w:rFonts w:asciiTheme="minorHAnsi" w:hAnsiTheme="minorHAnsi" w:cstheme="minorHAnsi"/>
                <w:b/>
                <w:bCs/>
                <w:color w:val="00827F" w:themeColor="accent2"/>
                <w:szCs w:val="22"/>
              </w:rPr>
              <w:fldChar w:fldCharType="separate"/>
            </w:r>
            <w:r w:rsidRPr="008965EC">
              <w:rPr>
                <w:rFonts w:asciiTheme="minorHAnsi" w:hAnsiTheme="minorHAnsi" w:cstheme="minorHAnsi"/>
                <w:b/>
                <w:bCs/>
                <w:color w:val="00827F" w:themeColor="accent2"/>
                <w:szCs w:val="22"/>
              </w:rPr>
              <w:t>Volunteer reporting entities</w:t>
            </w:r>
            <w:r w:rsidRPr="008965EC">
              <w:rPr>
                <w:rFonts w:asciiTheme="minorHAnsi" w:hAnsiTheme="minorHAnsi" w:cstheme="minorHAnsi"/>
                <w:b/>
                <w:bCs/>
                <w:color w:val="00827F" w:themeColor="accent2"/>
                <w:szCs w:val="22"/>
              </w:rPr>
              <w:fldChar w:fldCharType="end"/>
            </w:r>
            <w:r w:rsidRPr="008965EC">
              <w:rPr>
                <w:b/>
                <w:bCs/>
              </w:rPr>
              <w:t>.</w:t>
            </w:r>
          </w:p>
        </w:tc>
      </w:tr>
    </w:tbl>
    <w:p w14:paraId="221B2B02" w14:textId="77777777" w:rsidR="000E0490" w:rsidRDefault="000E0490" w:rsidP="000E0490">
      <w:pPr>
        <w:pStyle w:val="Heading4"/>
      </w:pPr>
      <w:r>
        <w:t>Making an application</w:t>
      </w:r>
    </w:p>
    <w:p w14:paraId="074DA2CD" w14:textId="78EAE88A" w:rsidR="000E0490" w:rsidRPr="00EA0A6E" w:rsidRDefault="000E0490" w:rsidP="00AE41F1">
      <w:pPr>
        <w:pStyle w:val="OutlineNumbered1"/>
        <w:ind w:left="567" w:hanging="567"/>
      </w:pPr>
      <w:r w:rsidRPr="00EA0A6E">
        <w:t xml:space="preserve">Applications for volunteer reporting entity status must be submitted through </w:t>
      </w:r>
      <w:hyperlink r:id="rId61" w:history="1">
        <w:r w:rsidR="00841C0D">
          <w:rPr>
            <w:rStyle w:val="Hyperlink"/>
          </w:rPr>
          <w:t>the</w:t>
        </w:r>
        <w:r w:rsidR="00841C0D" w:rsidRPr="004979D3">
          <w:rPr>
            <w:rStyle w:val="Hyperlink"/>
          </w:rPr>
          <w:t xml:space="preserve"> Portal</w:t>
        </w:r>
      </w:hyperlink>
      <w:r w:rsidRPr="00EA0A6E">
        <w:t>. The applicant must provide:</w:t>
      </w:r>
    </w:p>
    <w:p w14:paraId="486B595B" w14:textId="77777777" w:rsidR="000E0490" w:rsidRPr="00EA0A6E" w:rsidRDefault="000E0490" w:rsidP="00AE41F1">
      <w:pPr>
        <w:pStyle w:val="OutlineNumberedDot"/>
        <w:ind w:left="851" w:hanging="284"/>
      </w:pPr>
      <w:r w:rsidRPr="00EA0A6E">
        <w:t>Identifying information</w:t>
      </w:r>
    </w:p>
    <w:p w14:paraId="594FCB74" w14:textId="77777777" w:rsidR="000E0490" w:rsidRPr="00EA0A6E" w:rsidRDefault="000E0490" w:rsidP="00AE41F1">
      <w:pPr>
        <w:pStyle w:val="OutlineNumberedDot"/>
        <w:ind w:left="851" w:hanging="284"/>
      </w:pPr>
      <w:r w:rsidRPr="00EA0A6E">
        <w:t>The identity of the responsible member who approved the application, and</w:t>
      </w:r>
    </w:p>
    <w:p w14:paraId="653D0159" w14:textId="6A0AA832" w:rsidR="000E0490" w:rsidRPr="00EA0A6E" w:rsidRDefault="000E0490" w:rsidP="00AE41F1">
      <w:pPr>
        <w:pStyle w:val="OutlineNumberedDot"/>
        <w:ind w:left="851" w:hanging="284"/>
      </w:pPr>
      <w:r w:rsidRPr="00EA0A6E">
        <w:t xml:space="preserve">Any other information required by </w:t>
      </w:r>
      <w:hyperlink r:id="rId62" w:history="1">
        <w:r w:rsidR="00841C0D">
          <w:rPr>
            <w:rStyle w:val="Hyperlink"/>
          </w:rPr>
          <w:t>the</w:t>
        </w:r>
        <w:r w:rsidR="00841C0D" w:rsidRPr="004979D3">
          <w:rPr>
            <w:rStyle w:val="Hyperlink"/>
          </w:rPr>
          <w:t xml:space="preserve"> Portal</w:t>
        </w:r>
      </w:hyperlink>
      <w:r w:rsidRPr="00EA0A6E">
        <w:t xml:space="preserve"> form.</w:t>
      </w:r>
    </w:p>
    <w:p w14:paraId="706995DC" w14:textId="77777777" w:rsidR="000E0490" w:rsidRPr="00EA0A6E" w:rsidRDefault="000E0490" w:rsidP="00AE41F1">
      <w:pPr>
        <w:pStyle w:val="OutlineNumbered1"/>
        <w:ind w:left="567" w:hanging="567"/>
      </w:pPr>
      <w:r w:rsidRPr="00EA0A6E">
        <w:t>Applicants may also attach supporting documents relevant to its application, such as:</w:t>
      </w:r>
    </w:p>
    <w:p w14:paraId="1DA713A8" w14:textId="77777777" w:rsidR="000E0490" w:rsidRPr="00EA0A6E" w:rsidRDefault="000E0490" w:rsidP="00AE41F1">
      <w:pPr>
        <w:pStyle w:val="OutlineNumberedDot"/>
        <w:ind w:left="851" w:hanging="284"/>
      </w:pPr>
      <w:r w:rsidRPr="00EA0A6E">
        <w:t xml:space="preserve">Evidence of registration under the </w:t>
      </w:r>
      <w:r w:rsidRPr="00245277">
        <w:rPr>
          <w:iCs/>
        </w:rPr>
        <w:t>ACNC Act</w:t>
      </w:r>
    </w:p>
    <w:p w14:paraId="2DA9DBE4" w14:textId="77777777" w:rsidR="000E0490" w:rsidRPr="00605DDA" w:rsidRDefault="000E0490" w:rsidP="00AE41F1">
      <w:pPr>
        <w:pStyle w:val="OutlineNumberedDot"/>
        <w:ind w:left="851" w:hanging="284"/>
        <w:rPr>
          <w:rFonts w:ascii="Times New Roman" w:hAnsi="Times New Roman"/>
          <w:sz w:val="24"/>
          <w:szCs w:val="24"/>
        </w:rPr>
      </w:pPr>
      <w:r w:rsidRPr="00EA0A6E">
        <w:t>Financial statements to demonstrate that the applicant is not already a reporting entity under the Act</w:t>
      </w:r>
      <w:r>
        <w:t>, or</w:t>
      </w:r>
    </w:p>
    <w:p w14:paraId="686574B8" w14:textId="77777777" w:rsidR="000E0490" w:rsidRPr="00AA73E2" w:rsidRDefault="000E0490" w:rsidP="00AE41F1">
      <w:pPr>
        <w:pStyle w:val="OutlineNumberedDot"/>
        <w:ind w:left="851" w:hanging="284"/>
        <w:rPr>
          <w:rFonts w:ascii="Times New Roman" w:hAnsi="Times New Roman"/>
          <w:sz w:val="24"/>
          <w:szCs w:val="24"/>
        </w:rPr>
      </w:pPr>
      <w:r>
        <w:t>Corporate group information to demonstrate that the entity is not controlled by a reporting entity.</w:t>
      </w:r>
    </w:p>
    <w:p w14:paraId="173BAE35" w14:textId="77777777" w:rsidR="000E0490" w:rsidRDefault="000E0490" w:rsidP="00AE41F1">
      <w:pPr>
        <w:pStyle w:val="OutlineNumbered1"/>
        <w:ind w:left="567" w:hanging="567"/>
      </w:pPr>
      <w:r>
        <w:t xml:space="preserve">An application may specify the time from which the entity </w:t>
      </w:r>
      <w:r w:rsidRPr="000052E5">
        <w:t>intends to start reporting,</w:t>
      </w:r>
      <w:r>
        <w:t xml:space="preserve"> which must be either the start of the reporting period in which the application is made or the start of the following reporting period. </w:t>
      </w:r>
    </w:p>
    <w:p w14:paraId="6796E84A" w14:textId="77777777" w:rsidR="000E0490" w:rsidRDefault="000E0490" w:rsidP="00AE41F1">
      <w:pPr>
        <w:pStyle w:val="OutlineNumbered1"/>
        <w:ind w:left="567" w:hanging="567"/>
        <w:rPr>
          <w:rFonts w:ascii="Times New Roman" w:hAnsi="Times New Roman"/>
          <w:sz w:val="24"/>
          <w:szCs w:val="24"/>
        </w:rPr>
      </w:pPr>
      <w:r>
        <w:t>If the application does not specify an intended start time, if made, the determination will take effect at the start of the reporting period that begins after the Regulator makes the determination.</w:t>
      </w:r>
    </w:p>
    <w:p w14:paraId="235A5233" w14:textId="77777777" w:rsidR="000E0490" w:rsidRPr="00FA6540" w:rsidRDefault="000E0490" w:rsidP="000E0490">
      <w:pPr>
        <w:pStyle w:val="Heading4"/>
      </w:pPr>
      <w:r>
        <w:t>Assessment of</w:t>
      </w:r>
      <w:r w:rsidRPr="00C02A3C">
        <w:t xml:space="preserve"> the application</w:t>
      </w:r>
    </w:p>
    <w:p w14:paraId="5B1036E8" w14:textId="77777777" w:rsidR="000E0490" w:rsidRPr="00EA0A6E" w:rsidRDefault="000E0490" w:rsidP="004D5A1A">
      <w:pPr>
        <w:pStyle w:val="OutlineNumbered1"/>
        <w:spacing w:before="120"/>
        <w:ind w:left="567" w:hanging="567"/>
      </w:pPr>
      <w:r w:rsidRPr="00EA0A6E">
        <w:t xml:space="preserve">When assessing a volunteer reporting entity application, the Regulator may </w:t>
      </w:r>
      <w:r>
        <w:t>require</w:t>
      </w:r>
      <w:r w:rsidRPr="00EA0A6E">
        <w:t xml:space="preserve"> financial evidence (financial report, tax return, declaration) or </w:t>
      </w:r>
      <w:r>
        <w:t>corporate</w:t>
      </w:r>
      <w:r w:rsidRPr="00EA0A6E">
        <w:t xml:space="preserve"> structure information to be satisfied that the applicant is not a reporting entity, or controlled by another entity that is a reporting entity.</w:t>
      </w:r>
    </w:p>
    <w:p w14:paraId="18174DF5" w14:textId="77777777" w:rsidR="000E0490" w:rsidRPr="00EA0A6E" w:rsidRDefault="000E0490" w:rsidP="004D5A1A">
      <w:pPr>
        <w:pStyle w:val="OutlineNumbered1"/>
        <w:spacing w:before="120"/>
        <w:ind w:left="567" w:hanging="567"/>
      </w:pPr>
      <w:r w:rsidRPr="00EA0A6E">
        <w:t xml:space="preserve">Refusal by the Regulator to grant a volunteer reporting entity determination is a reviewable decision. The applicant can seek reconsideration of the decision by making an application for </w:t>
      </w:r>
      <w:r>
        <w:t>a</w:t>
      </w:r>
      <w:r w:rsidRPr="00EA0A6E">
        <w:t xml:space="preserve"> review.</w:t>
      </w:r>
    </w:p>
    <w:p w14:paraId="51166427" w14:textId="77777777" w:rsidR="000E0490" w:rsidRPr="00EA0A6E" w:rsidRDefault="000E0490" w:rsidP="004D5A1A">
      <w:pPr>
        <w:pStyle w:val="OutlineNumbered1"/>
        <w:spacing w:before="120"/>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3C2458">
        <w:t>.</w:t>
      </w:r>
    </w:p>
    <w:p w14:paraId="630D1631" w14:textId="77777777" w:rsidR="000E0490" w:rsidRDefault="000E0490" w:rsidP="000E0490">
      <w:pPr>
        <w:pStyle w:val="Heading3"/>
      </w:pPr>
      <w:bookmarkStart w:id="179" w:name="_Toc179215346"/>
      <w:bookmarkStart w:id="180" w:name="_Ref179826684"/>
      <w:bookmarkStart w:id="181" w:name="_Toc180688174"/>
      <w:bookmarkStart w:id="182" w:name="_Toc184822254"/>
      <w:r>
        <w:lastRenderedPageBreak/>
        <w:t>Nominee &amp; Subsidiary Reporting Entity Applications</w:t>
      </w:r>
      <w:bookmarkEnd w:id="179"/>
      <w:bookmarkEnd w:id="180"/>
      <w:bookmarkEnd w:id="181"/>
      <w:bookmarkEnd w:id="182"/>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0B36" w14:paraId="5AC2FC81" w14:textId="77777777">
        <w:tc>
          <w:tcPr>
            <w:tcW w:w="5000" w:type="pct"/>
            <w:shd w:val="clear" w:color="auto" w:fill="FEF2E4" w:themeFill="accent5"/>
          </w:tcPr>
          <w:p w14:paraId="4DF841D2" w14:textId="1EB8BF2F" w:rsidR="00F70B36" w:rsidRPr="000553FE" w:rsidRDefault="00D86CB1">
            <w:pPr>
              <w:pStyle w:val="BoxHeading"/>
              <w:rPr>
                <w:b w:val="0"/>
              </w:rPr>
            </w:pPr>
            <w:r>
              <w:t>Regulator Note</w:t>
            </w:r>
          </w:p>
          <w:p w14:paraId="20EA3F50" w14:textId="5CB76B59" w:rsidR="00D86CB1" w:rsidRDefault="00D86CB1" w:rsidP="00D86CB1">
            <w:pPr>
              <w:pStyle w:val="BoxText"/>
            </w:pPr>
            <w:r>
              <w:t>For information about eligibility, obligations, and revocation of status for:</w:t>
            </w:r>
          </w:p>
          <w:p w14:paraId="558B9530" w14:textId="01AFBD5D" w:rsidR="00D86CB1" w:rsidRDefault="00D86CB1" w:rsidP="00D86CB1">
            <w:pPr>
              <w:pStyle w:val="BoxText"/>
            </w:pPr>
            <w:r>
              <w:t xml:space="preserve">Nominee reporting entities, see </w:t>
            </w:r>
            <w:r w:rsidR="00173D68" w:rsidRPr="008965EC">
              <w:rPr>
                <w:b/>
                <w:bCs/>
                <w:color w:val="00827F" w:themeColor="accent2"/>
              </w:rPr>
              <w:fldChar w:fldCharType="begin"/>
            </w:r>
            <w:r w:rsidR="00173D68" w:rsidRPr="008965EC">
              <w:rPr>
                <w:b/>
                <w:bCs/>
                <w:color w:val="00827F" w:themeColor="accent2"/>
              </w:rPr>
              <w:instrText xml:space="preserve"> REF _Ref179826532 \h  \* MERGEFORMAT </w:instrText>
            </w:r>
            <w:r w:rsidR="00173D68" w:rsidRPr="008965EC">
              <w:rPr>
                <w:b/>
                <w:bCs/>
                <w:color w:val="00827F" w:themeColor="accent2"/>
              </w:rPr>
            </w:r>
            <w:r w:rsidR="00173D68" w:rsidRPr="008965EC">
              <w:rPr>
                <w:b/>
                <w:bCs/>
                <w:color w:val="00827F" w:themeColor="accent2"/>
              </w:rPr>
              <w:fldChar w:fldCharType="separate"/>
            </w:r>
            <w:r w:rsidR="00173D68" w:rsidRPr="008965EC">
              <w:rPr>
                <w:b/>
                <w:bCs/>
                <w:color w:val="00827F" w:themeColor="accent2"/>
              </w:rPr>
              <w:t>Nominee reporting entities</w:t>
            </w:r>
            <w:r w:rsidR="00173D68" w:rsidRPr="008965EC">
              <w:rPr>
                <w:b/>
                <w:bCs/>
                <w:color w:val="00827F" w:themeColor="accent2"/>
              </w:rPr>
              <w:fldChar w:fldCharType="end"/>
            </w:r>
            <w:r>
              <w:t>.</w:t>
            </w:r>
          </w:p>
          <w:p w14:paraId="730D27F6" w14:textId="0F42FD52" w:rsidR="00F70B36" w:rsidRPr="008950C5" w:rsidRDefault="00D86CB1" w:rsidP="00173D68">
            <w:pPr>
              <w:pStyle w:val="BoxText"/>
            </w:pPr>
            <w:r>
              <w:t xml:space="preserve">Subsidiary reporting entities, see </w:t>
            </w:r>
            <w:r w:rsidR="00173D68" w:rsidRPr="008965EC">
              <w:rPr>
                <w:b/>
                <w:bCs/>
                <w:color w:val="00827F" w:themeColor="accent2"/>
              </w:rPr>
              <w:fldChar w:fldCharType="begin"/>
            </w:r>
            <w:r w:rsidR="00173D68" w:rsidRPr="008965EC">
              <w:rPr>
                <w:b/>
                <w:bCs/>
                <w:color w:val="00827F" w:themeColor="accent2"/>
              </w:rPr>
              <w:instrText xml:space="preserve"> REF _Ref179827526 \h  \* MERGEFORMAT </w:instrText>
            </w:r>
            <w:r w:rsidR="00173D68" w:rsidRPr="008965EC">
              <w:rPr>
                <w:b/>
                <w:bCs/>
                <w:color w:val="00827F" w:themeColor="accent2"/>
              </w:rPr>
            </w:r>
            <w:r w:rsidR="00173D68" w:rsidRPr="008965EC">
              <w:rPr>
                <w:b/>
                <w:bCs/>
                <w:color w:val="00827F" w:themeColor="accent2"/>
              </w:rPr>
              <w:fldChar w:fldCharType="separate"/>
            </w:r>
            <w:r w:rsidR="00173D68" w:rsidRPr="008965EC">
              <w:rPr>
                <w:b/>
                <w:bCs/>
                <w:color w:val="00827F" w:themeColor="accent2"/>
              </w:rPr>
              <w:t>Subsidiary reporting entities</w:t>
            </w:r>
            <w:r w:rsidR="00173D68" w:rsidRPr="008965EC">
              <w:rPr>
                <w:b/>
                <w:bCs/>
                <w:color w:val="00827F" w:themeColor="accent2"/>
              </w:rPr>
              <w:fldChar w:fldCharType="end"/>
            </w:r>
            <w:r>
              <w:t>.</w:t>
            </w:r>
          </w:p>
        </w:tc>
      </w:tr>
    </w:tbl>
    <w:p w14:paraId="4456BC09" w14:textId="35AC163C" w:rsidR="000E0490" w:rsidRPr="00EA0A6E" w:rsidRDefault="000E0490" w:rsidP="00FE1AFD">
      <w:pPr>
        <w:pStyle w:val="OutlineNumbered1"/>
        <w:spacing w:before="240"/>
        <w:ind w:left="567" w:hanging="567"/>
      </w:pPr>
      <w:r w:rsidRPr="00EA0A6E">
        <w:t xml:space="preserve">Nominee </w:t>
      </w:r>
      <w:r w:rsidRPr="003255BE">
        <w:rPr>
          <w:rStyle w:val="GRRParanumbersChar"/>
        </w:rPr>
        <w:t xml:space="preserve">and subsidiary reporting entities modify and reassign reporting obligations within a group. A nominee reporting entity </w:t>
      </w:r>
      <w:r w:rsidR="00957D3F">
        <w:rPr>
          <w:rStyle w:val="GRRParanumbersChar"/>
        </w:rPr>
        <w:t>is</w:t>
      </w:r>
      <w:r w:rsidR="00957D3F" w:rsidRPr="003255BE">
        <w:rPr>
          <w:rStyle w:val="GRRParanumbersChar"/>
        </w:rPr>
        <w:t xml:space="preserve"> </w:t>
      </w:r>
      <w:r w:rsidRPr="003255BE">
        <w:rPr>
          <w:rStyle w:val="GRRParanumbersChar"/>
        </w:rPr>
        <w:t>a nominee</w:t>
      </w:r>
      <w:r w:rsidR="00957D3F">
        <w:rPr>
          <w:rStyle w:val="GRRParanumbersChar"/>
        </w:rPr>
        <w:t xml:space="preserve"> placed</w:t>
      </w:r>
      <w:r w:rsidRPr="003255BE">
        <w:rPr>
          <w:rStyle w:val="GRRParanumbersChar"/>
        </w:rPr>
        <w:t xml:space="preserve"> at the top of the reporting group to report on behalf of one or several cont</w:t>
      </w:r>
      <w:r w:rsidRPr="00EA0A6E">
        <w:t>rolled reporting entities. A subsidiary reporting entity is removed from a consolidated group and reports separately.</w:t>
      </w:r>
    </w:p>
    <w:p w14:paraId="4E7870A6" w14:textId="77777777" w:rsidR="000E0490" w:rsidRPr="00283D5C" w:rsidRDefault="000E0490" w:rsidP="000E0490">
      <w:pPr>
        <w:pStyle w:val="Heading4"/>
        <w:rPr>
          <w:bCs w:val="0"/>
          <w:sz w:val="27"/>
          <w:szCs w:val="27"/>
        </w:rPr>
      </w:pPr>
      <w:r w:rsidRPr="00283D5C">
        <w:rPr>
          <w:sz w:val="27"/>
          <w:szCs w:val="27"/>
        </w:rPr>
        <w:t xml:space="preserve">Making an </w:t>
      </w:r>
      <w:r>
        <w:rPr>
          <w:sz w:val="27"/>
          <w:szCs w:val="27"/>
        </w:rPr>
        <w:t>a</w:t>
      </w:r>
      <w:r w:rsidRPr="00283D5C">
        <w:rPr>
          <w:sz w:val="27"/>
          <w:szCs w:val="27"/>
        </w:rPr>
        <w:t>pplication</w:t>
      </w:r>
    </w:p>
    <w:p w14:paraId="7D865FCD" w14:textId="07CA90E1" w:rsidR="000E0490" w:rsidRPr="00EA0A6E" w:rsidRDefault="000E0490" w:rsidP="00AE41F1">
      <w:pPr>
        <w:pStyle w:val="OutlineNumbered1"/>
        <w:ind w:left="567" w:hanging="567"/>
      </w:pPr>
      <w:r w:rsidRPr="00EA0A6E">
        <w:t>Applications for nominee and subsidiary reporting entity status must be submitted through</w:t>
      </w:r>
      <w:r w:rsidR="008965EC">
        <w:br/>
      </w:r>
      <w:hyperlink r:id="rId63" w:history="1">
        <w:r w:rsidR="00841C0D">
          <w:rPr>
            <w:rStyle w:val="Hyperlink"/>
          </w:rPr>
          <w:t>the</w:t>
        </w:r>
        <w:r w:rsidR="00841C0D" w:rsidRPr="004979D3">
          <w:rPr>
            <w:rStyle w:val="Hyperlink"/>
          </w:rPr>
          <w:t xml:space="preserve"> Portal</w:t>
        </w:r>
      </w:hyperlink>
      <w:r w:rsidR="00841C0D">
        <w:rPr>
          <w:rStyle w:val="Hyperlink"/>
        </w:rPr>
        <w:t xml:space="preserve"> </w:t>
      </w:r>
      <w:r w:rsidRPr="00EA0A6E">
        <w:t>and include all information required by the application form. The applicant must provide:</w:t>
      </w:r>
    </w:p>
    <w:p w14:paraId="271630F6" w14:textId="089491EA" w:rsidR="000E0490" w:rsidRPr="00EA0A6E" w:rsidRDefault="000E0490" w:rsidP="00AE41F1">
      <w:pPr>
        <w:pStyle w:val="OutlineNumberedDot"/>
        <w:ind w:left="851" w:hanging="284"/>
      </w:pPr>
      <w:r w:rsidRPr="00EA0A6E">
        <w:t>Identifying information</w:t>
      </w:r>
      <w:r w:rsidR="000A42D7">
        <w:t>; and</w:t>
      </w:r>
    </w:p>
    <w:p w14:paraId="19612004" w14:textId="77777777" w:rsidR="000E0490" w:rsidRPr="00EA0A6E" w:rsidRDefault="000E0490" w:rsidP="00AE41F1">
      <w:pPr>
        <w:pStyle w:val="OutlineNumberedDot"/>
        <w:ind w:left="851" w:hanging="284"/>
      </w:pPr>
      <w:r w:rsidRPr="00EA0A6E">
        <w:t>The identity of the responsible member who approved the application.</w:t>
      </w:r>
    </w:p>
    <w:p w14:paraId="3E15FA57" w14:textId="77777777" w:rsidR="000E0490" w:rsidRPr="00EA0A6E" w:rsidRDefault="000E0490" w:rsidP="00AE41F1">
      <w:pPr>
        <w:pStyle w:val="OutlineNumbered1"/>
        <w:ind w:left="567" w:hanging="567"/>
      </w:pPr>
      <w:r w:rsidRPr="00EA0A6E">
        <w:t>For nominee reporting entity applications, the applicant must also specify which reporting entities and controlled entities will be included in their reports. Nominees can apply to report on behalf of:</w:t>
      </w:r>
    </w:p>
    <w:p w14:paraId="6C31C0FB" w14:textId="41D35C99" w:rsidR="000E0490" w:rsidRPr="00EA0A6E" w:rsidRDefault="000E0490" w:rsidP="00AE41F1">
      <w:pPr>
        <w:pStyle w:val="OutlineNumberedDot"/>
        <w:ind w:left="851" w:hanging="284"/>
      </w:pPr>
      <w:r w:rsidRPr="00EA0A6E">
        <w:t>All</w:t>
      </w:r>
      <w:r w:rsidRPr="00EA0A6E" w:rsidDel="00BE2ED5">
        <w:t xml:space="preserve"> </w:t>
      </w:r>
      <w:r w:rsidR="00BE2ED5">
        <w:t>of their</w:t>
      </w:r>
      <w:r w:rsidR="00BE2ED5" w:rsidRPr="00EA0A6E">
        <w:t xml:space="preserve"> </w:t>
      </w:r>
      <w:r w:rsidRPr="00EA0A6E">
        <w:t>controlled entities</w:t>
      </w:r>
      <w:r w:rsidR="00EC2BD1">
        <w:t xml:space="preserve"> (a</w:t>
      </w:r>
      <w:r w:rsidR="0012579C">
        <w:t>t least one must be</w:t>
      </w:r>
      <w:r w:rsidR="001C3A98">
        <w:t xml:space="preserve"> a reporting entity)</w:t>
      </w:r>
    </w:p>
    <w:p w14:paraId="4BC5542B" w14:textId="77777777" w:rsidR="000E0490" w:rsidRPr="00EA0A6E" w:rsidRDefault="000E0490" w:rsidP="00AE41F1">
      <w:pPr>
        <w:pStyle w:val="OutlineNumberedDot"/>
        <w:ind w:left="851" w:hanging="284"/>
      </w:pPr>
      <w:r w:rsidRPr="00EA0A6E">
        <w:t>All controlled reporting entities, or</w:t>
      </w:r>
    </w:p>
    <w:p w14:paraId="6C3AE08B" w14:textId="77777777" w:rsidR="000E0490" w:rsidRPr="00EA0A6E" w:rsidRDefault="000E0490" w:rsidP="00AE41F1">
      <w:pPr>
        <w:pStyle w:val="OutlineNumberedDot"/>
        <w:ind w:left="851" w:hanging="284"/>
      </w:pPr>
      <w:r w:rsidRPr="00EA0A6E">
        <w:t>Only some entities in its group.</w:t>
      </w:r>
    </w:p>
    <w:p w14:paraId="29C5160E" w14:textId="77777777" w:rsidR="000E0490" w:rsidRPr="00EA0A6E" w:rsidRDefault="000E0490" w:rsidP="00AE41F1">
      <w:pPr>
        <w:pStyle w:val="OutlineNumbered1"/>
        <w:ind w:left="567" w:hanging="567"/>
      </w:pPr>
      <w:r w:rsidRPr="00EA0A6E">
        <w:t>Applicants should include the following documents to support the application:</w:t>
      </w:r>
    </w:p>
    <w:p w14:paraId="08EBDDBF" w14:textId="5900C52C" w:rsidR="000E0490" w:rsidRPr="00EA0A6E" w:rsidRDefault="000E0490" w:rsidP="00AE41F1">
      <w:pPr>
        <w:pStyle w:val="OutlineNumberedDot"/>
        <w:ind w:left="851" w:hanging="284"/>
      </w:pPr>
      <w:r w:rsidRPr="00EA0A6E">
        <w:t xml:space="preserve">A submission explaining why the </w:t>
      </w:r>
      <w:r>
        <w:t>applicant</w:t>
      </w:r>
      <w:r w:rsidRPr="00EA0A6E">
        <w:t xml:space="preserve"> is applying to report under the proposed structure</w:t>
      </w:r>
      <w:r w:rsidR="00EE0E07">
        <w:t>,</w:t>
      </w:r>
    </w:p>
    <w:p w14:paraId="5BA6A6E0" w14:textId="77777777" w:rsidR="000E0490" w:rsidRPr="00EA0A6E" w:rsidRDefault="000E0490" w:rsidP="00AE41F1">
      <w:pPr>
        <w:pStyle w:val="OutlineNumberedDot"/>
        <w:ind w:left="851" w:hanging="284"/>
      </w:pPr>
      <w:r w:rsidRPr="00EA0A6E">
        <w:t xml:space="preserve">Submissions outlining how the modified reporting arrangements would improve transparency of the </w:t>
      </w:r>
      <w:r>
        <w:t>applicant’s</w:t>
      </w:r>
      <w:r w:rsidRPr="00EA0A6E">
        <w:t xml:space="preserve"> </w:t>
      </w:r>
      <w:r>
        <w:t xml:space="preserve">and consolidated group’s </w:t>
      </w:r>
      <w:r w:rsidRPr="00EA0A6E">
        <w:t>payment times and practices for users of payment times information, and</w:t>
      </w:r>
    </w:p>
    <w:p w14:paraId="235CCBF3" w14:textId="77777777" w:rsidR="000E0490" w:rsidRPr="00B61DBC" w:rsidRDefault="000E0490" w:rsidP="00AE41F1">
      <w:pPr>
        <w:pStyle w:val="OutlineNumberedDot"/>
        <w:ind w:left="851" w:hanging="284"/>
        <w:rPr>
          <w:rFonts w:ascii="Times New Roman" w:hAnsi="Times New Roman"/>
          <w:sz w:val="24"/>
          <w:szCs w:val="24"/>
        </w:rPr>
      </w:pPr>
      <w:r w:rsidRPr="00EA0A6E">
        <w:t xml:space="preserve">Documents detailing the </w:t>
      </w:r>
      <w:r>
        <w:t xml:space="preserve">corporate structure of the </w:t>
      </w:r>
      <w:r w:rsidRPr="00EA0A6E">
        <w:t>applicant’s group, financial statements, and any relevant management accounts for specific entities.</w:t>
      </w:r>
    </w:p>
    <w:p w14:paraId="3A08E452" w14:textId="77777777" w:rsidR="000E0490" w:rsidRPr="00605DDA" w:rsidRDefault="000E0490" w:rsidP="00AE41F1">
      <w:pPr>
        <w:pStyle w:val="OutlineNumbered1"/>
        <w:ind w:left="567" w:hanging="567"/>
      </w:pPr>
      <w:r w:rsidRPr="00605DDA">
        <w:t xml:space="preserve">An application may specify the time </w:t>
      </w:r>
      <w:r>
        <w:t xml:space="preserve">from which </w:t>
      </w:r>
      <w:r w:rsidRPr="00605DDA">
        <w:t xml:space="preserve">the entity </w:t>
      </w:r>
      <w:r>
        <w:t>proposes</w:t>
      </w:r>
      <w:r w:rsidRPr="00605DDA">
        <w:t xml:space="preserve"> to start reporting</w:t>
      </w:r>
      <w:r>
        <w:t xml:space="preserve"> under the new reporting structure</w:t>
      </w:r>
      <w:r w:rsidRPr="00605DDA">
        <w:t xml:space="preserve">, which must be either the start of the reporting period in which the application is made or the start of the following reporting period. </w:t>
      </w:r>
    </w:p>
    <w:p w14:paraId="022BFCBA" w14:textId="77777777" w:rsidR="000E0490" w:rsidRPr="001771C1" w:rsidRDefault="000E0490" w:rsidP="00AE41F1">
      <w:pPr>
        <w:pStyle w:val="OutlineNumbered1"/>
        <w:ind w:left="567" w:hanging="567"/>
        <w:rPr>
          <w:rFonts w:ascii="Times New Roman" w:hAnsi="Times New Roman"/>
          <w:sz w:val="24"/>
          <w:szCs w:val="24"/>
        </w:rPr>
      </w:pPr>
      <w:r w:rsidRPr="00605DDA">
        <w:t xml:space="preserve">If the application does not specify a </w:t>
      </w:r>
      <w:r>
        <w:t>proposed</w:t>
      </w:r>
      <w:r w:rsidRPr="00605DDA">
        <w:t xml:space="preserve"> start time, </w:t>
      </w:r>
      <w:r>
        <w:t>if made, the</w:t>
      </w:r>
      <w:r w:rsidRPr="00605DDA">
        <w:t xml:space="preserve"> determination </w:t>
      </w:r>
      <w:r>
        <w:t xml:space="preserve">will </w:t>
      </w:r>
      <w:r w:rsidRPr="00605DDA">
        <w:t>take effect at the start of the reporting period that begins after the Regulator makes the determination.</w:t>
      </w:r>
    </w:p>
    <w:p w14:paraId="7DA05F85" w14:textId="77777777" w:rsidR="00912E86" w:rsidRDefault="00912E86">
      <w:pPr>
        <w:spacing w:before="0" w:after="160" w:line="259" w:lineRule="auto"/>
        <w:rPr>
          <w:rFonts w:eastAsiaTheme="minorHAnsi" w:cs="Arial"/>
          <w:b/>
          <w:bCs/>
          <w:color w:val="002C47" w:themeColor="accent1"/>
          <w:kern w:val="32"/>
          <w:szCs w:val="22"/>
        </w:rPr>
      </w:pPr>
      <w:r>
        <w:br w:type="page"/>
      </w:r>
    </w:p>
    <w:p w14:paraId="6C8B245D" w14:textId="77777777" w:rsidR="000E0490" w:rsidRPr="005204EC" w:rsidRDefault="000E0490" w:rsidP="000E0490">
      <w:pPr>
        <w:pStyle w:val="Heading4"/>
      </w:pPr>
      <w:r w:rsidRPr="005204EC">
        <w:lastRenderedPageBreak/>
        <w:t>Assessment of the Application</w:t>
      </w:r>
    </w:p>
    <w:p w14:paraId="30FEF7DA" w14:textId="77777777" w:rsidR="000E0490" w:rsidRPr="00EA0A6E" w:rsidRDefault="000E0490" w:rsidP="00AE41F1">
      <w:pPr>
        <w:pStyle w:val="OutlineNumbered1"/>
        <w:ind w:left="567" w:hanging="567"/>
      </w:pPr>
      <w:r w:rsidRPr="00EA0A6E">
        <w:t>For nominee reporting entity applications, the Regulator must be satisfied that:</w:t>
      </w:r>
    </w:p>
    <w:p w14:paraId="40773E89" w14:textId="77777777" w:rsidR="000E0490" w:rsidRPr="00EA0A6E" w:rsidRDefault="000E0490" w:rsidP="00AE41F1">
      <w:pPr>
        <w:pStyle w:val="OutlineNumberedDot"/>
        <w:ind w:left="851" w:hanging="284"/>
      </w:pPr>
      <w:r w:rsidRPr="00EA0A6E">
        <w:t>The applicant is not already a reporting entity and controls at least one reporting entity, and</w:t>
      </w:r>
    </w:p>
    <w:p w14:paraId="39A6ED87" w14:textId="77777777" w:rsidR="000E0490" w:rsidRPr="00EA0A6E" w:rsidRDefault="000E0490" w:rsidP="00AE41F1">
      <w:pPr>
        <w:pStyle w:val="OutlineNumberedDot"/>
        <w:ind w:left="851" w:hanging="284"/>
      </w:pPr>
      <w:r w:rsidRPr="00EA0A6E">
        <w:t>Consolidated reporting by the applicant would be consistent with the objects of the Act and would not be contrary to the public interest.</w:t>
      </w:r>
    </w:p>
    <w:p w14:paraId="53F33320" w14:textId="77777777" w:rsidR="000E0490" w:rsidRPr="00EA0A6E" w:rsidRDefault="000E0490" w:rsidP="00AE41F1">
      <w:pPr>
        <w:pStyle w:val="OutlineNumbered1"/>
        <w:ind w:left="567" w:hanging="567"/>
      </w:pPr>
      <w:r w:rsidRPr="00EA0A6E">
        <w:t xml:space="preserve">For subsidiary reporting entity applications, the Regulator must </w:t>
      </w:r>
      <w:r>
        <w:t xml:space="preserve">also </w:t>
      </w:r>
      <w:r w:rsidRPr="00EA0A6E">
        <w:t>be satisfied that having the subsidiary report separately from its group would align with the objects of the Act and not be contrary to the public interest.</w:t>
      </w:r>
    </w:p>
    <w:p w14:paraId="33FD3FB9" w14:textId="77777777" w:rsidR="000E0490" w:rsidRPr="00EA0A6E" w:rsidRDefault="000E0490" w:rsidP="00AE41F1">
      <w:pPr>
        <w:pStyle w:val="OutlineNumbered1"/>
        <w:ind w:left="567" w:hanging="567"/>
      </w:pPr>
      <w:r w:rsidRPr="00EA0A6E">
        <w:t xml:space="preserve">Applicants should address these requirements in their submissions, specifically explaining how </w:t>
      </w:r>
      <w:r>
        <w:t xml:space="preserve">the proposed reporting structure </w:t>
      </w:r>
      <w:r w:rsidRPr="00EA0A6E">
        <w:t>would enhance transparency of payment times and practices.</w:t>
      </w:r>
    </w:p>
    <w:p w14:paraId="158261AB" w14:textId="77777777" w:rsidR="000E0490" w:rsidRPr="00EA0A6E" w:rsidRDefault="000E0490" w:rsidP="00AE41F1">
      <w:pPr>
        <w:pStyle w:val="OutlineNumbered1"/>
        <w:ind w:left="567" w:hanging="567"/>
      </w:pPr>
      <w:r w:rsidRPr="00EA0A6E">
        <w:t>As a general principle, the Regulator considers consolidated reporting to provide the greatest transparency of a group’s payment times, terms, and practices. When preparing a submission to modify a reporting structure, applicants should consider:</w:t>
      </w:r>
    </w:p>
    <w:p w14:paraId="45E99F35" w14:textId="77777777" w:rsidR="000E0490" w:rsidRPr="00EA0A6E" w:rsidRDefault="000E0490" w:rsidP="00AE41F1">
      <w:pPr>
        <w:pStyle w:val="OutlineNumberedDot"/>
        <w:ind w:left="851" w:hanging="284"/>
      </w:pPr>
      <w:r w:rsidRPr="00EA0A6E">
        <w:t>How the proposed reporting structure might affect the perspective of an external user of payment times information, and</w:t>
      </w:r>
    </w:p>
    <w:p w14:paraId="2E8D9609" w14:textId="77777777" w:rsidR="000E0490" w:rsidRPr="00EA0A6E" w:rsidRDefault="000E0490" w:rsidP="00AE41F1">
      <w:pPr>
        <w:pStyle w:val="OutlineNumberedDot"/>
        <w:ind w:left="851" w:hanging="284"/>
      </w:pPr>
      <w:r w:rsidRPr="00EA0A6E">
        <w:t>Whether the proposed structure would influence whether entities in the group are more likely to be identified as slow or fast small business payers.</w:t>
      </w:r>
    </w:p>
    <w:p w14:paraId="08C1B2B0" w14:textId="77777777" w:rsidR="000E0490" w:rsidRPr="00EA0A6E" w:rsidRDefault="000E0490" w:rsidP="00AE41F1">
      <w:pPr>
        <w:pStyle w:val="OutlineNumbered1"/>
        <w:ind w:left="567" w:hanging="567"/>
      </w:pPr>
      <w:r w:rsidRPr="00EA0A6E">
        <w:t xml:space="preserve">If a nominee reporting entity application </w:t>
      </w:r>
      <w:r>
        <w:t xml:space="preserve">seeks </w:t>
      </w:r>
      <w:r w:rsidRPr="00EA0A6E">
        <w:t>consolidat</w:t>
      </w:r>
      <w:r>
        <w:t>ion</w:t>
      </w:r>
      <w:r w:rsidRPr="00EA0A6E">
        <w:t xml:space="preserve"> </w:t>
      </w:r>
      <w:r>
        <w:t>of</w:t>
      </w:r>
      <w:r w:rsidRPr="00EA0A6E">
        <w:t xml:space="preserve"> only some reporting entities or controlled entities, the submission should explain why partial consolidation would not mislead users of payment times information.</w:t>
      </w:r>
    </w:p>
    <w:p w14:paraId="09F0AE22" w14:textId="77777777" w:rsidR="000E0490" w:rsidRPr="00EA0A6E" w:rsidRDefault="000E0490" w:rsidP="00AE41F1">
      <w:pPr>
        <w:pStyle w:val="OutlineNumbered1"/>
        <w:ind w:left="567" w:hanging="567"/>
      </w:pPr>
      <w:r w:rsidRPr="00EA0A6E">
        <w:t xml:space="preserve">Refusal by the Regulator to grant a nominee or subsidiary reporting entity application is a reviewable decision. The applicant can seek reconsideration by submitting an application for </w:t>
      </w:r>
      <w:r>
        <w:t xml:space="preserve">a </w:t>
      </w:r>
      <w:r w:rsidRPr="00EA0A6E">
        <w:t>review.</w:t>
      </w:r>
    </w:p>
    <w:p w14:paraId="7154F78F" w14:textId="6AEDB461" w:rsidR="000E0490" w:rsidRPr="00EA0A6E"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u w:val="single"/>
        </w:rPr>
        <w:fldChar w:fldCharType="begin"/>
      </w:r>
      <w:r w:rsidRPr="008965EC">
        <w:rPr>
          <w:b/>
          <w:bCs/>
          <w:color w:val="00827F" w:themeColor="accent2"/>
          <w:u w:val="single"/>
        </w:rPr>
        <w:instrText xml:space="preserve"> REF _Ref179827418 \h  \* MERGEFORMAT </w:instrText>
      </w:r>
      <w:r w:rsidRPr="008965EC">
        <w:rPr>
          <w:b/>
          <w:bCs/>
          <w:color w:val="00827F" w:themeColor="accent2"/>
          <w:u w:val="single"/>
        </w:rPr>
      </w:r>
      <w:r w:rsidRPr="008965EC">
        <w:rPr>
          <w:b/>
          <w:bCs/>
          <w:color w:val="00827F" w:themeColor="accent2"/>
          <w:u w:val="single"/>
        </w:rPr>
        <w:fldChar w:fldCharType="separate"/>
      </w:r>
      <w:r w:rsidRPr="008965EC">
        <w:rPr>
          <w:b/>
          <w:bCs/>
          <w:color w:val="00827F" w:themeColor="accent2"/>
          <w:u w:val="single"/>
        </w:rPr>
        <w:t>Review of decisions</w:t>
      </w:r>
      <w:r w:rsidRPr="008965EC">
        <w:rPr>
          <w:b/>
          <w:bCs/>
          <w:color w:val="00827F" w:themeColor="accent2"/>
          <w:u w:val="single"/>
        </w:rPr>
        <w:fldChar w:fldCharType="end"/>
      </w:r>
      <w:r w:rsidRPr="003C2458">
        <w:t>.</w:t>
      </w:r>
    </w:p>
    <w:p w14:paraId="63AA2567" w14:textId="77777777" w:rsidR="000E0490" w:rsidRDefault="000E0490" w:rsidP="000E0490">
      <w:pPr>
        <w:pStyle w:val="Heading2"/>
      </w:pPr>
      <w:bookmarkStart w:id="183" w:name="_Ref179826917"/>
      <w:bookmarkStart w:id="184" w:name="_Toc180688175"/>
      <w:bookmarkStart w:id="185" w:name="_Toc184822255"/>
      <w:r>
        <w:t>Relief applications</w:t>
      </w:r>
      <w:bookmarkEnd w:id="183"/>
      <w:bookmarkEnd w:id="184"/>
      <w:bookmarkEnd w:id="185"/>
    </w:p>
    <w:p w14:paraId="1169D562" w14:textId="77777777" w:rsidR="000E0490" w:rsidRDefault="000E0490" w:rsidP="000E0490">
      <w:pPr>
        <w:pStyle w:val="Heading3"/>
      </w:pPr>
      <w:bookmarkStart w:id="186" w:name="_Toc179215348"/>
      <w:bookmarkStart w:id="187" w:name="_Toc180688176"/>
      <w:bookmarkStart w:id="188" w:name="_Toc184822256"/>
      <w:r>
        <w:t>Short extension of time to give a report</w:t>
      </w:r>
      <w:bookmarkEnd w:id="186"/>
      <w:bookmarkEnd w:id="187"/>
      <w:bookmarkEnd w:id="188"/>
    </w:p>
    <w:p w14:paraId="242BD8D6" w14:textId="43649480" w:rsidR="000E0490" w:rsidRPr="00EA0A6E" w:rsidRDefault="000E0490" w:rsidP="00AE41F1">
      <w:pPr>
        <w:pStyle w:val="OutlineNumbered1"/>
        <w:ind w:left="567" w:hanging="567"/>
      </w:pPr>
      <w:r w:rsidRPr="00EA0A6E">
        <w:t xml:space="preserve">Reporting entities can apply for a short extension of time </w:t>
      </w:r>
      <w:r>
        <w:t>of</w:t>
      </w:r>
      <w:r w:rsidRPr="00EA0A6E">
        <w:t xml:space="preserve"> up to 28 days</w:t>
      </w:r>
      <w:r w:rsidRPr="007A1F36">
        <w:t xml:space="preserve"> </w:t>
      </w:r>
      <w:r w:rsidRPr="00EA0A6E">
        <w:t xml:space="preserve">to submit their report, through </w:t>
      </w:r>
      <w:hyperlink r:id="rId64" w:history="1">
        <w:r w:rsidR="00841C0D">
          <w:rPr>
            <w:rStyle w:val="Hyperlink"/>
          </w:rPr>
          <w:t>the</w:t>
        </w:r>
        <w:r w:rsidR="00841C0D" w:rsidRPr="004979D3">
          <w:rPr>
            <w:rStyle w:val="Hyperlink"/>
          </w:rPr>
          <w:t xml:space="preserve"> Portal</w:t>
        </w:r>
      </w:hyperlink>
      <w:r w:rsidRPr="00EA0A6E">
        <w:t>. The</w:t>
      </w:r>
      <w:r w:rsidRPr="00EA0A6E" w:rsidDel="0009284B">
        <w:t xml:space="preserve"> </w:t>
      </w:r>
      <w:r w:rsidR="0009284B" w:rsidRPr="00EA0A6E">
        <w:t>eviden</w:t>
      </w:r>
      <w:r w:rsidR="0009284B">
        <w:t>tiary</w:t>
      </w:r>
      <w:r w:rsidR="0009284B" w:rsidRPr="00EA0A6E">
        <w:t xml:space="preserve"> </w:t>
      </w:r>
      <w:r w:rsidRPr="00EA0A6E">
        <w:t>threshold for short extensions is lower, and the process is more streamlined compared to modifiable extensions.</w:t>
      </w:r>
    </w:p>
    <w:p w14:paraId="412A411D" w14:textId="77777777" w:rsidR="000E0490" w:rsidRPr="00EA0A6E" w:rsidRDefault="000E0490" w:rsidP="00AE41F1">
      <w:pPr>
        <w:pStyle w:val="OutlineNumbered1"/>
        <w:ind w:left="567" w:hanging="567"/>
      </w:pPr>
      <w:r w:rsidRPr="00EA0A6E">
        <w:t>The application must be submitted before the original report due date and must include:</w:t>
      </w:r>
    </w:p>
    <w:p w14:paraId="0D10D84B" w14:textId="27EF4EAB" w:rsidR="000E0490" w:rsidRPr="00EA0A6E" w:rsidRDefault="000E0490" w:rsidP="00AE41F1">
      <w:pPr>
        <w:pStyle w:val="OutlineNumberedDot"/>
        <w:ind w:left="851" w:hanging="284"/>
      </w:pPr>
      <w:r w:rsidRPr="00EA0A6E">
        <w:t>Identifying information</w:t>
      </w:r>
      <w:r w:rsidR="00E81801">
        <w:t>,</w:t>
      </w:r>
    </w:p>
    <w:p w14:paraId="5A467828" w14:textId="77777777" w:rsidR="000E0490" w:rsidRPr="00EA0A6E" w:rsidRDefault="000E0490" w:rsidP="00AE41F1">
      <w:pPr>
        <w:pStyle w:val="OutlineNumberedDot"/>
        <w:ind w:left="851" w:hanging="284"/>
      </w:pPr>
      <w:r w:rsidRPr="00EA0A6E">
        <w:t xml:space="preserve">The new date by which the report </w:t>
      </w:r>
      <w:r>
        <w:t>would</w:t>
      </w:r>
      <w:r w:rsidRPr="00EA0A6E">
        <w:t xml:space="preserve"> be submitted, and</w:t>
      </w:r>
    </w:p>
    <w:p w14:paraId="5C7C783D" w14:textId="77777777" w:rsidR="000E0490" w:rsidRPr="00EA0A6E" w:rsidRDefault="000E0490" w:rsidP="00AE41F1">
      <w:pPr>
        <w:pStyle w:val="OutlineNumberedDot"/>
        <w:ind w:left="851" w:hanging="284"/>
      </w:pPr>
      <w:r w:rsidRPr="00EA0A6E">
        <w:t xml:space="preserve">The </w:t>
      </w:r>
      <w:r>
        <w:t>name</w:t>
      </w:r>
      <w:r w:rsidRPr="00EA0A6E">
        <w:t xml:space="preserve"> of the responsible member who approved the application.</w:t>
      </w:r>
    </w:p>
    <w:p w14:paraId="2E1D909B" w14:textId="77777777" w:rsidR="000E0490" w:rsidRPr="00EA0A6E" w:rsidRDefault="000E0490" w:rsidP="00AE41F1">
      <w:pPr>
        <w:pStyle w:val="OutlineNumbered1"/>
        <w:ind w:left="567" w:hanging="567"/>
      </w:pPr>
      <w:r w:rsidRPr="00EA0A6E">
        <w:t>Applications must explain the circumstances that resulted in the need for extra time, but they do not require supporting documentary evidence.</w:t>
      </w:r>
    </w:p>
    <w:p w14:paraId="3F4158FC" w14:textId="77777777" w:rsidR="000E0490" w:rsidRPr="00EA0A6E" w:rsidRDefault="000E0490" w:rsidP="00AE41F1">
      <w:pPr>
        <w:pStyle w:val="OutlineNumbered1"/>
        <w:ind w:left="567" w:hanging="567"/>
      </w:pPr>
      <w:r>
        <w:t>If</w:t>
      </w:r>
      <w:r w:rsidRPr="00EA0A6E">
        <w:t xml:space="preserve"> approved, a short extension of time cannot be further extended or modified.</w:t>
      </w:r>
    </w:p>
    <w:p w14:paraId="551F718D" w14:textId="77777777" w:rsidR="005D201E" w:rsidRDefault="005D201E">
      <w:pPr>
        <w:spacing w:before="0" w:after="160" w:line="259" w:lineRule="auto"/>
      </w:pPr>
      <w:r>
        <w:br w:type="page"/>
      </w:r>
    </w:p>
    <w:p w14:paraId="48FF8ABF" w14:textId="798A9913" w:rsidR="000E0490" w:rsidRDefault="000E0490" w:rsidP="00AE41F1">
      <w:pPr>
        <w:pStyle w:val="OutlineNumbered1"/>
        <w:ind w:left="567" w:hanging="567"/>
      </w:pPr>
      <w:r w:rsidRPr="00EA0A6E">
        <w:lastRenderedPageBreak/>
        <w:t xml:space="preserve">The Regulator </w:t>
      </w:r>
      <w:r>
        <w:t>may</w:t>
      </w:r>
      <w:r w:rsidRPr="00EA0A6E">
        <w:t xml:space="preserve"> grant a short extension only if satisfied that the described circumstances justify the need for more time to report. </w:t>
      </w:r>
      <w:hyperlink r:id="rId65" w:history="1">
        <w:r w:rsidR="00841C0D">
          <w:rPr>
            <w:rStyle w:val="Hyperlink"/>
          </w:rPr>
          <w:t>The</w:t>
        </w:r>
        <w:r w:rsidR="00841C0D" w:rsidRPr="004979D3">
          <w:rPr>
            <w:rStyle w:val="Hyperlink"/>
          </w:rPr>
          <w:t xml:space="preserve"> Portal</w:t>
        </w:r>
      </w:hyperlink>
      <w:r w:rsidRPr="00EA0A6E">
        <w:t xml:space="preserve"> provides a list of standard circumstances for applicants to select. If the relevant circumstances are not listed, the applicant must provide a brief description.</w:t>
      </w:r>
    </w:p>
    <w:p w14:paraId="0E7A9B01" w14:textId="77777777" w:rsidR="000E0490" w:rsidRPr="00EA0A6E" w:rsidRDefault="000E0490" w:rsidP="00AE41F1">
      <w:pPr>
        <w:pStyle w:val="OutlineNumbered1"/>
        <w:ind w:left="567" w:hanging="567"/>
      </w:pPr>
      <w:r w:rsidRPr="00EA0A6E">
        <w:t>If the Regulator refuses to grant a short extension, this is a reviewable decision. The applicant can seek reconsideration by applying for a review.</w:t>
      </w:r>
      <w:r>
        <w:t xml:space="preserve"> </w:t>
      </w:r>
      <w:r>
        <w:rPr>
          <w:rStyle w:val="ui-provider"/>
        </w:rPr>
        <w:t>An extension of time application cannot be made after the report due date.</w:t>
      </w:r>
    </w:p>
    <w:p w14:paraId="10993222" w14:textId="487C950A" w:rsidR="000E0490" w:rsidRPr="00EA0A6E"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3C2458">
        <w:t>.</w:t>
      </w:r>
    </w:p>
    <w:p w14:paraId="602501BD" w14:textId="77777777" w:rsidR="000E0490" w:rsidRPr="00F26ACA" w:rsidRDefault="000E0490" w:rsidP="000E0490">
      <w:pPr>
        <w:pStyle w:val="Heading3"/>
      </w:pPr>
      <w:bookmarkStart w:id="189" w:name="_Toc180688177"/>
      <w:bookmarkStart w:id="190" w:name="_Toc184822257"/>
      <w:r w:rsidRPr="00F26ACA">
        <w:t xml:space="preserve">Modifiable </w:t>
      </w:r>
      <w:r>
        <w:t>e</w:t>
      </w:r>
      <w:r w:rsidRPr="00F26ACA">
        <w:t xml:space="preserve">xtension of </w:t>
      </w:r>
      <w:r>
        <w:t>t</w:t>
      </w:r>
      <w:r w:rsidRPr="00F26ACA">
        <w:t xml:space="preserve">ime to </w:t>
      </w:r>
      <w:r>
        <w:t>g</w:t>
      </w:r>
      <w:r w:rsidRPr="00F26ACA">
        <w:t xml:space="preserve">ive a </w:t>
      </w:r>
      <w:r>
        <w:t>r</w:t>
      </w:r>
      <w:r w:rsidRPr="00F26ACA">
        <w:t>eport</w:t>
      </w:r>
      <w:bookmarkEnd w:id="189"/>
      <w:bookmarkEnd w:id="190"/>
    </w:p>
    <w:p w14:paraId="06C0A321" w14:textId="4AF5795B" w:rsidR="000E0490" w:rsidRPr="00EA0A6E" w:rsidRDefault="000E0490" w:rsidP="00AE41F1">
      <w:pPr>
        <w:pStyle w:val="OutlineNumbered1"/>
        <w:ind w:left="567" w:hanging="567"/>
      </w:pPr>
      <w:r w:rsidRPr="00EA0A6E">
        <w:t xml:space="preserve">Reporting entities can apply for an extension of time to report for any length of time by making a modifiable extension application through </w:t>
      </w:r>
      <w:hyperlink r:id="rId66" w:history="1">
        <w:r w:rsidR="00841C0D">
          <w:rPr>
            <w:rStyle w:val="Hyperlink"/>
          </w:rPr>
          <w:t>the</w:t>
        </w:r>
        <w:r w:rsidR="00841C0D" w:rsidRPr="004979D3">
          <w:rPr>
            <w:rStyle w:val="Hyperlink"/>
          </w:rPr>
          <w:t xml:space="preserve"> Portal</w:t>
        </w:r>
      </w:hyperlink>
      <w:r w:rsidRPr="00EA0A6E">
        <w:t>. A modifiable extension requires a higher level of evidence than a short extension and must include supporting documentary evidence.</w:t>
      </w:r>
    </w:p>
    <w:p w14:paraId="273ED8F2" w14:textId="77777777" w:rsidR="000E0490" w:rsidRPr="00EA0A6E" w:rsidRDefault="000E0490" w:rsidP="00AE41F1">
      <w:pPr>
        <w:pStyle w:val="OutlineNumbered1"/>
        <w:ind w:left="567" w:hanging="567"/>
      </w:pPr>
      <w:r>
        <w:t>A r</w:t>
      </w:r>
      <w:r w:rsidRPr="00EA0A6E">
        <w:t>eporting enti</w:t>
      </w:r>
      <w:r>
        <w:t>ty</w:t>
      </w:r>
      <w:r w:rsidRPr="00EA0A6E">
        <w:t xml:space="preserve"> may only apply for a modifiable extension if it has not been previously granted a</w:t>
      </w:r>
      <w:r>
        <w:t xml:space="preserve"> short</w:t>
      </w:r>
      <w:r w:rsidRPr="00EA0A6E">
        <w:t xml:space="preserve"> extension of time to submit the report. Applications must be submitted before the original report due date, and must include:</w:t>
      </w:r>
    </w:p>
    <w:p w14:paraId="311578FB" w14:textId="3F467D85" w:rsidR="000E0490" w:rsidRPr="00EA0A6E" w:rsidRDefault="000E0490" w:rsidP="00AE41F1">
      <w:pPr>
        <w:pStyle w:val="OutlineNumberedDot"/>
        <w:ind w:left="851" w:hanging="284"/>
      </w:pPr>
      <w:r w:rsidRPr="00EA0A6E">
        <w:t xml:space="preserve">Identifying information about </w:t>
      </w:r>
      <w:r>
        <w:t>the</w:t>
      </w:r>
      <w:r w:rsidRPr="00EA0A6E">
        <w:t xml:space="preserve"> entity</w:t>
      </w:r>
      <w:r w:rsidR="008538B3">
        <w:t>,</w:t>
      </w:r>
    </w:p>
    <w:p w14:paraId="1FCF1073" w14:textId="77777777" w:rsidR="000E0490" w:rsidRPr="00EA0A6E" w:rsidRDefault="000E0490" w:rsidP="00AE41F1">
      <w:pPr>
        <w:pStyle w:val="OutlineNumberedDot"/>
        <w:ind w:left="851" w:hanging="284"/>
      </w:pPr>
      <w:r w:rsidRPr="00EA0A6E">
        <w:t xml:space="preserve">The new date by which the report </w:t>
      </w:r>
      <w:r>
        <w:t>would</w:t>
      </w:r>
      <w:r w:rsidRPr="00EA0A6E">
        <w:t xml:space="preserve"> be submitted, and</w:t>
      </w:r>
    </w:p>
    <w:p w14:paraId="65B6C864" w14:textId="77777777" w:rsidR="000E0490" w:rsidRPr="00EA0A6E" w:rsidRDefault="000E0490" w:rsidP="00AE41F1">
      <w:pPr>
        <w:pStyle w:val="OutlineNumberedDot"/>
        <w:ind w:left="851" w:hanging="284"/>
      </w:pPr>
      <w:r w:rsidRPr="00EA0A6E">
        <w:t>The name of the responsible member who approved the application.</w:t>
      </w:r>
    </w:p>
    <w:p w14:paraId="3032A282" w14:textId="77777777" w:rsidR="000E0490" w:rsidRPr="00EA0A6E" w:rsidRDefault="000E0490" w:rsidP="00AE41F1">
      <w:pPr>
        <w:pStyle w:val="OutlineNumbered1"/>
        <w:ind w:left="567" w:hanging="567"/>
      </w:pPr>
      <w:r w:rsidRPr="00EA0A6E">
        <w:t xml:space="preserve">Applications must explain the exceptional circumstances that resulted in the need for extra time and must provide supporting documentary evidence. Applications should describe how providing additional time will allow the entity to address </w:t>
      </w:r>
      <w:r>
        <w:t xml:space="preserve">these </w:t>
      </w:r>
      <w:r w:rsidRPr="00EA0A6E">
        <w:t xml:space="preserve">circumstances and be able to report. </w:t>
      </w:r>
    </w:p>
    <w:p w14:paraId="21912A92" w14:textId="77777777" w:rsidR="000E0490" w:rsidRPr="00EA0A6E" w:rsidRDefault="000E0490" w:rsidP="00AE41F1">
      <w:pPr>
        <w:pStyle w:val="OutlineNumbered1"/>
        <w:ind w:left="567" w:hanging="567"/>
      </w:pPr>
      <w:r w:rsidRPr="00EA0A6E">
        <w:t>The Regulator assesses each application case by case, considering the specific circumstances and the details provide</w:t>
      </w:r>
      <w:r>
        <w:t>d</w:t>
      </w:r>
      <w:r w:rsidRPr="00EA0A6E">
        <w:t xml:space="preserve">. </w:t>
      </w:r>
    </w:p>
    <w:p w14:paraId="591AF89B" w14:textId="77777777" w:rsidR="000E0490" w:rsidRPr="00EA0A6E" w:rsidRDefault="000E0490" w:rsidP="00AE41F1">
      <w:pPr>
        <w:pStyle w:val="OutlineNumbered1"/>
        <w:ind w:left="567" w:hanging="567"/>
      </w:pPr>
      <w:r w:rsidRPr="00EA0A6E">
        <w:t xml:space="preserve">The Regulator will not provide a prescribed list of circumstances deemed "exceptional" because such circumstances vary for each entity. However, exceptional situations could include uncommon events, beyond </w:t>
      </w:r>
      <w:r>
        <w:t>foreseeable circumstances that arise in the ordinary course of business</w:t>
      </w:r>
      <w:r w:rsidRPr="00EA0A6E">
        <w:t>, such as a major cyber-attack that destroyed reporting data or a control transaction like a company takeover.</w:t>
      </w:r>
    </w:p>
    <w:p w14:paraId="7AC03CC7" w14:textId="77777777" w:rsidR="000E0490" w:rsidRPr="00EA0A6E" w:rsidRDefault="000E0490" w:rsidP="00AE41F1">
      <w:pPr>
        <w:pStyle w:val="OutlineNumbered1"/>
        <w:ind w:left="567" w:hanging="567"/>
      </w:pPr>
      <w:r w:rsidRPr="00EA0A6E">
        <w:t>Circumstances are less likely to be considered exceptional if they are foreseeable and arise in the ordinary course of business, such as staff illnesses and needing to obtain third party advice or support to report.</w:t>
      </w:r>
    </w:p>
    <w:p w14:paraId="3BE8A2C4" w14:textId="77777777" w:rsidR="000E0490" w:rsidRPr="00EA0A6E" w:rsidRDefault="000E0490" w:rsidP="00AE41F1">
      <w:pPr>
        <w:pStyle w:val="OutlineNumbered1"/>
        <w:ind w:left="567" w:hanging="567"/>
      </w:pPr>
      <w:r w:rsidRPr="00EA0A6E">
        <w:t xml:space="preserve">The Regulator can only grant an extension for </w:t>
      </w:r>
      <w:r w:rsidRPr="00F91EE1">
        <w:t>a period</w:t>
      </w:r>
      <w:r w:rsidRPr="00EA0A6E">
        <w:t xml:space="preserve"> appropriate for the circumstances</w:t>
      </w:r>
      <w:r>
        <w:t xml:space="preserve">. This period may </w:t>
      </w:r>
      <w:r w:rsidRPr="00EA0A6E">
        <w:t xml:space="preserve">be shorter than requested in </w:t>
      </w:r>
      <w:r>
        <w:t>the</w:t>
      </w:r>
      <w:r w:rsidRPr="00EA0A6E">
        <w:t xml:space="preserve"> application. Submissions and supporting evidence must be stronger for longer extensions. </w:t>
      </w:r>
    </w:p>
    <w:p w14:paraId="66B9186F" w14:textId="77777777" w:rsidR="000E0490" w:rsidRPr="00EA0A6E" w:rsidRDefault="000E0490" w:rsidP="00AE41F1">
      <w:pPr>
        <w:pStyle w:val="OutlineNumbered1"/>
        <w:ind w:left="567" w:hanging="567"/>
      </w:pPr>
      <w:r w:rsidRPr="00EA0A6E">
        <w:t xml:space="preserve">Common reasons the Regulator may grant a shorter extension than requested include where submissions are not clear on why the </w:t>
      </w:r>
      <w:r w:rsidRPr="00F91EE1">
        <w:t>period</w:t>
      </w:r>
      <w:r w:rsidRPr="00EA0A6E">
        <w:t xml:space="preserve"> requested is required or indicates prioritising other obligations or business needs ahead of giving a report.</w:t>
      </w:r>
    </w:p>
    <w:p w14:paraId="65EB555B" w14:textId="77777777" w:rsidR="000E0490" w:rsidRPr="00EA0A6E" w:rsidRDefault="000E0490" w:rsidP="00AE41F1">
      <w:pPr>
        <w:pStyle w:val="OutlineNumbered1"/>
        <w:ind w:left="567" w:hanging="567"/>
      </w:pPr>
      <w:r w:rsidRPr="00EA0A6E">
        <w:t xml:space="preserve">If an extension request is refused by the Regulator, </w:t>
      </w:r>
      <w:r>
        <w:t>the entity</w:t>
      </w:r>
      <w:r w:rsidRPr="00EA0A6E">
        <w:t xml:space="preserve"> may apply for a review of the decision. If the extension is granted, but for a shorter period than requested, this decision is not reviewable.</w:t>
      </w:r>
      <w:r w:rsidRPr="00AE41F1">
        <w:rPr>
          <w:rFonts w:eastAsiaTheme="minorHAnsi"/>
        </w:rPr>
        <w:t xml:space="preserve"> </w:t>
      </w:r>
      <w:r w:rsidRPr="00AE41F1">
        <w:t>An extension of time application cannot be made after the report due date.</w:t>
      </w:r>
    </w:p>
    <w:p w14:paraId="103667A4" w14:textId="6B7BABB4" w:rsidR="000E0490" w:rsidRPr="00EA0A6E"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3C2458">
        <w:t>.</w:t>
      </w:r>
    </w:p>
    <w:p w14:paraId="1232C16B" w14:textId="77777777" w:rsidR="000E0490" w:rsidRPr="00A01FC3" w:rsidRDefault="000E0490" w:rsidP="000E0490">
      <w:pPr>
        <w:pStyle w:val="Heading3"/>
        <w:rPr>
          <w:sz w:val="22"/>
          <w:szCs w:val="22"/>
        </w:rPr>
      </w:pPr>
      <w:bookmarkStart w:id="191" w:name="_Toc180688178"/>
      <w:bookmarkStart w:id="192" w:name="_Toc184822258"/>
      <w:r w:rsidRPr="00A01FC3">
        <w:rPr>
          <w:sz w:val="24"/>
          <w:szCs w:val="24"/>
        </w:rPr>
        <w:lastRenderedPageBreak/>
        <w:t>Modifying an Extension</w:t>
      </w:r>
      <w:bookmarkEnd w:id="191"/>
      <w:bookmarkEnd w:id="192"/>
    </w:p>
    <w:p w14:paraId="4032DA3F" w14:textId="77777777" w:rsidR="000E0490" w:rsidRPr="00EA0A6E" w:rsidRDefault="000E0490" w:rsidP="00AE41F1">
      <w:pPr>
        <w:pStyle w:val="OutlineNumbered1"/>
        <w:ind w:left="567" w:hanging="567"/>
      </w:pPr>
      <w:r w:rsidRPr="00EA0A6E">
        <w:t>If granted, reporting entities may apply to extend a modifiable extension further. Requests for further extension must be made before the extended report due date and include updated information on how exceptional circumstances are continuing to impact the ability to report.</w:t>
      </w:r>
    </w:p>
    <w:p w14:paraId="79EB7B73" w14:textId="77777777" w:rsidR="000E0490" w:rsidRDefault="000E0490" w:rsidP="00AE41F1">
      <w:pPr>
        <w:pStyle w:val="OutlineNumbered1"/>
        <w:ind w:left="567" w:hanging="567"/>
      </w:pPr>
      <w:r w:rsidRPr="00EA0A6E">
        <w:t>There is no limit to how many times an entity can apply for a</w:t>
      </w:r>
      <w:r>
        <w:t xml:space="preserve"> modifiable</w:t>
      </w:r>
      <w:r w:rsidRPr="00EA0A6E">
        <w:t xml:space="preserve"> extension as long as it </w:t>
      </w:r>
      <w:r>
        <w:t xml:space="preserve">does so before the report due date expires on each occasion and </w:t>
      </w:r>
      <w:r w:rsidRPr="00EA0A6E">
        <w:t>provides proper justification. Each subsequent application should be prepared to the same evidentiary standards as the original extension application.</w:t>
      </w:r>
    </w:p>
    <w:p w14:paraId="59EBDF70" w14:textId="77777777" w:rsidR="000E0490" w:rsidRPr="00A328AB" w:rsidRDefault="000E0490" w:rsidP="000E0490">
      <w:pPr>
        <w:pStyle w:val="Heading3"/>
      </w:pPr>
      <w:bookmarkStart w:id="193" w:name="_Toc180688179"/>
      <w:bookmarkStart w:id="194" w:name="_Toc184822259"/>
      <w:r w:rsidRPr="00A328AB">
        <w:t>Exemption from Reporting</w:t>
      </w:r>
      <w:bookmarkEnd w:id="193"/>
      <w:bookmarkEnd w:id="194"/>
    </w:p>
    <w:p w14:paraId="48E7C4D9" w14:textId="7D53DE4B" w:rsidR="000E0490" w:rsidRPr="00EA0A6E" w:rsidRDefault="000E0490" w:rsidP="00AE41F1">
      <w:pPr>
        <w:pStyle w:val="OutlineNumbered1"/>
        <w:ind w:left="567" w:hanging="567"/>
      </w:pPr>
      <w:r w:rsidRPr="00EA0A6E">
        <w:t xml:space="preserve">Reporting entities can apply for an exemption from reporting for up to </w:t>
      </w:r>
      <w:r w:rsidR="00FA2896">
        <w:t>2</w:t>
      </w:r>
      <w:r w:rsidRPr="00EA0A6E">
        <w:t xml:space="preserve"> years.</w:t>
      </w:r>
      <w:r>
        <w:t xml:space="preserve"> An exemption application cannot be made for a reporting period starting before 1 July 2024.</w:t>
      </w:r>
    </w:p>
    <w:p w14:paraId="7E7787A7" w14:textId="3CA688FB" w:rsidR="000E0490" w:rsidRPr="00EA0A6E" w:rsidRDefault="000E0490" w:rsidP="00AE41F1">
      <w:pPr>
        <w:pStyle w:val="OutlineNumbered1"/>
        <w:ind w:left="567" w:hanging="567"/>
      </w:pPr>
      <w:r w:rsidRPr="00EA0A6E">
        <w:t xml:space="preserve">Applications can be made at any time, but must be submitted via </w:t>
      </w:r>
      <w:hyperlink r:id="rId67" w:history="1">
        <w:r w:rsidR="00841C0D">
          <w:rPr>
            <w:rStyle w:val="Hyperlink"/>
          </w:rPr>
          <w:t>the</w:t>
        </w:r>
        <w:r w:rsidR="00841C0D" w:rsidRPr="004979D3">
          <w:rPr>
            <w:rStyle w:val="Hyperlink"/>
          </w:rPr>
          <w:t xml:space="preserve"> Portal</w:t>
        </w:r>
      </w:hyperlink>
      <w:r w:rsidRPr="00EA0A6E">
        <w:t xml:space="preserve"> and must include:</w:t>
      </w:r>
    </w:p>
    <w:p w14:paraId="4A9C152B" w14:textId="0CB464F2" w:rsidR="000E0490" w:rsidRPr="00EA0A6E" w:rsidRDefault="000E0490" w:rsidP="00AE41F1">
      <w:pPr>
        <w:pStyle w:val="OutlineNumberedDot"/>
        <w:ind w:left="851" w:hanging="284"/>
      </w:pPr>
      <w:r w:rsidRPr="00EA0A6E">
        <w:t>Identifying details of the entity</w:t>
      </w:r>
      <w:r w:rsidR="00F12431">
        <w:t>,</w:t>
      </w:r>
    </w:p>
    <w:p w14:paraId="60E4E411" w14:textId="77777777" w:rsidR="000E0490" w:rsidRPr="00EA0A6E" w:rsidRDefault="000E0490" w:rsidP="00AE41F1">
      <w:pPr>
        <w:pStyle w:val="OutlineNumberedDot"/>
        <w:ind w:left="851" w:hanging="284"/>
      </w:pPr>
      <w:r w:rsidRPr="00EA0A6E">
        <w:t>The reporting periods for which the exemption is sought, and</w:t>
      </w:r>
    </w:p>
    <w:p w14:paraId="480E4B06" w14:textId="77777777" w:rsidR="000E0490" w:rsidRPr="00EA0A6E" w:rsidRDefault="000E0490" w:rsidP="00AE41F1">
      <w:pPr>
        <w:pStyle w:val="OutlineNumberedDot"/>
        <w:ind w:left="851" w:hanging="284"/>
      </w:pPr>
      <w:r w:rsidRPr="00EA0A6E">
        <w:t>The name of the responsible member who approved the application.</w:t>
      </w:r>
    </w:p>
    <w:p w14:paraId="6760FFC4" w14:textId="77777777" w:rsidR="000E0490" w:rsidRPr="00EA0A6E" w:rsidRDefault="000E0490" w:rsidP="00AE41F1">
      <w:pPr>
        <w:pStyle w:val="OutlineNumbered1"/>
        <w:ind w:left="567" w:hanging="567"/>
      </w:pPr>
      <w:r w:rsidRPr="00393803">
        <w:t>Applications must explain why an exemption</w:t>
      </w:r>
      <w:r>
        <w:t xml:space="preserve"> would be appropriate</w:t>
      </w:r>
      <w:r w:rsidRPr="00393803">
        <w:t xml:space="preserve">. </w:t>
      </w:r>
      <w:r w:rsidRPr="00EA0A6E">
        <w:t xml:space="preserve">To grant an exemption the Regulator must be satisfied that giving the exemption is appropriate in the circumstances having regard to the objects of the Act. </w:t>
      </w:r>
    </w:p>
    <w:p w14:paraId="0F40F333" w14:textId="77777777" w:rsidR="000E0490" w:rsidRPr="00EA0A6E" w:rsidRDefault="000E0490" w:rsidP="00AE41F1">
      <w:pPr>
        <w:pStyle w:val="OutlineNumbered1"/>
        <w:ind w:left="567" w:hanging="567"/>
      </w:pPr>
      <w:r w:rsidRPr="00EA0A6E">
        <w:t xml:space="preserve">The Regulator is unlikely to grant an exemption because an entity is new to reporting or because </w:t>
      </w:r>
      <w:r>
        <w:t>it</w:t>
      </w:r>
      <w:r w:rsidRPr="00EA0A6E">
        <w:t xml:space="preserve"> only make</w:t>
      </w:r>
      <w:r>
        <w:t>s</w:t>
      </w:r>
      <w:r w:rsidRPr="00EA0A6E">
        <w:t xml:space="preserve"> a low number of small business payments. </w:t>
      </w:r>
      <w:r>
        <w:t>Exemptions may be appropriate where</w:t>
      </w:r>
      <w:r w:rsidRPr="00EA0A6E">
        <w:t>:</w:t>
      </w:r>
    </w:p>
    <w:p w14:paraId="49BE9BB5" w14:textId="31839BA3" w:rsidR="000E0490" w:rsidRPr="00EA0A6E" w:rsidRDefault="000E0490" w:rsidP="00AE41F1">
      <w:pPr>
        <w:pStyle w:val="OutlineNumberedDot"/>
        <w:ind w:left="851" w:hanging="284"/>
      </w:pPr>
      <w:r w:rsidRPr="00EA0A6E">
        <w:t>A one-time asset sale pushed the entity over the $100 million revenue threshold</w:t>
      </w:r>
      <w:r>
        <w:t xml:space="preserve"> and the entity would not otherwise be a reporting entity</w:t>
      </w:r>
      <w:r w:rsidR="009414F6">
        <w:t>,</w:t>
      </w:r>
      <w:r>
        <w:t xml:space="preserve"> </w:t>
      </w:r>
    </w:p>
    <w:p w14:paraId="306840BA" w14:textId="00B4B7B2" w:rsidR="000E0490" w:rsidRPr="00EA0A6E" w:rsidRDefault="000E0490" w:rsidP="00AE41F1">
      <w:pPr>
        <w:pStyle w:val="OutlineNumberedDot"/>
        <w:ind w:left="851" w:hanging="284"/>
      </w:pPr>
      <w:r w:rsidRPr="00EA0A6E">
        <w:t xml:space="preserve">Exceptional circumstances </w:t>
      </w:r>
      <w:r>
        <w:t xml:space="preserve">exist, </w:t>
      </w:r>
      <w:r w:rsidRPr="00EA0A6E">
        <w:t xml:space="preserve">like a </w:t>
      </w:r>
      <w:r w:rsidR="00FE2F8A">
        <w:t xml:space="preserve">major </w:t>
      </w:r>
      <w:r w:rsidRPr="00EA0A6E">
        <w:t>cyber-</w:t>
      </w:r>
      <w:r w:rsidR="00FE2F8A">
        <w:t>attack</w:t>
      </w:r>
      <w:r w:rsidR="00FE2F8A" w:rsidRPr="00EA0A6E">
        <w:t xml:space="preserve"> </w:t>
      </w:r>
      <w:r w:rsidRPr="00EA0A6E">
        <w:t>destroy</w:t>
      </w:r>
      <w:r>
        <w:t>ing</w:t>
      </w:r>
      <w:r w:rsidRPr="00EA0A6E">
        <w:t xml:space="preserve"> data, or</w:t>
      </w:r>
    </w:p>
    <w:p w14:paraId="2A87EE79" w14:textId="77777777" w:rsidR="000E0490" w:rsidRPr="00EA0A6E" w:rsidRDefault="000E0490" w:rsidP="00AE41F1">
      <w:pPr>
        <w:pStyle w:val="OutlineNumberedDot"/>
        <w:ind w:left="851" w:hanging="284"/>
      </w:pPr>
      <w:r>
        <w:t>The entity has been acquired</w:t>
      </w:r>
      <w:r w:rsidRPr="00EA0A6E">
        <w:t xml:space="preserve"> by another reporting entity whose transactions will cover the exempted period.</w:t>
      </w:r>
    </w:p>
    <w:p w14:paraId="3BD455B3" w14:textId="77777777" w:rsidR="000E0490" w:rsidRPr="002D315B" w:rsidRDefault="000E0490" w:rsidP="00AE41F1">
      <w:pPr>
        <w:pStyle w:val="OutlineNumbered1"/>
        <w:ind w:left="567" w:hanging="567"/>
      </w:pPr>
      <w:r w:rsidRPr="002D315B">
        <w:t xml:space="preserve">If an </w:t>
      </w:r>
      <w:r>
        <w:t xml:space="preserve">exemption application </w:t>
      </w:r>
      <w:r w:rsidRPr="002D315B">
        <w:t xml:space="preserve">is refused by the Regulator, </w:t>
      </w:r>
      <w:r>
        <w:t>the applicant</w:t>
      </w:r>
      <w:r w:rsidRPr="002D315B">
        <w:t xml:space="preserve"> may apply for a review of the decision. </w:t>
      </w:r>
    </w:p>
    <w:p w14:paraId="5BE88147" w14:textId="51D64C48" w:rsidR="000E0490" w:rsidRPr="00EA0A6E"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3C2458">
        <w:t>.</w:t>
      </w:r>
    </w:p>
    <w:p w14:paraId="01B4650D" w14:textId="77777777" w:rsidR="000E0490" w:rsidRPr="00F26ACA" w:rsidRDefault="000E0490" w:rsidP="000E0490">
      <w:pPr>
        <w:pStyle w:val="Heading4"/>
      </w:pPr>
      <w:r w:rsidRPr="00F26ACA">
        <w:t>Exemption Conditions</w:t>
      </w:r>
    </w:p>
    <w:p w14:paraId="0095588D" w14:textId="77777777" w:rsidR="000E0490" w:rsidRDefault="000E0490" w:rsidP="00D2239A">
      <w:pPr>
        <w:pStyle w:val="OutlineNumbered1"/>
        <w:spacing w:after="240"/>
        <w:ind w:left="567" w:hanging="567"/>
      </w:pPr>
      <w:r w:rsidRPr="00EA0A6E">
        <w:t>The Regulator can impose conditions on an exemption. These conditions will be outlined in the exemption decision. If an exempt entity fails to comply with any conditions, the Regulator can revoke the exemption.</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7E922C1D" w14:textId="77777777">
        <w:tc>
          <w:tcPr>
            <w:tcW w:w="5000" w:type="pct"/>
            <w:shd w:val="clear" w:color="auto" w:fill="EBF1F7"/>
          </w:tcPr>
          <w:p w14:paraId="1348A94F" w14:textId="11F50A4A" w:rsidR="00AE41F1" w:rsidRPr="000553FE" w:rsidRDefault="00173D68">
            <w:pPr>
              <w:pStyle w:val="BoxHeading"/>
              <w:rPr>
                <w:b w:val="0"/>
              </w:rPr>
            </w:pPr>
            <w:r>
              <w:lastRenderedPageBreak/>
              <w:t>Example</w:t>
            </w:r>
            <w:r w:rsidR="00031282">
              <w:t xml:space="preserve"> 49</w:t>
            </w:r>
          </w:p>
          <w:p w14:paraId="6593EE59" w14:textId="013933FD" w:rsidR="00AE41F1" w:rsidRPr="00247BAC" w:rsidRDefault="00C077B6">
            <w:pPr>
              <w:pStyle w:val="BoxHeading2-Blue"/>
            </w:pPr>
            <w:r>
              <w:rPr>
                <w:rStyle w:val="Strong"/>
              </w:rPr>
              <w:t>Exemption conditions</w:t>
            </w:r>
          </w:p>
          <w:p w14:paraId="6F5D4155" w14:textId="77777777" w:rsidR="00C077B6" w:rsidRDefault="00C077B6" w:rsidP="00C077B6">
            <w:pPr>
              <w:pStyle w:val="BoxText"/>
            </w:pPr>
            <w:r>
              <w:t>A reporting entity applies for an exemption because it exceeded the $100 million threshold due to an asset sale.</w:t>
            </w:r>
          </w:p>
          <w:p w14:paraId="67A058BB" w14:textId="706ABE54" w:rsidR="00C077B6" w:rsidRDefault="00C077B6" w:rsidP="00921942">
            <w:pPr>
              <w:pStyle w:val="BoxBullet"/>
              <w:ind w:left="284" w:hanging="284"/>
            </w:pPr>
            <w:r>
              <w:t xml:space="preserve">The Regulator grants an exemption from reporting for </w:t>
            </w:r>
            <w:r w:rsidR="00FA2896">
              <w:t>2</w:t>
            </w:r>
            <w:r>
              <w:t xml:space="preserve"> years on the basis the entity would not otherwise be a reporting entity. </w:t>
            </w:r>
          </w:p>
          <w:p w14:paraId="7EBB9D65" w14:textId="22388698" w:rsidR="00AE41F1" w:rsidRPr="008950C5" w:rsidRDefault="00C077B6" w:rsidP="00921942">
            <w:pPr>
              <w:pStyle w:val="BoxBullet"/>
              <w:ind w:left="284" w:hanging="284"/>
            </w:pPr>
            <w:r>
              <w:t xml:space="preserve">The exemption is subject to a condition that the entity inform the Regulator of its consolidated revenue within </w:t>
            </w:r>
            <w:r w:rsidR="00FA2896">
              <w:t>3</w:t>
            </w:r>
            <w:r>
              <w:t xml:space="preserve"> months of the end of each financial year for the exemption period to confirm it has not subsequently exceeded the $100 million threshold.</w:t>
            </w:r>
          </w:p>
        </w:tc>
      </w:tr>
    </w:tbl>
    <w:p w14:paraId="60552D89" w14:textId="77777777" w:rsidR="000E0490" w:rsidRPr="00A01FC3" w:rsidRDefault="000E0490" w:rsidP="000E0490">
      <w:pPr>
        <w:pStyle w:val="Heading4"/>
      </w:pPr>
      <w:r w:rsidRPr="00A01FC3">
        <w:t>Revocation of Exemption</w:t>
      </w:r>
    </w:p>
    <w:p w14:paraId="3EC0C9F8" w14:textId="77777777" w:rsidR="000E0490" w:rsidRPr="00EA0A6E" w:rsidRDefault="000E0490" w:rsidP="00AE41F1">
      <w:pPr>
        <w:pStyle w:val="OutlineNumbered1"/>
        <w:ind w:left="567" w:hanging="567"/>
      </w:pPr>
      <w:r w:rsidRPr="00EA0A6E">
        <w:t>The Regulator may revoke an exemption if the entity fails to comply with the imposed conditions or if the exemption is no longer appropriate.</w:t>
      </w:r>
    </w:p>
    <w:tbl>
      <w:tblPr>
        <w:tblpPr w:leftFromText="180" w:rightFromText="180" w:vertAnchor="text" w:horzAnchor="margin" w:tblpY="958"/>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D2239A" w14:paraId="285CF4A7" w14:textId="77777777" w:rsidTr="00D2239A">
        <w:tc>
          <w:tcPr>
            <w:tcW w:w="5000" w:type="pct"/>
            <w:shd w:val="clear" w:color="auto" w:fill="EBF1F7"/>
          </w:tcPr>
          <w:p w14:paraId="1F5AA258" w14:textId="77777777" w:rsidR="00D2239A" w:rsidRPr="000553FE" w:rsidRDefault="00D2239A" w:rsidP="00D2239A">
            <w:pPr>
              <w:pStyle w:val="BoxHeading"/>
              <w:rPr>
                <w:b w:val="0"/>
              </w:rPr>
            </w:pPr>
            <w:r>
              <w:t>Example 50</w:t>
            </w:r>
          </w:p>
          <w:p w14:paraId="7312D74B" w14:textId="77777777" w:rsidR="00D2239A" w:rsidRPr="00247BAC" w:rsidRDefault="00D2239A" w:rsidP="00D2239A">
            <w:pPr>
              <w:pStyle w:val="BoxHeading2-Blue"/>
            </w:pPr>
            <w:r>
              <w:rPr>
                <w:rStyle w:val="Strong"/>
              </w:rPr>
              <w:t>Revocation of an Exemption</w:t>
            </w:r>
          </w:p>
          <w:p w14:paraId="34DA4378" w14:textId="77777777" w:rsidR="00D2239A" w:rsidRDefault="00D2239A" w:rsidP="00D2239A">
            <w:pPr>
              <w:pStyle w:val="BoxText"/>
            </w:pPr>
            <w:r w:rsidRPr="00A92B2D">
              <w:t xml:space="preserve">An entity was given an exemption for the reporting period 1 January to 30 June. The Regulator revokes the exemption on 30 September. </w:t>
            </w:r>
          </w:p>
          <w:p w14:paraId="345B29BD" w14:textId="77777777" w:rsidR="00D2239A" w:rsidRPr="008950C5" w:rsidRDefault="00D2239A" w:rsidP="00D2239A">
            <w:pPr>
              <w:pStyle w:val="BoxBullet"/>
              <w:ind w:left="284" w:hanging="284"/>
            </w:pPr>
            <w:r w:rsidRPr="00A92B2D">
              <w:t>The entity must now submit a report for that period by 31 December.</w:t>
            </w:r>
          </w:p>
        </w:tc>
      </w:tr>
    </w:tbl>
    <w:p w14:paraId="051109D6" w14:textId="2FF7D8F8" w:rsidR="000E0490" w:rsidRDefault="000E0490" w:rsidP="00AE41F1">
      <w:pPr>
        <w:pStyle w:val="OutlineNumbered1"/>
        <w:ind w:left="567" w:hanging="567"/>
      </w:pPr>
      <w:r w:rsidRPr="00442538">
        <w:t xml:space="preserve">If an exemption is revoked, the entity must submit reports for the periods </w:t>
      </w:r>
      <w:r w:rsidR="006407E2">
        <w:t>for which the exemption is revoked</w:t>
      </w:r>
      <w:r w:rsidRPr="00442538">
        <w:t>. These reports will be due within three months from the date of revocation.</w:t>
      </w:r>
    </w:p>
    <w:p w14:paraId="770DE2C6" w14:textId="77777777" w:rsidR="000E0490" w:rsidRPr="00A01FC3" w:rsidRDefault="000E0490" w:rsidP="000E0490">
      <w:pPr>
        <w:pStyle w:val="Heading2"/>
      </w:pPr>
      <w:bookmarkStart w:id="195" w:name="_Ref179827418"/>
      <w:bookmarkStart w:id="196" w:name="_Toc180688180"/>
      <w:bookmarkStart w:id="197" w:name="_Toc184822260"/>
      <w:r w:rsidRPr="00A01FC3">
        <w:t>Review</w:t>
      </w:r>
      <w:r>
        <w:t xml:space="preserve"> of d</w:t>
      </w:r>
      <w:r w:rsidRPr="00A01FC3">
        <w:t>ecisions</w:t>
      </w:r>
      <w:bookmarkEnd w:id="195"/>
      <w:bookmarkEnd w:id="196"/>
      <w:bookmarkEnd w:id="197"/>
    </w:p>
    <w:p w14:paraId="6AC1BB1E" w14:textId="77777777" w:rsidR="000E0490" w:rsidRPr="00EA0A6E" w:rsidRDefault="000E0490" w:rsidP="004D5A1A">
      <w:pPr>
        <w:pStyle w:val="OutlineNumbered1"/>
        <w:spacing w:before="120"/>
        <w:ind w:left="567" w:hanging="567"/>
      </w:pPr>
      <w:r w:rsidRPr="00EA0A6E">
        <w:t xml:space="preserve">Certain decisions made by the Regulator can be reviewed, </w:t>
      </w:r>
      <w:r>
        <w:t>and</w:t>
      </w:r>
      <w:r w:rsidRPr="00EA0A6E">
        <w:t xml:space="preserve"> affected entities </w:t>
      </w:r>
      <w:r>
        <w:t>have</w:t>
      </w:r>
      <w:r w:rsidRPr="00EA0A6E">
        <w:t xml:space="preserve"> the right to apply for reconsideration of the decision.</w:t>
      </w:r>
      <w:r>
        <w:t xml:space="preserve"> </w:t>
      </w:r>
      <w:r w:rsidRPr="00EA0A6E">
        <w:t xml:space="preserve">Reviewable </w:t>
      </w:r>
      <w:r>
        <w:t>d</w:t>
      </w:r>
      <w:r w:rsidRPr="00EA0A6E">
        <w:t xml:space="preserve">ecisions </w:t>
      </w:r>
      <w:r>
        <w:t>are</w:t>
      </w:r>
      <w:r w:rsidRPr="00EA0A6E">
        <w:t>:</w:t>
      </w:r>
    </w:p>
    <w:p w14:paraId="25344B09" w14:textId="77777777" w:rsidR="000E0490" w:rsidRPr="00EA0A6E" w:rsidRDefault="000E0490" w:rsidP="004D5A1A">
      <w:pPr>
        <w:pStyle w:val="OutlineNumberedDot"/>
        <w:spacing w:before="120"/>
        <w:ind w:left="851" w:hanging="284"/>
      </w:pPr>
      <w:r w:rsidRPr="00EA0A6E">
        <w:rPr>
          <w:b/>
        </w:rPr>
        <w:t>Applications:</w:t>
      </w:r>
      <w:r w:rsidRPr="00EA0A6E">
        <w:t xml:space="preserve"> Refusing a volunteer, nominee, or subsidiary reporting entity application, refusing to grant an extension of time, or refusing an exemption application.</w:t>
      </w:r>
    </w:p>
    <w:p w14:paraId="622F69A4" w14:textId="77777777" w:rsidR="000E0490" w:rsidRPr="00EA0A6E" w:rsidRDefault="000E0490" w:rsidP="004D5A1A">
      <w:pPr>
        <w:pStyle w:val="OutlineNumberedDot"/>
        <w:spacing w:before="120"/>
        <w:ind w:left="851" w:hanging="284"/>
      </w:pPr>
      <w:r w:rsidRPr="00EA0A6E">
        <w:rPr>
          <w:b/>
        </w:rPr>
        <w:t>Revocations:</w:t>
      </w:r>
      <w:r w:rsidRPr="00EA0A6E">
        <w:t xml:space="preserve"> Revoking the status of a volunteer, nominee, or subsidiary reporting entity, or revoking an exemption.</w:t>
      </w:r>
    </w:p>
    <w:p w14:paraId="4FF49C75" w14:textId="77777777" w:rsidR="000E0490" w:rsidRPr="00EA0A6E" w:rsidRDefault="000E0490" w:rsidP="004D5A1A">
      <w:pPr>
        <w:pStyle w:val="OutlineNumberedDot"/>
        <w:spacing w:before="120"/>
        <w:ind w:left="851" w:hanging="284"/>
      </w:pPr>
      <w:r w:rsidRPr="00EA0A6E">
        <w:rPr>
          <w:b/>
        </w:rPr>
        <w:t>Other Decisions:</w:t>
      </w:r>
      <w:r w:rsidRPr="00EA0A6E">
        <w:t xml:space="preserve"> Deciding that an entity is no longer a reporting entity under subsection 10K(1) of the Act, publishing the identity of an entity or details of non-compliance on the </w:t>
      </w:r>
      <w:hyperlink r:id="rId68" w:history="1">
        <w:r w:rsidRPr="00F248C1">
          <w:rPr>
            <w:rStyle w:val="Hyperlink"/>
          </w:rPr>
          <w:t>Register</w:t>
        </w:r>
      </w:hyperlink>
      <w:r w:rsidRPr="00EA0A6E">
        <w:t xml:space="preserve">, the Regulator </w:t>
      </w:r>
      <w:r>
        <w:t>(</w:t>
      </w:r>
      <w:r w:rsidRPr="00EA0A6E">
        <w:t>as delegate</w:t>
      </w:r>
      <w:r>
        <w:t>)</w:t>
      </w:r>
      <w:r w:rsidRPr="00EA0A6E">
        <w:t xml:space="preserve"> issuing a slow small business payer direction, or excluding an entity from the list of fast small business payers.</w:t>
      </w:r>
    </w:p>
    <w:p w14:paraId="2C25189B" w14:textId="77777777" w:rsidR="008D1E80" w:rsidRDefault="008D1E80">
      <w:pPr>
        <w:spacing w:before="0" w:after="160" w:line="259" w:lineRule="auto"/>
        <w:rPr>
          <w:rFonts w:cs="Arial"/>
          <w:bCs/>
          <w:color w:val="002C47" w:themeColor="accent1"/>
          <w:kern w:val="32"/>
          <w:sz w:val="28"/>
          <w:szCs w:val="26"/>
        </w:rPr>
      </w:pPr>
      <w:bookmarkStart w:id="198" w:name="_Toc180688181"/>
      <w:r>
        <w:br w:type="page"/>
      </w:r>
    </w:p>
    <w:p w14:paraId="76231336" w14:textId="77777777" w:rsidR="000E0490" w:rsidRDefault="000E0490" w:rsidP="000E0490">
      <w:pPr>
        <w:pStyle w:val="Heading3"/>
      </w:pPr>
      <w:bookmarkStart w:id="199" w:name="_Toc184822261"/>
      <w:r>
        <w:lastRenderedPageBreak/>
        <w:t>Reconsideration of decision</w:t>
      </w:r>
      <w:bookmarkEnd w:id="198"/>
      <w:bookmarkEnd w:id="199"/>
    </w:p>
    <w:p w14:paraId="3AA4EF3C" w14:textId="77777777" w:rsidR="000E0490" w:rsidRPr="00EA0A6E" w:rsidRDefault="000E0490" w:rsidP="00AE41F1">
      <w:pPr>
        <w:pStyle w:val="OutlineNumbered1"/>
        <w:ind w:left="567" w:hanging="567"/>
      </w:pPr>
      <w:r w:rsidRPr="00AE41F1">
        <w:t>Reconsideration</w:t>
      </w:r>
      <w:r w:rsidRPr="003255BE">
        <w:rPr>
          <w:rStyle w:val="GRRParanumbersChar"/>
        </w:rPr>
        <w:t xml:space="preserve"> of reviewable decisions is conducted internally by either the Regulator or a delegate of the Regulator who</w:t>
      </w:r>
      <w:r w:rsidRPr="00EA0A6E">
        <w:t xml:space="preserve"> was not involved in the original decision. This person must hold a position at least equivalent to the individual who made the original decision. The reviewer can:</w:t>
      </w:r>
    </w:p>
    <w:p w14:paraId="647AAAEF" w14:textId="06BFC001" w:rsidR="000E0490" w:rsidRPr="00EA0A6E" w:rsidRDefault="000E0490" w:rsidP="00AE41F1">
      <w:pPr>
        <w:pStyle w:val="OutlineNumberedDot"/>
        <w:ind w:left="851" w:hanging="284"/>
      </w:pPr>
      <w:r w:rsidRPr="00EA0A6E">
        <w:t>Affirm the original decision</w:t>
      </w:r>
      <w:r w:rsidR="00C62BAB">
        <w:t>,</w:t>
      </w:r>
    </w:p>
    <w:p w14:paraId="50FC805E" w14:textId="77777777" w:rsidR="000E0490" w:rsidRPr="00EA0A6E" w:rsidRDefault="000E0490" w:rsidP="00AE41F1">
      <w:pPr>
        <w:pStyle w:val="OutlineNumberedDot"/>
        <w:ind w:left="851" w:hanging="284"/>
      </w:pPr>
      <w:r w:rsidRPr="00EA0A6E">
        <w:t>Vary the decision, or</w:t>
      </w:r>
    </w:p>
    <w:p w14:paraId="01D5856C" w14:textId="77777777" w:rsidR="000E0490" w:rsidRPr="00EA0A6E" w:rsidRDefault="000E0490" w:rsidP="00AE41F1">
      <w:pPr>
        <w:pStyle w:val="OutlineNumberedDot"/>
        <w:ind w:left="851" w:hanging="284"/>
      </w:pPr>
      <w:r w:rsidRPr="00EA0A6E">
        <w:t>Set aside the decision and substitute it with a new one.</w:t>
      </w:r>
    </w:p>
    <w:p w14:paraId="776C2997" w14:textId="77777777" w:rsidR="000E0490" w:rsidRPr="00AE41F1" w:rsidRDefault="000E0490" w:rsidP="00AE41F1">
      <w:pPr>
        <w:pStyle w:val="OutlineNumbered1"/>
        <w:ind w:left="567" w:hanging="567"/>
      </w:pPr>
      <w:r w:rsidRPr="00AE41F1">
        <w:t>Applications for reconsideration of a reviewable decision must be made in writing within 14 days of the original decision and set out the reasons for the application.</w:t>
      </w:r>
    </w:p>
    <w:p w14:paraId="0B849041" w14:textId="77777777" w:rsidR="000E0490" w:rsidRPr="00AE41F1" w:rsidRDefault="000E0490" w:rsidP="00AE41F1">
      <w:pPr>
        <w:pStyle w:val="OutlineNumbered1"/>
        <w:ind w:left="567" w:hanging="567"/>
      </w:pPr>
      <w:r w:rsidRPr="00EA0A6E">
        <w:t xml:space="preserve">The Regulator </w:t>
      </w:r>
      <w:r>
        <w:t>or their delegate</w:t>
      </w:r>
      <w:r w:rsidRPr="00EA0A6E">
        <w:t xml:space="preserve"> will provide written notice of the review decision, stating the date the decision takes effect and the reasons behind it. If no response is </w:t>
      </w:r>
      <w:r>
        <w:t>given</w:t>
      </w:r>
      <w:r w:rsidRPr="00EA0A6E">
        <w:t xml:space="preserve"> within 90 days, the original decision is deemed to be affirmed.</w:t>
      </w:r>
    </w:p>
    <w:p w14:paraId="779EC488" w14:textId="38585BAB" w:rsidR="000E0490" w:rsidRDefault="000E0490" w:rsidP="000E0490">
      <w:pPr>
        <w:pStyle w:val="Heading3"/>
      </w:pPr>
      <w:bookmarkStart w:id="200" w:name="_Toc180688182"/>
      <w:bookmarkStart w:id="201" w:name="_Toc184822262"/>
      <w:r w:rsidRPr="00F26ACA">
        <w:t>Review by the A</w:t>
      </w:r>
      <w:r>
        <w:t>R</w:t>
      </w:r>
      <w:r w:rsidRPr="00F26ACA">
        <w:t>T</w:t>
      </w:r>
      <w:bookmarkEnd w:id="200"/>
      <w:bookmarkEnd w:id="201"/>
    </w:p>
    <w:p w14:paraId="20E69B15" w14:textId="05D5E2DC" w:rsidR="000E0490" w:rsidRPr="00577321" w:rsidRDefault="000E0490" w:rsidP="00AE41F1">
      <w:pPr>
        <w:pStyle w:val="OutlineNumbered1"/>
        <w:ind w:left="567" w:hanging="567"/>
        <w:rPr>
          <w:rFonts w:cs="Calibri"/>
        </w:rPr>
      </w:pPr>
      <w:r>
        <w:t xml:space="preserve">A person affected by certain decisions </w:t>
      </w:r>
      <w:r>
        <w:rPr>
          <w:rFonts w:cs="Calibri"/>
        </w:rPr>
        <w:t xml:space="preserve">may apply to the ART for </w:t>
      </w:r>
      <w:r>
        <w:t>review of the decision. An application to the ART can be made for review of:</w:t>
      </w:r>
    </w:p>
    <w:p w14:paraId="49D829E7" w14:textId="77777777" w:rsidR="000E0490" w:rsidRPr="00577321" w:rsidRDefault="000E0490" w:rsidP="00AE41F1">
      <w:pPr>
        <w:pStyle w:val="OutlineNumberedDot"/>
        <w:ind w:left="851" w:hanging="284"/>
        <w:rPr>
          <w:rFonts w:cs="Calibri"/>
        </w:rPr>
      </w:pPr>
      <w:r>
        <w:t>reconsideration decisions made by an internal decision reviewer: Act s 54, and</w:t>
      </w:r>
    </w:p>
    <w:p w14:paraId="04CC6261" w14:textId="77777777" w:rsidR="000E0490" w:rsidRDefault="000E0490" w:rsidP="00AE41F1">
      <w:pPr>
        <w:pStyle w:val="OutlineNumberedDot"/>
        <w:ind w:left="851" w:hanging="284"/>
        <w:rPr>
          <w:rFonts w:cs="Calibri"/>
        </w:rPr>
      </w:pPr>
      <w:r>
        <w:t xml:space="preserve">decisions to give a slow small business payer direction personally made by the </w:t>
      </w:r>
      <w:r w:rsidRPr="000F0F43">
        <w:t>Small Business Minister</w:t>
      </w:r>
      <w:r>
        <w:t>: Act s 54AA.</w:t>
      </w:r>
    </w:p>
    <w:p w14:paraId="2FE6E673" w14:textId="77777777" w:rsidR="000E0490" w:rsidRDefault="000E0490" w:rsidP="00AE41F1">
      <w:pPr>
        <w:pStyle w:val="OutlineNumbered1"/>
        <w:ind w:left="567" w:hanging="567"/>
      </w:pPr>
      <w:r>
        <w:t xml:space="preserve">The ART may affirm the original decision, vary the decision or set the decision aside and substitute it with a new decision. </w:t>
      </w:r>
    </w:p>
    <w:p w14:paraId="4823A0FE" w14:textId="77777777" w:rsidR="000E0490" w:rsidRDefault="000E0490" w:rsidP="00AE41F1">
      <w:pPr>
        <w:pStyle w:val="OutlineNumbered1"/>
        <w:ind w:left="567" w:hanging="567"/>
      </w:pPr>
      <w:r>
        <w:t>Applications for an ART review must be made in writing, usually within 28 days of receiving the decision that the person wants the ART to review. An </w:t>
      </w:r>
      <w:hyperlink r:id="rId69" w:tooltip="Link to fees page on the AAT website" w:history="1">
        <w:r>
          <w:rPr>
            <w:rStyle w:val="Hyperlink"/>
            <w:color w:val="3A73AD"/>
          </w:rPr>
          <w:t>application fee</w:t>
        </w:r>
      </w:hyperlink>
      <w:r>
        <w:t xml:space="preserve"> may be required. For more information visit the </w:t>
      </w:r>
      <w:hyperlink r:id="rId70" w:history="1">
        <w:r>
          <w:rPr>
            <w:rStyle w:val="Hyperlink"/>
            <w:color w:val="3A73AD"/>
          </w:rPr>
          <w:t>ART website</w:t>
        </w:r>
      </w:hyperlink>
      <w:r>
        <w:t xml:space="preserve">. </w:t>
      </w:r>
      <w:r>
        <w:br w:type="page"/>
      </w:r>
    </w:p>
    <w:p w14:paraId="19E41A99" w14:textId="77777777" w:rsidR="000E0490" w:rsidRPr="00612E7E" w:rsidRDefault="000E0490" w:rsidP="000E0490">
      <w:pPr>
        <w:pStyle w:val="Heading1"/>
      </w:pPr>
      <w:bookmarkStart w:id="202" w:name="_Toc180688183"/>
      <w:bookmarkStart w:id="203" w:name="_Toc184822263"/>
      <w:bookmarkEnd w:id="139"/>
      <w:r w:rsidRPr="00612E7E">
        <w:lastRenderedPageBreak/>
        <w:t>Fast and Slow Small Business Payers</w:t>
      </w:r>
      <w:bookmarkEnd w:id="202"/>
      <w:bookmarkEnd w:id="203"/>
    </w:p>
    <w:p w14:paraId="5EDD2FC1" w14:textId="77777777" w:rsidR="000E0490" w:rsidRPr="00612E7E" w:rsidRDefault="000E0490" w:rsidP="000E0490">
      <w:pPr>
        <w:pStyle w:val="Heading2"/>
      </w:pPr>
      <w:bookmarkStart w:id="204" w:name="_Toc180688184"/>
      <w:bookmarkStart w:id="205" w:name="_Toc184822264"/>
      <w:r w:rsidRPr="00612E7E">
        <w:t>Slow Small Business Payers</w:t>
      </w:r>
      <w:bookmarkEnd w:id="204"/>
      <w:bookmarkEnd w:id="205"/>
    </w:p>
    <w:p w14:paraId="667DE696" w14:textId="2D9CAB85" w:rsidR="000E0490" w:rsidRPr="00EA0A6E" w:rsidRDefault="000E0490" w:rsidP="00AE41F1">
      <w:pPr>
        <w:pStyle w:val="OutlineNumbered1"/>
        <w:ind w:left="567" w:hanging="567"/>
      </w:pPr>
      <w:r w:rsidRPr="00EA0A6E">
        <w:t xml:space="preserve">A slow small business payer is identified based on </w:t>
      </w:r>
      <w:r>
        <w:t>how they compare</w:t>
      </w:r>
      <w:r w:rsidRPr="00EA0A6E">
        <w:t xml:space="preserve"> to other reporting entities</w:t>
      </w:r>
      <w:r>
        <w:t>, both overall</w:t>
      </w:r>
      <w:r w:rsidRPr="00EA0A6E">
        <w:t xml:space="preserve"> and within their </w:t>
      </w:r>
      <w:r>
        <w:t xml:space="preserve">particular </w:t>
      </w:r>
      <w:r w:rsidRPr="00EA0A6E">
        <w:t>ANZSIC Division during a reporting cycle. A reporting entity is classified as a slow payer if:</w:t>
      </w:r>
    </w:p>
    <w:p w14:paraId="070402C7" w14:textId="77777777" w:rsidR="000E0490" w:rsidRPr="00EA0A6E" w:rsidRDefault="000E0490" w:rsidP="00AE41F1">
      <w:pPr>
        <w:pStyle w:val="OutlineNumberedDot"/>
        <w:ind w:left="851" w:hanging="284"/>
      </w:pPr>
      <w:r w:rsidRPr="00EA0A6E">
        <w:t>It ranks in the slowest 20% of small business payers during a reporting cycle, or</w:t>
      </w:r>
    </w:p>
    <w:p w14:paraId="3FEB508E" w14:textId="77777777" w:rsidR="000E0490" w:rsidRPr="00EA0A6E" w:rsidRDefault="000E0490" w:rsidP="00AE41F1">
      <w:pPr>
        <w:pStyle w:val="OutlineNumberedDot"/>
        <w:ind w:left="851" w:hanging="284"/>
      </w:pPr>
      <w:r w:rsidRPr="00EA0A6E">
        <w:t xml:space="preserve">It ranks in the slowest 20% </w:t>
      </w:r>
      <w:r>
        <w:t xml:space="preserve">of small business payers </w:t>
      </w:r>
      <w:r w:rsidRPr="00EA0A6E">
        <w:t>within its ANZSIC Division</w:t>
      </w:r>
      <w:r>
        <w:t xml:space="preserve"> during a reporting cycle</w:t>
      </w:r>
      <w:r w:rsidRPr="00EA0A6E">
        <w:t>, and</w:t>
      </w:r>
    </w:p>
    <w:p w14:paraId="417E1D45" w14:textId="77777777" w:rsidR="000E0490" w:rsidRPr="00EA0A6E" w:rsidRDefault="000E0490" w:rsidP="00AE41F1">
      <w:pPr>
        <w:pStyle w:val="OutlineNumberedDot"/>
        <w:ind w:left="851" w:hanging="284"/>
      </w:pPr>
      <w:r>
        <w:t xml:space="preserve">In either case, </w:t>
      </w:r>
      <w:r w:rsidRPr="00EA0A6E">
        <w:t>has a relevant 95th percentile payment time of more than 30 days.</w:t>
      </w:r>
    </w:p>
    <w:p w14:paraId="1E35B70F" w14:textId="0FCC4276" w:rsidR="000E0490" w:rsidRPr="00EA0A6E" w:rsidRDefault="000E0490" w:rsidP="00AE41F1">
      <w:pPr>
        <w:pStyle w:val="OutlineNumbered1"/>
        <w:ind w:left="567" w:hanging="567"/>
      </w:pPr>
      <w:r w:rsidRPr="00EA0A6E">
        <w:t>To identify slow small business payers, the 95th percentile payment time is used. This is the number of days it takes for the entity to make 95% of its payments to small business suppliers</w:t>
      </w:r>
      <w:r w:rsidR="0015237B">
        <w:t>.</w:t>
      </w:r>
    </w:p>
    <w:p w14:paraId="0DBC8FDF" w14:textId="77777777" w:rsidR="000E0490" w:rsidRPr="00EA0A6E" w:rsidRDefault="000E0490" w:rsidP="00AE41F1">
      <w:pPr>
        <w:pStyle w:val="OutlineNumbered1"/>
        <w:ind w:left="567" w:hanging="567"/>
      </w:pPr>
      <w:r w:rsidRPr="00EA0A6E">
        <w:t>Entities with a 95</w:t>
      </w:r>
      <w:r w:rsidRPr="00AE41F1">
        <w:t>th</w:t>
      </w:r>
      <w:r w:rsidRPr="00EA0A6E">
        <w:t xml:space="preserve"> percentile payment time of 30 days or less cannot be classified as slow small business payers.</w:t>
      </w:r>
    </w:p>
    <w:p w14:paraId="15E81430" w14:textId="38E5034D" w:rsidR="000E0490" w:rsidRPr="00EA0A6E" w:rsidRDefault="000E0490" w:rsidP="00AE41F1">
      <w:pPr>
        <w:pStyle w:val="OutlineNumbered1"/>
        <w:ind w:left="567" w:hanging="567"/>
      </w:pPr>
      <w:r w:rsidRPr="00EA0A6E">
        <w:t>Most reporting entities, including nominee and subsidiary</w:t>
      </w:r>
      <w:r w:rsidR="005047A1">
        <w:t xml:space="preserve"> reporting</w:t>
      </w:r>
      <w:r w:rsidRPr="00EA0A6E">
        <w:t xml:space="preserve"> entities, can be identified as slow small business payers, but volunteer reporting entities are excluded.</w:t>
      </w:r>
    </w:p>
    <w:p w14:paraId="035B356E" w14:textId="77777777" w:rsidR="000E0490" w:rsidRPr="00EA0A6E" w:rsidRDefault="000E0490" w:rsidP="000E0490">
      <w:pPr>
        <w:pStyle w:val="Heading3"/>
        <w:rPr>
          <w:b/>
        </w:rPr>
      </w:pPr>
      <w:bookmarkStart w:id="206" w:name="_Toc180688185"/>
      <w:bookmarkStart w:id="207" w:name="_Toc184822265"/>
      <w:r w:rsidRPr="00EA0A6E">
        <w:t>Reporting cycles</w:t>
      </w:r>
      <w:bookmarkEnd w:id="206"/>
      <w:bookmarkEnd w:id="207"/>
    </w:p>
    <w:p w14:paraId="5D1D7515" w14:textId="77777777" w:rsidR="000E0490" w:rsidRPr="00EA0A6E" w:rsidRDefault="000E0490" w:rsidP="00AE41F1">
      <w:pPr>
        <w:pStyle w:val="OutlineNumbered1"/>
        <w:ind w:left="567" w:hanging="567"/>
      </w:pPr>
      <w:r w:rsidRPr="00EA0A6E">
        <w:t>The Act uses reporting cycles to classify reports for comparison and to identify slow small business payers. Reporting cycles allow comparison of payment times for entities with different financial years and reporting periods.</w:t>
      </w:r>
    </w:p>
    <w:p w14:paraId="4E218257" w14:textId="77777777" w:rsidR="000E0490" w:rsidRPr="00EA0A6E" w:rsidRDefault="000E0490" w:rsidP="00AE41F1">
      <w:pPr>
        <w:pStyle w:val="OutlineNumbered1"/>
        <w:ind w:left="567" w:hanging="567"/>
      </w:pPr>
      <w:r w:rsidRPr="00EA0A6E">
        <w:t xml:space="preserve">Reports are assigned to a reporting cycle based on the end date of the </w:t>
      </w:r>
      <w:r>
        <w:t xml:space="preserve">relevant </w:t>
      </w:r>
      <w:r w:rsidRPr="00EA0A6E">
        <w:t>reporting period. There are two reporting cycles each year:</w:t>
      </w:r>
    </w:p>
    <w:p w14:paraId="76922A08" w14:textId="77777777" w:rsidR="000E0490" w:rsidRPr="00EA0A6E" w:rsidRDefault="000E0490" w:rsidP="00AE41F1">
      <w:pPr>
        <w:pStyle w:val="OutlineNumberedDot"/>
        <w:ind w:left="851" w:hanging="284"/>
      </w:pPr>
      <w:r w:rsidRPr="00EA0A6E">
        <w:t>1 January to 30 June, and</w:t>
      </w:r>
    </w:p>
    <w:p w14:paraId="60635A5C" w14:textId="77777777" w:rsidR="000E0490" w:rsidRDefault="000E0490" w:rsidP="00D2239A">
      <w:pPr>
        <w:pStyle w:val="OutlineNumberedDot"/>
        <w:spacing w:after="240"/>
        <w:ind w:left="851" w:hanging="284"/>
      </w:pPr>
      <w:r w:rsidRPr="00EA0A6E">
        <w:t>1 July to 31 December.</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C076A2" w14:paraId="695E5751" w14:textId="77777777" w:rsidTr="00C076A2">
        <w:tc>
          <w:tcPr>
            <w:tcW w:w="5000" w:type="pct"/>
            <w:shd w:val="clear" w:color="auto" w:fill="EBF1F7"/>
          </w:tcPr>
          <w:p w14:paraId="5BCF0D38" w14:textId="67459D85" w:rsidR="00C076A2" w:rsidRPr="000553FE" w:rsidRDefault="00D357A1" w:rsidP="00C076A2">
            <w:pPr>
              <w:pStyle w:val="BoxHeading"/>
              <w:rPr>
                <w:b w:val="0"/>
              </w:rPr>
            </w:pPr>
            <w:r>
              <w:t>Example</w:t>
            </w:r>
            <w:r w:rsidR="00031282">
              <w:t xml:space="preserve"> 51</w:t>
            </w:r>
          </w:p>
          <w:p w14:paraId="313B09EB" w14:textId="3C2B0F21" w:rsidR="00C076A2" w:rsidRPr="00247BAC" w:rsidRDefault="00D357A1" w:rsidP="00C076A2">
            <w:pPr>
              <w:pStyle w:val="BoxHeading2-Blue"/>
            </w:pPr>
            <w:r>
              <w:rPr>
                <w:rStyle w:val="Strong"/>
              </w:rPr>
              <w:t>Conventional</w:t>
            </w:r>
            <w:r w:rsidR="002C1D27">
              <w:rPr>
                <w:rStyle w:val="Strong"/>
              </w:rPr>
              <w:t xml:space="preserve"> Financial Years</w:t>
            </w:r>
          </w:p>
          <w:p w14:paraId="5F6D4CC1" w14:textId="77777777" w:rsidR="008244EB" w:rsidRPr="007D5745" w:rsidRDefault="008244EB" w:rsidP="00C076A2">
            <w:pPr>
              <w:pStyle w:val="BoxText"/>
              <w:rPr>
                <w:u w:val="single"/>
              </w:rPr>
            </w:pPr>
            <w:r w:rsidRPr="007D5745">
              <w:rPr>
                <w:u w:val="single"/>
              </w:rPr>
              <w:t>Scenario 1:</w:t>
            </w:r>
          </w:p>
          <w:p w14:paraId="6408F140" w14:textId="69031690" w:rsidR="003B514F" w:rsidRDefault="002C7680" w:rsidP="003B514F">
            <w:pPr>
              <w:pStyle w:val="BoxText"/>
            </w:pPr>
            <w:r>
              <w:t>A</w:t>
            </w:r>
            <w:r w:rsidR="008244EB">
              <w:t xml:space="preserve"> reporting entity with an ordinary year-end of 30 June</w:t>
            </w:r>
            <w:r>
              <w:t xml:space="preserve"> gives a payment times report for the </w:t>
            </w:r>
            <w:r w:rsidR="003B514F">
              <w:t>reporting period 1 January to 3</w:t>
            </w:r>
            <w:r w:rsidR="003F7B9B">
              <w:t>0</w:t>
            </w:r>
            <w:r w:rsidR="003B514F">
              <w:t xml:space="preserve"> Ju</w:t>
            </w:r>
            <w:r w:rsidR="003F7B9B">
              <w:t>ne</w:t>
            </w:r>
            <w:r w:rsidR="003B514F">
              <w:t>.</w:t>
            </w:r>
          </w:p>
          <w:p w14:paraId="461C1910" w14:textId="19C156BD" w:rsidR="003B514F" w:rsidRDefault="003B514F" w:rsidP="003B514F">
            <w:pPr>
              <w:pStyle w:val="BoxBullet"/>
              <w:ind w:left="284" w:hanging="284"/>
            </w:pPr>
            <w:r>
              <w:t xml:space="preserve">For the purposes of identifying slow small business payers, this </w:t>
            </w:r>
            <w:r w:rsidR="00C048C1">
              <w:t>report</w:t>
            </w:r>
            <w:r>
              <w:t xml:space="preserve"> </w:t>
            </w:r>
            <w:r w:rsidR="00C048C1">
              <w:t>is</w:t>
            </w:r>
            <w:r>
              <w:t xml:space="preserve"> </w:t>
            </w:r>
            <w:r w:rsidR="008F5DDD">
              <w:t>assigned to the</w:t>
            </w:r>
            <w:r>
              <w:t xml:space="preserve"> 1 January to 30 June reporting cycle for that year.</w:t>
            </w:r>
          </w:p>
          <w:p w14:paraId="7DB67BB1" w14:textId="308DDB82" w:rsidR="003F7B9B" w:rsidRPr="00820429" w:rsidRDefault="003F7B9B" w:rsidP="003F7B9B">
            <w:pPr>
              <w:pStyle w:val="BoxText"/>
              <w:rPr>
                <w:u w:val="single"/>
              </w:rPr>
            </w:pPr>
            <w:r w:rsidRPr="00820429">
              <w:rPr>
                <w:u w:val="single"/>
              </w:rPr>
              <w:t xml:space="preserve">Scenario </w:t>
            </w:r>
            <w:r w:rsidR="00E53D70">
              <w:rPr>
                <w:u w:val="single"/>
              </w:rPr>
              <w:t>2</w:t>
            </w:r>
            <w:r w:rsidRPr="00820429">
              <w:rPr>
                <w:u w:val="single"/>
              </w:rPr>
              <w:t>:</w:t>
            </w:r>
          </w:p>
          <w:p w14:paraId="5CB43367" w14:textId="36E5E498" w:rsidR="003F7B9B" w:rsidRDefault="002C7680" w:rsidP="003F7B9B">
            <w:pPr>
              <w:pStyle w:val="BoxText"/>
            </w:pPr>
            <w:r>
              <w:t>A</w:t>
            </w:r>
            <w:r w:rsidR="003F7B9B">
              <w:t xml:space="preserve"> reporting entity with an ordinary year-end of 30 </w:t>
            </w:r>
            <w:r w:rsidR="00E53D70">
              <w:t>September</w:t>
            </w:r>
            <w:r>
              <w:t xml:space="preserve"> gives a payment times report for</w:t>
            </w:r>
            <w:r w:rsidR="003F7B9B">
              <w:t xml:space="preserve"> the reporting period 1 </w:t>
            </w:r>
            <w:r w:rsidR="00EB0032">
              <w:t>April</w:t>
            </w:r>
            <w:r w:rsidR="003F7B9B">
              <w:t xml:space="preserve"> to 30 </w:t>
            </w:r>
            <w:r w:rsidR="00E53D70">
              <w:t>September</w:t>
            </w:r>
            <w:r w:rsidR="003F7B9B">
              <w:t>.</w:t>
            </w:r>
          </w:p>
          <w:p w14:paraId="05B41A37" w14:textId="6D4F8ED7" w:rsidR="00C076A2" w:rsidRPr="008950C5" w:rsidRDefault="003F7B9B" w:rsidP="007D5745">
            <w:pPr>
              <w:pStyle w:val="BoxBullet"/>
            </w:pPr>
            <w:r>
              <w:t>For the purposes of identifying slow small business payers, th</w:t>
            </w:r>
            <w:r w:rsidR="00C048C1">
              <w:t>e is</w:t>
            </w:r>
            <w:r>
              <w:t xml:space="preserve"> </w:t>
            </w:r>
            <w:r w:rsidR="008F5DDD">
              <w:t>assigned to</w:t>
            </w:r>
            <w:r>
              <w:t xml:space="preserve"> the 1 </w:t>
            </w:r>
            <w:r w:rsidR="00EB0032">
              <w:t>July</w:t>
            </w:r>
            <w:r>
              <w:t xml:space="preserve"> to 3</w:t>
            </w:r>
            <w:r w:rsidR="00EB0032">
              <w:t>1</w:t>
            </w:r>
            <w:r>
              <w:t xml:space="preserve"> </w:t>
            </w:r>
            <w:r w:rsidR="00EB0032">
              <w:t>December</w:t>
            </w:r>
            <w:r>
              <w:t xml:space="preserve"> reporting cycle for that year</w:t>
            </w:r>
            <w:r w:rsidR="00EB0032">
              <w:t>.</w:t>
            </w:r>
          </w:p>
        </w:tc>
      </w:tr>
    </w:tbl>
    <w:p w14:paraId="75DCAC35" w14:textId="77777777" w:rsidR="004211BF" w:rsidRPr="00EA0A6E" w:rsidRDefault="004211BF" w:rsidP="007D5745">
      <w:pPr>
        <w:pStyle w:val="OutlineNumberedDot"/>
        <w:numPr>
          <w:ilvl w:val="0"/>
          <w:numId w:val="0"/>
        </w:numPr>
        <w:ind w:left="283" w:hanging="283"/>
      </w:pPr>
    </w:p>
    <w:p w14:paraId="5E8E5329" w14:textId="77777777" w:rsidR="000E0490" w:rsidRDefault="000E0490" w:rsidP="00D2239A">
      <w:pPr>
        <w:pStyle w:val="OutlineNumbered1"/>
        <w:spacing w:after="240"/>
        <w:ind w:left="567" w:hanging="567"/>
      </w:pPr>
      <w:r w:rsidRPr="00EA0A6E">
        <w:lastRenderedPageBreak/>
        <w:t>If a reporting entity uses an unconventional financial year, such as a 52-53 week financial year, the report may be classified based on the entity’s ordinary financial year.</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77D842EE" w14:textId="77777777">
        <w:tc>
          <w:tcPr>
            <w:tcW w:w="5000" w:type="pct"/>
            <w:shd w:val="clear" w:color="auto" w:fill="EBF1F7"/>
          </w:tcPr>
          <w:p w14:paraId="04CF96FF" w14:textId="6EE02525" w:rsidR="00AE41F1" w:rsidRPr="000553FE" w:rsidRDefault="00E61757">
            <w:pPr>
              <w:pStyle w:val="BoxHeading"/>
              <w:rPr>
                <w:b w:val="0"/>
              </w:rPr>
            </w:pPr>
            <w:r>
              <w:t>Example</w:t>
            </w:r>
            <w:r w:rsidR="00031282">
              <w:t xml:space="preserve"> 52</w:t>
            </w:r>
          </w:p>
          <w:p w14:paraId="2AE068DD" w14:textId="56E35D68" w:rsidR="00AE41F1" w:rsidRPr="00247BAC" w:rsidRDefault="00E61757">
            <w:pPr>
              <w:pStyle w:val="BoxHeading2-Blue"/>
            </w:pPr>
            <w:r w:rsidRPr="00E61757">
              <w:rPr>
                <w:rStyle w:val="Strong"/>
              </w:rPr>
              <w:t>Unconventional Financial Years</w:t>
            </w:r>
          </w:p>
          <w:p w14:paraId="65F5589A" w14:textId="6A1D5164" w:rsidR="003309FD" w:rsidRDefault="00E61757" w:rsidP="0011545B">
            <w:pPr>
              <w:pStyle w:val="BoxText"/>
            </w:pPr>
            <w:r>
              <w:t xml:space="preserve">A reporting entity with an ordinary year-end of 30 June extends its financial year to 3 July under section 323D of the Corporations Act. </w:t>
            </w:r>
          </w:p>
          <w:p w14:paraId="077FB10A" w14:textId="74290D6F" w:rsidR="00E61757" w:rsidRDefault="00E61757" w:rsidP="003309FD">
            <w:pPr>
              <w:pStyle w:val="BoxBullet"/>
              <w:ind w:left="284" w:hanging="284"/>
            </w:pPr>
            <w:r>
              <w:t>In this case, the reporting period for the entity is 1 January to 3 July.</w:t>
            </w:r>
          </w:p>
          <w:p w14:paraId="48B77BEA" w14:textId="2E6B092E" w:rsidR="00E61757" w:rsidRDefault="00E61757" w:rsidP="00CC228B">
            <w:pPr>
              <w:pStyle w:val="BoxBullet"/>
              <w:ind w:left="284" w:hanging="284"/>
            </w:pPr>
            <w:r>
              <w:t xml:space="preserve">For the purposes of identifying slow small business payers, however, this reporting period will be </w:t>
            </w:r>
            <w:r w:rsidR="008F5DDD">
              <w:t>assigned to</w:t>
            </w:r>
            <w:r>
              <w:t xml:space="preserve"> the 1 January to 30 June reporting cycle for that year.</w:t>
            </w:r>
          </w:p>
          <w:p w14:paraId="4AC80E45" w14:textId="6C774B3D" w:rsidR="00AE41F1" w:rsidRPr="008950C5" w:rsidRDefault="00E61757" w:rsidP="0011545B">
            <w:pPr>
              <w:pStyle w:val="BoxBullet"/>
              <w:ind w:left="284" w:hanging="284"/>
            </w:pPr>
            <w:r>
              <w:t>Section 16 of the Rules ensures that irregular changes and unconventional financial years do not lead to reports being incorrectly categorised.</w:t>
            </w:r>
          </w:p>
        </w:tc>
      </w:tr>
    </w:tbl>
    <w:p w14:paraId="7918C6B9" w14:textId="77777777" w:rsidR="000E0490" w:rsidRPr="00116C79" w:rsidRDefault="000E0490" w:rsidP="000E0490">
      <w:pPr>
        <w:pStyle w:val="Heading2"/>
      </w:pPr>
      <w:bookmarkStart w:id="208" w:name="_Toc180688186"/>
      <w:bookmarkStart w:id="209" w:name="_Toc184822266"/>
      <w:r w:rsidRPr="00116C79">
        <w:t>Slow Small Business Payer Direction</w:t>
      </w:r>
      <w:r>
        <w:t>s</w:t>
      </w:r>
      <w:bookmarkEnd w:id="208"/>
      <w:bookmarkEnd w:id="209"/>
    </w:p>
    <w:p w14:paraId="468CA769" w14:textId="02435B17" w:rsidR="000E0490" w:rsidRPr="00EA0A6E" w:rsidRDefault="000E0490" w:rsidP="00AE41F1">
      <w:pPr>
        <w:pStyle w:val="OutlineNumbered1"/>
        <w:ind w:left="567" w:hanging="567"/>
      </w:pPr>
      <w:r w:rsidRPr="00EA0A6E">
        <w:t>The Minister</w:t>
      </w:r>
      <w:r w:rsidRPr="00EA0A6E" w:rsidDel="002356CB">
        <w:t xml:space="preserve"> </w:t>
      </w:r>
      <w:r w:rsidRPr="00EA0A6E">
        <w:t>can issue a direction to a slow-</w:t>
      </w:r>
      <w:r>
        <w:t>small business payer</w:t>
      </w:r>
      <w:r w:rsidRPr="00EA0A6E">
        <w:t xml:space="preserve">, requiring it to make disclosures </w:t>
      </w:r>
      <w:r>
        <w:t xml:space="preserve">about its payment times </w:t>
      </w:r>
      <w:r w:rsidRPr="00EA0A6E">
        <w:t>on its website and in procurement, ESG</w:t>
      </w:r>
      <w:r w:rsidR="007218CA">
        <w:t xml:space="preserve"> </w:t>
      </w:r>
      <w:r w:rsidRPr="00EA0A6E">
        <w:t xml:space="preserve">related, and other documents. These slow small business payer directions are published on the </w:t>
      </w:r>
      <w:hyperlink r:id="rId71" w:history="1">
        <w:r>
          <w:rPr>
            <w:rStyle w:val="Hyperlink"/>
          </w:rPr>
          <w:t>Register.</w:t>
        </w:r>
      </w:hyperlink>
    </w:p>
    <w:p w14:paraId="1CFF38E5" w14:textId="77777777" w:rsidR="000E0490" w:rsidRPr="00EA0A6E" w:rsidRDefault="000E0490" w:rsidP="00AE41F1">
      <w:pPr>
        <w:pStyle w:val="OutlineNumbered1"/>
        <w:ind w:left="567" w:hanging="567"/>
      </w:pPr>
      <w:r w:rsidRPr="00EA0A6E">
        <w:t>Before the Minister (or the Regulator, acting as the Minister’s delegate) can issue this direction, four steps must happen:</w:t>
      </w:r>
    </w:p>
    <w:p w14:paraId="06366331" w14:textId="77777777" w:rsidR="000E0490" w:rsidRPr="0011545B" w:rsidRDefault="000E0490" w:rsidP="00AE41F1">
      <w:pPr>
        <w:pStyle w:val="OutlineNumberedDot"/>
        <w:ind w:left="851" w:hanging="284"/>
        <w:rPr>
          <w:rStyle w:val="BulletChar"/>
          <w:rFonts w:asciiTheme="minorHAnsi" w:hAnsiTheme="minorHAnsi" w:cstheme="minorHAnsi"/>
          <w:color w:val="auto"/>
          <w:szCs w:val="22"/>
        </w:rPr>
      </w:pPr>
      <w:r w:rsidRPr="0011545B">
        <w:rPr>
          <w:rFonts w:cstheme="minorHAnsi"/>
          <w:b/>
          <w:bCs/>
        </w:rPr>
        <w:t xml:space="preserve">Step 1: </w:t>
      </w:r>
      <w:r w:rsidRPr="0011545B">
        <w:rPr>
          <w:rFonts w:cstheme="minorHAnsi"/>
        </w:rPr>
        <w:t xml:space="preserve">The authority to </w:t>
      </w:r>
      <w:r w:rsidRPr="0011545B">
        <w:rPr>
          <w:rStyle w:val="BulletChar"/>
          <w:color w:val="auto"/>
          <w:szCs w:val="22"/>
        </w:rPr>
        <w:t>issue a direction must be enlivened.</w:t>
      </w:r>
    </w:p>
    <w:p w14:paraId="6F87F28A" w14:textId="77777777" w:rsidR="000E0490" w:rsidRPr="0011545B" w:rsidRDefault="000E0490" w:rsidP="00AE41F1">
      <w:pPr>
        <w:pStyle w:val="OutlineNumberedDot"/>
        <w:ind w:left="851" w:hanging="284"/>
        <w:rPr>
          <w:rStyle w:val="BulletChar"/>
          <w:rFonts w:asciiTheme="minorHAnsi" w:hAnsiTheme="minorHAnsi" w:cstheme="minorHAnsi"/>
          <w:color w:val="auto"/>
          <w:szCs w:val="22"/>
        </w:rPr>
      </w:pPr>
      <w:r w:rsidRPr="0011545B">
        <w:rPr>
          <w:rStyle w:val="BulletChar"/>
          <w:b/>
          <w:color w:val="auto"/>
          <w:szCs w:val="22"/>
        </w:rPr>
        <w:t>Step 2:</w:t>
      </w:r>
      <w:r w:rsidRPr="0011545B">
        <w:rPr>
          <w:rStyle w:val="BulletChar"/>
          <w:color w:val="auto"/>
          <w:szCs w:val="22"/>
        </w:rPr>
        <w:t xml:space="preserve"> The Minister (or the Regulator) decides whether to potentially give the direction.</w:t>
      </w:r>
    </w:p>
    <w:p w14:paraId="4D708A9F" w14:textId="77777777" w:rsidR="000E0490" w:rsidRPr="0011545B" w:rsidRDefault="000E0490" w:rsidP="00AE41F1">
      <w:pPr>
        <w:pStyle w:val="OutlineNumberedDot"/>
        <w:ind w:left="851" w:hanging="284"/>
        <w:rPr>
          <w:rStyle w:val="BulletChar"/>
          <w:rFonts w:asciiTheme="minorHAnsi" w:hAnsiTheme="minorHAnsi" w:cstheme="minorHAnsi"/>
          <w:color w:val="auto"/>
          <w:szCs w:val="22"/>
        </w:rPr>
      </w:pPr>
      <w:r w:rsidRPr="0011545B">
        <w:rPr>
          <w:rStyle w:val="BulletChar"/>
          <w:b/>
          <w:color w:val="auto"/>
          <w:szCs w:val="22"/>
        </w:rPr>
        <w:t>Step 3:</w:t>
      </w:r>
      <w:r w:rsidRPr="0011545B">
        <w:rPr>
          <w:rStyle w:val="BulletChar"/>
          <w:color w:val="auto"/>
          <w:szCs w:val="22"/>
        </w:rPr>
        <w:t xml:space="preserve"> The Minister (or the Regulator) must consider the reporting entity’s circumstances.</w:t>
      </w:r>
    </w:p>
    <w:p w14:paraId="7182E494" w14:textId="77777777" w:rsidR="000E0490" w:rsidRPr="0011545B" w:rsidRDefault="000E0490" w:rsidP="00D2239A">
      <w:pPr>
        <w:pStyle w:val="OutlineNumberedDot"/>
        <w:spacing w:after="240"/>
        <w:ind w:left="851" w:hanging="284"/>
      </w:pPr>
      <w:r w:rsidRPr="0011545B">
        <w:rPr>
          <w:rStyle w:val="BulletChar"/>
          <w:b/>
          <w:color w:val="auto"/>
          <w:szCs w:val="22"/>
        </w:rPr>
        <w:t>Step 4:</w:t>
      </w:r>
      <w:r w:rsidRPr="0011545B">
        <w:rPr>
          <w:rStyle w:val="BulletChar"/>
          <w:color w:val="auto"/>
          <w:szCs w:val="22"/>
        </w:rPr>
        <w:t xml:space="preserve"> The reporting entity</w:t>
      </w:r>
      <w:r w:rsidRPr="0011545B">
        <w:t xml:space="preserve"> must be given notice and allowed procedural fairness.</w:t>
      </w:r>
      <w:r w:rsidRPr="0011545B" w:rsidDel="00136508">
        <w:t xml:space="preserve"> </w:t>
      </w:r>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0B36" w14:paraId="34F52CE8" w14:textId="77777777">
        <w:tc>
          <w:tcPr>
            <w:tcW w:w="5000" w:type="pct"/>
            <w:shd w:val="clear" w:color="auto" w:fill="FEF2E4" w:themeFill="accent5"/>
          </w:tcPr>
          <w:p w14:paraId="3B71440E" w14:textId="16F7E8A0" w:rsidR="00F70B36" w:rsidRPr="000553FE" w:rsidRDefault="00D139E6">
            <w:pPr>
              <w:pStyle w:val="BoxHeading"/>
              <w:rPr>
                <w:b w:val="0"/>
              </w:rPr>
            </w:pPr>
            <w:r>
              <w:t>Regulator Note</w:t>
            </w:r>
          </w:p>
          <w:p w14:paraId="370AD0B3" w14:textId="4442F0BF" w:rsidR="00F70B36" w:rsidRPr="008950C5" w:rsidRDefault="00F915C9" w:rsidP="00F915C9">
            <w:pPr>
              <w:pStyle w:val="BoxText"/>
            </w:pPr>
            <w:r w:rsidRPr="00F915C9">
              <w:t>The Minister may delegate the power to issue slow small business payer directions to the Regulator, subject to written directions. Details about the delegation of these powers, whether in full or in part, will be available on the Regulator’s website.</w:t>
            </w:r>
          </w:p>
        </w:tc>
      </w:tr>
    </w:tbl>
    <w:p w14:paraId="0BB81054" w14:textId="77777777" w:rsidR="000E0490" w:rsidRPr="00D16E3C" w:rsidRDefault="000E0490" w:rsidP="000E0490">
      <w:pPr>
        <w:pStyle w:val="Heading3"/>
        <w:rPr>
          <w:bCs w:val="0"/>
          <w:sz w:val="27"/>
          <w:szCs w:val="27"/>
        </w:rPr>
      </w:pPr>
      <w:bookmarkStart w:id="210" w:name="_Toc180688187"/>
      <w:bookmarkStart w:id="211" w:name="_Toc184822267"/>
      <w:r>
        <w:t xml:space="preserve">Authority </w:t>
      </w:r>
      <w:r>
        <w:rPr>
          <w:sz w:val="27"/>
          <w:szCs w:val="27"/>
        </w:rPr>
        <w:t>to issue a d</w:t>
      </w:r>
      <w:r w:rsidRPr="00D16E3C">
        <w:rPr>
          <w:sz w:val="27"/>
          <w:szCs w:val="27"/>
        </w:rPr>
        <w:t>irection</w:t>
      </w:r>
      <w:bookmarkEnd w:id="210"/>
      <w:bookmarkEnd w:id="211"/>
      <w:r w:rsidRPr="00D16E3C">
        <w:rPr>
          <w:sz w:val="27"/>
          <w:szCs w:val="27"/>
        </w:rPr>
        <w:t xml:space="preserve"> </w:t>
      </w:r>
    </w:p>
    <w:p w14:paraId="2F571220" w14:textId="6D0A426E" w:rsidR="000E0490" w:rsidRPr="00EA0A6E" w:rsidRDefault="000E0490" w:rsidP="00AE41F1">
      <w:pPr>
        <w:pStyle w:val="OutlineNumbered1"/>
        <w:ind w:left="567" w:hanging="567"/>
      </w:pPr>
      <w:r w:rsidRPr="00EA0A6E">
        <w:t>The Minister can issue a direction to an entity that has been identified as a slow small business payer. This can happen if the entity:</w:t>
      </w:r>
    </w:p>
    <w:p w14:paraId="3A5F2486" w14:textId="77777777" w:rsidR="000E0490" w:rsidRPr="00EA0A6E" w:rsidRDefault="000E0490" w:rsidP="00AE41F1">
      <w:pPr>
        <w:pStyle w:val="OutlineNumberedDot"/>
        <w:ind w:left="851" w:hanging="284"/>
      </w:pPr>
      <w:r w:rsidRPr="00EA0A6E">
        <w:t xml:space="preserve">Is a slow small business payer for two consecutive reporting </w:t>
      </w:r>
      <w:r>
        <w:t>cycles</w:t>
      </w:r>
      <w:r w:rsidRPr="00EA0A6E">
        <w:t>, or</w:t>
      </w:r>
    </w:p>
    <w:p w14:paraId="6F090CC8" w14:textId="77777777" w:rsidR="000E0490" w:rsidRPr="00EA0A6E" w:rsidRDefault="000E0490" w:rsidP="00AE41F1">
      <w:pPr>
        <w:pStyle w:val="OutlineNumberedDot"/>
        <w:ind w:left="851" w:hanging="284"/>
      </w:pPr>
      <w:r w:rsidRPr="00EA0A6E">
        <w:t xml:space="preserve">Is a slow small business payer for one reporting </w:t>
      </w:r>
      <w:r>
        <w:t>cycle</w:t>
      </w:r>
      <w:r w:rsidRPr="00EA0A6E">
        <w:t xml:space="preserve"> and also fails to submit a payment times report in the period before or after that.</w:t>
      </w:r>
    </w:p>
    <w:p w14:paraId="493C4845" w14:textId="77777777" w:rsidR="000E0490" w:rsidRDefault="000E0490" w:rsidP="00AE41F1">
      <w:pPr>
        <w:pStyle w:val="OutlineNumbered1"/>
        <w:ind w:left="567" w:hanging="567"/>
      </w:pPr>
      <w:r w:rsidRPr="00EA0A6E">
        <w:t>Once these criteria are met, the Minister’s authority to issue a direction is enlivened (activated) for 12</w:t>
      </w:r>
      <w:r>
        <w:t> </w:t>
      </w:r>
      <w:r w:rsidRPr="00EA0A6E">
        <w:t>months from the end of the second reporting cycle.</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3A5544EB" w14:textId="77777777">
        <w:tc>
          <w:tcPr>
            <w:tcW w:w="5000" w:type="pct"/>
            <w:shd w:val="clear" w:color="auto" w:fill="EBF1F7"/>
          </w:tcPr>
          <w:p w14:paraId="3DE6168B" w14:textId="560EE755" w:rsidR="00AE41F1" w:rsidRPr="000553FE" w:rsidRDefault="009C4CCF">
            <w:pPr>
              <w:pStyle w:val="BoxHeading"/>
              <w:rPr>
                <w:b w:val="0"/>
              </w:rPr>
            </w:pPr>
            <w:r>
              <w:lastRenderedPageBreak/>
              <w:t>Example</w:t>
            </w:r>
            <w:r w:rsidR="00031282">
              <w:t xml:space="preserve"> 53</w:t>
            </w:r>
          </w:p>
          <w:p w14:paraId="3EFB9FBF" w14:textId="3CE94D79" w:rsidR="00AE41F1" w:rsidRPr="00247BAC" w:rsidRDefault="009C4CCF">
            <w:pPr>
              <w:pStyle w:val="BoxHeading2-Blue"/>
            </w:pPr>
            <w:r w:rsidRPr="00EA0A6E">
              <w:rPr>
                <w:rFonts w:cstheme="minorHAnsi"/>
                <w:b/>
                <w:bCs/>
                <w:szCs w:val="22"/>
              </w:rPr>
              <w:t>Power to Make a Direction</w:t>
            </w:r>
          </w:p>
          <w:p w14:paraId="66AF9DFF" w14:textId="77777777" w:rsidR="009C4CCF" w:rsidRDefault="009C4CCF" w:rsidP="006514A4">
            <w:pPr>
              <w:pStyle w:val="BoxBullet"/>
              <w:numPr>
                <w:ilvl w:val="0"/>
                <w:numId w:val="0"/>
              </w:numPr>
              <w:ind w:left="1" w:hanging="1"/>
            </w:pPr>
            <w:r>
              <w:t>In reporting cycle 1, a reporting entity has a 95th percentile payment time of 45 days, placing it in the bottom 20% of all reporting entities.</w:t>
            </w:r>
          </w:p>
          <w:p w14:paraId="7A4D35DF" w14:textId="77777777" w:rsidR="009C4CCF" w:rsidRDefault="009C4CCF" w:rsidP="006514A4">
            <w:pPr>
              <w:pStyle w:val="BoxBullet"/>
              <w:numPr>
                <w:ilvl w:val="0"/>
                <w:numId w:val="0"/>
              </w:numPr>
              <w:ind w:left="1" w:hanging="1"/>
            </w:pPr>
            <w:r>
              <w:t>In reporting cycle 2, the entity reports a 95th percentile payment time of 35 days, placing it in the bottom 20% of entities in its ANZSIC Division.</w:t>
            </w:r>
          </w:p>
          <w:p w14:paraId="7F189DF9" w14:textId="77777777" w:rsidR="009C4CCF" w:rsidRDefault="009C4CCF" w:rsidP="006514A4">
            <w:pPr>
              <w:pStyle w:val="BoxBullet"/>
              <w:numPr>
                <w:ilvl w:val="0"/>
                <w:numId w:val="0"/>
              </w:numPr>
              <w:ind w:left="1" w:hanging="1"/>
            </w:pPr>
            <w:r>
              <w:t>In reporting cycles 3 and 4, the entity fails to submit its required payment times reports.</w:t>
            </w:r>
          </w:p>
          <w:p w14:paraId="18882738" w14:textId="495CE432" w:rsidR="00AE41F1" w:rsidRPr="008950C5" w:rsidRDefault="009C4CCF" w:rsidP="006514A4">
            <w:pPr>
              <w:pStyle w:val="BoxBullet"/>
              <w:ind w:left="284" w:hanging="284"/>
            </w:pPr>
            <w:r>
              <w:t>In this case, the Minister has the power to issue a slow small business payer direction starting at the end of reporting cycle 2 and continues to have that power during reporting cycles 3 and 4.</w:t>
            </w:r>
          </w:p>
        </w:tc>
      </w:tr>
    </w:tbl>
    <w:p w14:paraId="40BE3AB0" w14:textId="77777777" w:rsidR="000E0490" w:rsidRPr="00B722A7" w:rsidRDefault="000E0490" w:rsidP="000E0490">
      <w:pPr>
        <w:pStyle w:val="Heading3"/>
      </w:pPr>
      <w:bookmarkStart w:id="212" w:name="_Toc180688188"/>
      <w:bookmarkStart w:id="213" w:name="_Toc184822268"/>
      <w:r>
        <w:t>Deciding</w:t>
      </w:r>
      <w:r w:rsidRPr="00B722A7">
        <w:t xml:space="preserve"> to </w:t>
      </w:r>
      <w:r>
        <w:t>m</w:t>
      </w:r>
      <w:r w:rsidRPr="00B722A7">
        <w:t xml:space="preserve">ake a </w:t>
      </w:r>
      <w:r>
        <w:t>d</w:t>
      </w:r>
      <w:r w:rsidRPr="00B722A7">
        <w:t>irection</w:t>
      </w:r>
      <w:bookmarkEnd w:id="212"/>
      <w:bookmarkEnd w:id="213"/>
    </w:p>
    <w:p w14:paraId="5CDE4C86" w14:textId="77777777" w:rsidR="000E0490" w:rsidRPr="00EA0A6E" w:rsidRDefault="000E0490" w:rsidP="00AE41F1">
      <w:pPr>
        <w:pStyle w:val="OutlineNumbered1"/>
        <w:ind w:left="567" w:hanging="567"/>
      </w:pPr>
      <w:r w:rsidRPr="00EA0A6E">
        <w:t>The Minister has discretion in deciding whether to use the direction power. The Minister can choose to use this power—or the Regulator</w:t>
      </w:r>
      <w:r>
        <w:t>,</w:t>
      </w:r>
      <w:r w:rsidRPr="00EA0A6E">
        <w:t xml:space="preserve"> as </w:t>
      </w:r>
      <w:r>
        <w:t>the Minister’s delegate with delegated powers</w:t>
      </w:r>
      <w:r w:rsidRPr="00EA0A6E">
        <w:t xml:space="preserve">—on any </w:t>
      </w:r>
      <w:r>
        <w:t xml:space="preserve">reporting </w:t>
      </w:r>
      <w:r w:rsidRPr="00EA0A6E">
        <w:t xml:space="preserve">entity, or </w:t>
      </w:r>
      <w:r>
        <w:t xml:space="preserve">group </w:t>
      </w:r>
      <w:r w:rsidRPr="00EA0A6E">
        <w:t xml:space="preserve">of </w:t>
      </w:r>
      <w:r>
        <w:t xml:space="preserve">reporting </w:t>
      </w:r>
      <w:r w:rsidRPr="00EA0A6E">
        <w:t>entities, that meet the criteria for the power to be enlivened.</w:t>
      </w:r>
    </w:p>
    <w:p w14:paraId="572AA1AC" w14:textId="77777777" w:rsidR="000E0490" w:rsidRPr="00EA0A6E" w:rsidRDefault="000E0490" w:rsidP="00AE41F1">
      <w:pPr>
        <w:pStyle w:val="OutlineNumbered1"/>
        <w:ind w:left="567" w:hanging="567"/>
      </w:pPr>
      <w:r w:rsidRPr="00EA0A6E">
        <w:t>For example, the Minister could choose to issue directions only to the slowest 5% of payers overall or focus on the slowest payers in specific industries where small businesses face greater risks.</w:t>
      </w:r>
    </w:p>
    <w:p w14:paraId="19891A07" w14:textId="77777777" w:rsidR="000E0490" w:rsidRPr="00B722A7" w:rsidRDefault="000E0490" w:rsidP="000E0490">
      <w:pPr>
        <w:pStyle w:val="Heading3"/>
        <w:rPr>
          <w:bCs w:val="0"/>
          <w:sz w:val="27"/>
          <w:szCs w:val="27"/>
        </w:rPr>
      </w:pPr>
      <w:bookmarkStart w:id="214" w:name="_Toc180688189"/>
      <w:bookmarkStart w:id="215" w:name="_Toc184822269"/>
      <w:r w:rsidRPr="00B722A7">
        <w:rPr>
          <w:sz w:val="27"/>
          <w:szCs w:val="27"/>
        </w:rPr>
        <w:t>Considering the Circumstances</w:t>
      </w:r>
      <w:bookmarkEnd w:id="214"/>
      <w:bookmarkEnd w:id="215"/>
    </w:p>
    <w:p w14:paraId="3BB85084" w14:textId="124750AB" w:rsidR="000E0490" w:rsidRPr="00EA0A6E" w:rsidRDefault="000E0490" w:rsidP="00AE41F1">
      <w:pPr>
        <w:pStyle w:val="OutlineNumbered1"/>
        <w:ind w:left="567" w:hanging="567"/>
      </w:pPr>
      <w:r w:rsidRPr="00EA0A6E">
        <w:t xml:space="preserve">Before issuing a direction, the Minister (or the Regulator) must consider the </w:t>
      </w:r>
      <w:r w:rsidR="00D80F16">
        <w:t xml:space="preserve">relevant entities </w:t>
      </w:r>
      <w:r w:rsidR="00BA799B">
        <w:t xml:space="preserve">history of compliance or non-compliance with the Act. </w:t>
      </w:r>
      <w:r w:rsidR="008F7514">
        <w:t xml:space="preserve">The Minister must also have regard to the </w:t>
      </w:r>
      <w:r w:rsidRPr="00EA0A6E">
        <w:t>following</w:t>
      </w:r>
      <w:r w:rsidR="00DB5DBD">
        <w:t xml:space="preserve">, if made in written </w:t>
      </w:r>
      <w:r>
        <w:t>submissions by the reporting entity</w:t>
      </w:r>
      <w:r w:rsidRPr="00EA0A6E">
        <w:t>:</w:t>
      </w:r>
    </w:p>
    <w:p w14:paraId="730EDD4C" w14:textId="15406003" w:rsidR="000E0490" w:rsidRPr="00A361B3" w:rsidRDefault="000E0490" w:rsidP="00AE41F1">
      <w:pPr>
        <w:pStyle w:val="OutlineNumberedDot"/>
        <w:ind w:left="851" w:hanging="284"/>
      </w:pPr>
      <w:r w:rsidRPr="00A361B3">
        <w:t>The entity’s payment practices and the practices of any entities it controls</w:t>
      </w:r>
      <w:r w:rsidR="00433301">
        <w:t>,</w:t>
      </w:r>
    </w:p>
    <w:p w14:paraId="1C4CA03A" w14:textId="66319E1D" w:rsidR="000E0490" w:rsidRPr="00A361B3" w:rsidRDefault="000E0490" w:rsidP="00AE41F1">
      <w:pPr>
        <w:pStyle w:val="OutlineNumberedDot"/>
        <w:ind w:left="851" w:hanging="284"/>
      </w:pPr>
      <w:r w:rsidRPr="00A361B3">
        <w:t>Whether those practices have shown improvement</w:t>
      </w:r>
      <w:r w:rsidR="00433301">
        <w:t>,</w:t>
      </w:r>
    </w:p>
    <w:p w14:paraId="42AB8F09" w14:textId="2B020128" w:rsidR="000E0490" w:rsidRPr="00A361B3" w:rsidRDefault="000E0490" w:rsidP="00AE41F1">
      <w:pPr>
        <w:pStyle w:val="OutlineNumberedDot"/>
        <w:ind w:left="851" w:hanging="284"/>
      </w:pPr>
      <w:r w:rsidRPr="00A361B3">
        <w:t>Whether any circumstances beyond the entity’s control have caused the slow payments</w:t>
      </w:r>
      <w:r w:rsidR="006A4F42">
        <w:t xml:space="preserve"> and</w:t>
      </w:r>
    </w:p>
    <w:p w14:paraId="4A9B2E6D" w14:textId="77777777" w:rsidR="000E0490" w:rsidRPr="00A361B3" w:rsidRDefault="000E0490" w:rsidP="00AE41F1">
      <w:pPr>
        <w:pStyle w:val="OutlineNumberedDot"/>
        <w:ind w:left="851" w:hanging="284"/>
      </w:pPr>
      <w:r w:rsidRPr="00A361B3">
        <w:t>Whether the cost and burden of complying with the direction would be reasonable.</w:t>
      </w:r>
    </w:p>
    <w:p w14:paraId="3E50E37D" w14:textId="77777777" w:rsidR="000E0490" w:rsidRPr="00EA0A6E" w:rsidRDefault="000E0490" w:rsidP="00AE41F1">
      <w:pPr>
        <w:pStyle w:val="OutlineNumbered1"/>
        <w:ind w:left="567" w:hanging="567"/>
      </w:pPr>
      <w:r w:rsidRPr="00EA0A6E">
        <w:t>These considerations may be included in the notice of proposed decision, and the entity will have the opportunity to provide additional information or submissions before the final direction is made.</w:t>
      </w:r>
    </w:p>
    <w:p w14:paraId="40340EB9" w14:textId="77777777" w:rsidR="000E0490" w:rsidRPr="00890E04" w:rsidRDefault="000E0490" w:rsidP="000E0490">
      <w:pPr>
        <w:pStyle w:val="Heading3"/>
      </w:pPr>
      <w:bookmarkStart w:id="216" w:name="_Toc180688190"/>
      <w:bookmarkStart w:id="217" w:name="_Toc184822270"/>
      <w:r w:rsidRPr="00890E04">
        <w:t>Notice of Proposed Decision &amp; Procedural Fairness</w:t>
      </w:r>
      <w:bookmarkEnd w:id="216"/>
      <w:bookmarkEnd w:id="217"/>
    </w:p>
    <w:p w14:paraId="2825A0A8" w14:textId="77777777" w:rsidR="000E0490" w:rsidRPr="00EA0A6E" w:rsidRDefault="000E0490" w:rsidP="00AE41F1">
      <w:pPr>
        <w:pStyle w:val="OutlineNumbered1"/>
        <w:ind w:left="567" w:hanging="567"/>
      </w:pPr>
      <w:r w:rsidRPr="00EA0A6E">
        <w:t>Before the Minister (or the Regulator) can issue a direction to a slow small business payer, they must first give the entity a notice of the proposed decision that provides reasons. The entity will then have 28 days to submit a written response</w:t>
      </w:r>
      <w:r>
        <w:t>, which will be considered by the decision maker</w:t>
      </w:r>
      <w:r w:rsidRPr="00EA0A6E">
        <w:t>.</w:t>
      </w:r>
    </w:p>
    <w:p w14:paraId="46911184" w14:textId="77777777" w:rsidR="000E0490" w:rsidRDefault="000E0490" w:rsidP="00AE41F1">
      <w:pPr>
        <w:pStyle w:val="OutlineNumbered1"/>
        <w:ind w:left="567" w:hanging="567"/>
      </w:pPr>
      <w:r w:rsidRPr="00EA0A6E">
        <w:t>The Minister (or the Regulator) may decide not to issue the direction if they are satisfied that the entity will faithfully implement a written undertaking that improves payment outcomes for small business suppliers. This gives the reporting entity a chance to address its slow payment practices before a direction is issued.</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030C416E" w14:textId="77777777">
        <w:tc>
          <w:tcPr>
            <w:tcW w:w="5000" w:type="pct"/>
            <w:shd w:val="clear" w:color="auto" w:fill="EBF1F7"/>
          </w:tcPr>
          <w:p w14:paraId="7214BBF4" w14:textId="3069851B" w:rsidR="00AE41F1" w:rsidRPr="000553FE" w:rsidRDefault="00A22EF4">
            <w:pPr>
              <w:pStyle w:val="BoxHeading"/>
              <w:rPr>
                <w:b w:val="0"/>
              </w:rPr>
            </w:pPr>
            <w:r>
              <w:lastRenderedPageBreak/>
              <w:t>Example</w:t>
            </w:r>
            <w:r w:rsidR="00031282">
              <w:t xml:space="preserve"> 54</w:t>
            </w:r>
          </w:p>
          <w:p w14:paraId="207B68B1" w14:textId="12BA1967" w:rsidR="00AE41F1" w:rsidRPr="00247BAC" w:rsidRDefault="00A22EF4">
            <w:pPr>
              <w:pStyle w:val="BoxHeading2-Blue"/>
            </w:pPr>
            <w:r w:rsidRPr="00A22EF4">
              <w:rPr>
                <w:rStyle w:val="Strong"/>
              </w:rPr>
              <w:t>Submissions during procedural fairness</w:t>
            </w:r>
          </w:p>
          <w:p w14:paraId="45B5735E" w14:textId="77777777" w:rsidR="00A22EF4" w:rsidRDefault="00A22EF4" w:rsidP="00A22EF4">
            <w:pPr>
              <w:pStyle w:val="BoxText"/>
            </w:pPr>
            <w:r>
              <w:t>A notice of proposed decision to make a direction is sent to a reporting entity as part of the procedural fairness process required by the Act.</w:t>
            </w:r>
          </w:p>
          <w:p w14:paraId="5D17BB68" w14:textId="77777777" w:rsidR="00A22EF4" w:rsidRDefault="00A22EF4" w:rsidP="00A22EF4">
            <w:pPr>
              <w:pStyle w:val="BoxText"/>
            </w:pPr>
            <w:r>
              <w:t>In response, the entity submits a written undertaking to implement a small business payment policy that commits to paying suppliers within 30 days. The entity also commits to publishing the policy on its website and implementing it within six months.</w:t>
            </w:r>
          </w:p>
          <w:p w14:paraId="727D71F3" w14:textId="77777777" w:rsidR="00A22EF4" w:rsidRDefault="00A22EF4" w:rsidP="00A22EF4">
            <w:pPr>
              <w:pStyle w:val="BoxText"/>
            </w:pPr>
            <w:r>
              <w:t>The Minister defers the decision, allowing the entity to implement the small business payment policy.</w:t>
            </w:r>
          </w:p>
          <w:p w14:paraId="54EF7FF2" w14:textId="06B582E9" w:rsidR="00AE41F1" w:rsidRPr="008950C5" w:rsidRDefault="00A22EF4" w:rsidP="00A22EF4">
            <w:pPr>
              <w:pStyle w:val="BoxText"/>
            </w:pPr>
            <w:r>
              <w:t>If the entity fails to follow through on its commitments, the Minister may restart the procedural fairness process to issue a direction.</w:t>
            </w:r>
          </w:p>
        </w:tc>
      </w:tr>
    </w:tbl>
    <w:p w14:paraId="4D9F61D7" w14:textId="77777777" w:rsidR="000E0490" w:rsidRPr="0064088E" w:rsidRDefault="000E0490" w:rsidP="000E0490">
      <w:pPr>
        <w:pStyle w:val="Heading3"/>
      </w:pPr>
      <w:bookmarkStart w:id="218" w:name="_Toc180688191"/>
      <w:bookmarkStart w:id="219" w:name="_Toc184822271"/>
      <w:r w:rsidRPr="0064088E">
        <w:t>What Can a Slow Small Business Payer Be Directed to Do?</w:t>
      </w:r>
      <w:bookmarkEnd w:id="218"/>
      <w:bookmarkEnd w:id="219"/>
    </w:p>
    <w:p w14:paraId="76794593" w14:textId="77777777" w:rsidR="000E0490" w:rsidRPr="00EA0A6E" w:rsidRDefault="000E0490" w:rsidP="00AE41F1">
      <w:pPr>
        <w:pStyle w:val="OutlineNumbered1"/>
        <w:ind w:left="567" w:hanging="567"/>
      </w:pPr>
      <w:r w:rsidRPr="00EA0A6E">
        <w:t>A slow small business payer direction requires the entity to disclose its status as a slow small business payer in certain places and documents. The direction may require the slow small business payer and any controlled entities to publish:</w:t>
      </w:r>
    </w:p>
    <w:p w14:paraId="256F1BC1" w14:textId="77777777" w:rsidR="000E0490" w:rsidRPr="00EA0A6E" w:rsidRDefault="000E0490" w:rsidP="00AE41F1">
      <w:pPr>
        <w:pStyle w:val="OutlineNumberedDot"/>
        <w:ind w:left="851" w:hanging="284"/>
      </w:pPr>
      <w:r w:rsidRPr="00EA0A6E">
        <w:t>A statement that the entity or its controlled entity is a slow small business payer, and</w:t>
      </w:r>
      <w:r>
        <w:t>/or</w:t>
      </w:r>
    </w:p>
    <w:p w14:paraId="32887EA0" w14:textId="77777777" w:rsidR="000E0490" w:rsidRPr="00EA0A6E" w:rsidRDefault="000E0490" w:rsidP="00AE41F1">
      <w:pPr>
        <w:pStyle w:val="OutlineNumberedDot"/>
        <w:ind w:left="851" w:hanging="284"/>
      </w:pPr>
      <w:r w:rsidRPr="00EA0A6E">
        <w:t>Information on how to access payment times reports related to the entity or its controlled entities.</w:t>
      </w:r>
    </w:p>
    <w:p w14:paraId="396E8CDA" w14:textId="77777777" w:rsidR="000E0490" w:rsidRPr="00EA0A6E" w:rsidRDefault="000E0490" w:rsidP="00AE41F1">
      <w:pPr>
        <w:pStyle w:val="OutlineNumbered1"/>
        <w:ind w:left="567" w:hanging="567"/>
      </w:pPr>
      <w:r w:rsidRPr="00EA0A6E">
        <w:t>The direction may require these statements to appear in one or more of the following:</w:t>
      </w:r>
    </w:p>
    <w:p w14:paraId="611E6108" w14:textId="77777777" w:rsidR="000E0490" w:rsidRPr="00EA0A6E" w:rsidRDefault="000E0490" w:rsidP="00AE41F1">
      <w:pPr>
        <w:pStyle w:val="OutlineNumberedDot"/>
        <w:ind w:left="851" w:hanging="284"/>
      </w:pPr>
      <w:r w:rsidRPr="00EA0A6E">
        <w:t xml:space="preserve">On the entity’s </w:t>
      </w:r>
      <w:r>
        <w:t xml:space="preserve">or controlled entity’s </w:t>
      </w:r>
      <w:r w:rsidRPr="00EA0A6E">
        <w:t>website</w:t>
      </w:r>
    </w:p>
    <w:p w14:paraId="657D67F0" w14:textId="77777777" w:rsidR="000E0490" w:rsidRPr="00EA0A6E" w:rsidRDefault="000E0490" w:rsidP="00AE41F1">
      <w:pPr>
        <w:pStyle w:val="OutlineNumberedDot"/>
        <w:ind w:left="851" w:hanging="284"/>
      </w:pPr>
      <w:r w:rsidRPr="00EA0A6E">
        <w:t>In procurement-related documents (such as invoices, quotes, and tenders)</w:t>
      </w:r>
    </w:p>
    <w:p w14:paraId="170961F1" w14:textId="04E57AA3" w:rsidR="000E0490" w:rsidRPr="00EA0A6E" w:rsidRDefault="000E0490" w:rsidP="00AE41F1">
      <w:pPr>
        <w:pStyle w:val="OutlineNumberedDot"/>
        <w:ind w:left="851" w:hanging="284"/>
      </w:pPr>
      <w:r w:rsidRPr="00EA0A6E">
        <w:t xml:space="preserve">In documents related to </w:t>
      </w:r>
      <w:r w:rsidRPr="007218CA">
        <w:t>ESG</w:t>
      </w:r>
      <w:r w:rsidRPr="00EA0A6E">
        <w:t xml:space="preserve"> policies or performance, such as sustainability reports and investor documents</w:t>
      </w:r>
    </w:p>
    <w:p w14:paraId="5DFF28C6" w14:textId="77777777" w:rsidR="000E0490" w:rsidRPr="00EA0A6E" w:rsidRDefault="000E0490" w:rsidP="00AE41F1">
      <w:pPr>
        <w:pStyle w:val="OutlineNumberedDot"/>
        <w:ind w:left="851" w:hanging="284"/>
      </w:pPr>
      <w:r w:rsidRPr="00EA0A6E">
        <w:t>In any other documents the Minister (or the Regulator) considers appropriate.</w:t>
      </w:r>
    </w:p>
    <w:p w14:paraId="20CC260C" w14:textId="77777777" w:rsidR="000E0490" w:rsidRDefault="000E0490" w:rsidP="00AE41F1">
      <w:pPr>
        <w:pStyle w:val="OutlineNumbered1"/>
        <w:ind w:left="567" w:hanging="567"/>
      </w:pPr>
      <w:r w:rsidRPr="00EA0A6E">
        <w:t xml:space="preserve">The direction can specify the exact wording and how visible the statement must be, ensuring it is clear and not hidden or difficult to find. </w:t>
      </w:r>
      <w:r>
        <w:t>Information about a</w:t>
      </w:r>
      <w:r w:rsidRPr="00EA0A6E">
        <w:t xml:space="preserve">ll slow small business payer directions must also be published on the </w:t>
      </w:r>
      <w:hyperlink r:id="rId72" w:history="1">
        <w:r>
          <w:rPr>
            <w:rStyle w:val="Hyperlink"/>
          </w:rPr>
          <w:t>Register</w:t>
        </w:r>
      </w:hyperlink>
      <w:r w:rsidRPr="00EA0A6E">
        <w:t>.</w:t>
      </w:r>
      <w:r w:rsidRPr="00EA0A6E" w:rsidDel="00337E49">
        <w:t xml:space="preserve"> </w:t>
      </w:r>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0B36" w14:paraId="7F33C3ED" w14:textId="77777777">
        <w:tc>
          <w:tcPr>
            <w:tcW w:w="5000" w:type="pct"/>
            <w:shd w:val="clear" w:color="auto" w:fill="FEF2E4" w:themeFill="accent5"/>
          </w:tcPr>
          <w:p w14:paraId="01A5FF0D" w14:textId="096A8981" w:rsidR="00F70B36" w:rsidRPr="000553FE" w:rsidRDefault="00981CD4">
            <w:pPr>
              <w:pStyle w:val="BoxHeading"/>
              <w:rPr>
                <w:b w:val="0"/>
              </w:rPr>
            </w:pPr>
            <w:r>
              <w:t>Regulator Note</w:t>
            </w:r>
          </w:p>
          <w:p w14:paraId="399AB58D" w14:textId="4FF4B735" w:rsidR="00F70B36" w:rsidRPr="008950C5" w:rsidRDefault="00981CD4" w:rsidP="00981CD4">
            <w:pPr>
              <w:pStyle w:val="BoxBullet"/>
              <w:numPr>
                <w:ilvl w:val="0"/>
                <w:numId w:val="0"/>
              </w:numPr>
              <w:ind w:left="1" w:hanging="1"/>
            </w:pPr>
            <w:r w:rsidRPr="00981CD4">
              <w:t xml:space="preserve">Failure to comply with a slow small business payer direction </w:t>
            </w:r>
            <w:r w:rsidR="00D114C5">
              <w:t>amounts to</w:t>
            </w:r>
            <w:r w:rsidRPr="00981CD4">
              <w:t xml:space="preserve"> a </w:t>
            </w:r>
            <w:r w:rsidR="003D6569">
              <w:t>contravention</w:t>
            </w:r>
            <w:r w:rsidR="003D6569" w:rsidRPr="00981CD4">
              <w:t xml:space="preserve"> </w:t>
            </w:r>
            <w:r w:rsidRPr="00981CD4">
              <w:t>of the Act. The Regulator can use its information-gathering and compliance powers to monitor whether the entity is following the direction</w:t>
            </w:r>
            <w:r>
              <w:t>.</w:t>
            </w:r>
          </w:p>
        </w:tc>
      </w:tr>
    </w:tbl>
    <w:p w14:paraId="6C4ED21F" w14:textId="77777777" w:rsidR="000E0490" w:rsidRPr="00B716DD" w:rsidRDefault="000E0490" w:rsidP="000E0490">
      <w:pPr>
        <w:pStyle w:val="Heading3"/>
      </w:pPr>
      <w:bookmarkStart w:id="220" w:name="_Toc180688192"/>
      <w:bookmarkStart w:id="221" w:name="_Toc184822272"/>
      <w:r w:rsidRPr="00B716DD">
        <w:t>Reconsideration of a Slow Small Business Payer Direction</w:t>
      </w:r>
      <w:bookmarkEnd w:id="220"/>
      <w:bookmarkEnd w:id="221"/>
    </w:p>
    <w:p w14:paraId="26DFEA25" w14:textId="734B0797" w:rsidR="000E0490" w:rsidRPr="00EA0A6E" w:rsidRDefault="000E0490" w:rsidP="00AE41F1">
      <w:pPr>
        <w:pStyle w:val="OutlineNumbered1"/>
        <w:ind w:left="567" w:hanging="567"/>
      </w:pPr>
      <w:r w:rsidRPr="00EA0A6E">
        <w:t xml:space="preserve">A </w:t>
      </w:r>
      <w:r>
        <w:t>decision to give a</w:t>
      </w:r>
      <w:r w:rsidRPr="00EA0A6E">
        <w:t xml:space="preserve"> slow small business payer direction made by the Minister is reviewable by the A</w:t>
      </w:r>
      <w:r>
        <w:t>R</w:t>
      </w:r>
      <w:r w:rsidRPr="00EA0A6E">
        <w:t xml:space="preserve">T. If the Regulator, acting as the Minister’s delegate, issues the direction, the entity can apply for </w:t>
      </w:r>
      <w:r>
        <w:t xml:space="preserve">internal </w:t>
      </w:r>
      <w:r w:rsidRPr="00EA0A6E">
        <w:t>reconsideration of the decision.</w:t>
      </w:r>
      <w:r w:rsidR="00E07D3A">
        <w:t xml:space="preserve"> </w:t>
      </w:r>
    </w:p>
    <w:p w14:paraId="77266315" w14:textId="2826F0F5" w:rsidR="000E0490" w:rsidRDefault="000E0490" w:rsidP="00AE41F1">
      <w:pPr>
        <w:pStyle w:val="OutlineNumbered1"/>
        <w:ind w:left="567" w:hanging="567"/>
      </w:pPr>
      <w:r w:rsidRPr="00EA0A6E">
        <w:t xml:space="preserve">For more information on how to apply for </w:t>
      </w:r>
      <w:r w:rsidRPr="00303A99">
        <w:t xml:space="preserve">a review, see </w:t>
      </w:r>
      <w:r w:rsidRPr="008965EC">
        <w:rPr>
          <w:b/>
          <w:bCs/>
          <w:color w:val="00827F" w:themeColor="accent2"/>
        </w:rPr>
        <w:fldChar w:fldCharType="begin"/>
      </w:r>
      <w:r w:rsidRPr="008965EC">
        <w:rPr>
          <w:b/>
          <w:bCs/>
          <w:color w:val="00827F" w:themeColor="accent2"/>
        </w:rPr>
        <w:instrText xml:space="preserve"> REF _Ref179827418 \h  \* MERGEFORMAT </w:instrText>
      </w:r>
      <w:r w:rsidRPr="008965EC">
        <w:rPr>
          <w:b/>
          <w:bCs/>
          <w:color w:val="00827F" w:themeColor="accent2"/>
        </w:rPr>
      </w:r>
      <w:r w:rsidRPr="008965EC">
        <w:rPr>
          <w:b/>
          <w:bCs/>
          <w:color w:val="00827F" w:themeColor="accent2"/>
        </w:rPr>
        <w:fldChar w:fldCharType="separate"/>
      </w:r>
      <w:r w:rsidRPr="008965EC">
        <w:rPr>
          <w:b/>
          <w:bCs/>
          <w:color w:val="00827F" w:themeColor="accent2"/>
        </w:rPr>
        <w:t>Review of decisions</w:t>
      </w:r>
      <w:r w:rsidRPr="008965EC">
        <w:rPr>
          <w:b/>
          <w:bCs/>
          <w:color w:val="00827F" w:themeColor="accent2"/>
        </w:rPr>
        <w:fldChar w:fldCharType="end"/>
      </w:r>
      <w:r w:rsidRPr="003C2458">
        <w:t>.</w:t>
      </w:r>
    </w:p>
    <w:p w14:paraId="4C380056" w14:textId="42F23704" w:rsidR="00DC281A" w:rsidRDefault="00DE5C44" w:rsidP="007D5745">
      <w:pPr>
        <w:pStyle w:val="Heading3"/>
      </w:pPr>
      <w:bookmarkStart w:id="222" w:name="_Toc184822273"/>
      <w:r>
        <w:lastRenderedPageBreak/>
        <w:t>Duration of</w:t>
      </w:r>
      <w:r w:rsidR="00DC281A">
        <w:t xml:space="preserve"> Slow Small Business </w:t>
      </w:r>
      <w:r w:rsidR="00C95279">
        <w:t xml:space="preserve">Payer </w:t>
      </w:r>
      <w:r>
        <w:t>Direction</w:t>
      </w:r>
      <w:bookmarkEnd w:id="222"/>
    </w:p>
    <w:p w14:paraId="5F82183A" w14:textId="7549EA3B" w:rsidR="00DC281A" w:rsidRDefault="00E94A06" w:rsidP="00DC281A">
      <w:pPr>
        <w:pStyle w:val="OutlineNumbered1"/>
        <w:ind w:left="567" w:hanging="567"/>
      </w:pPr>
      <w:r>
        <w:t xml:space="preserve">A slow small business payer direction </w:t>
      </w:r>
      <w:r w:rsidR="00AC4C9A">
        <w:t>remains in effect until the earlier of:</w:t>
      </w:r>
    </w:p>
    <w:p w14:paraId="2F514F2F" w14:textId="5FDB39BB" w:rsidR="00AC4C9A" w:rsidRDefault="00C4604B" w:rsidP="007D5745">
      <w:pPr>
        <w:pStyle w:val="OutlineNumberedDot"/>
        <w:ind w:left="851" w:hanging="284"/>
      </w:pPr>
      <w:r>
        <w:t>t</w:t>
      </w:r>
      <w:r w:rsidR="00B44958">
        <w:t>he day the entity</w:t>
      </w:r>
      <w:r w:rsidR="00CB5C51">
        <w:t xml:space="preserve"> </w:t>
      </w:r>
      <w:r w:rsidR="006E0E01">
        <w:t>submits a payment times report with</w:t>
      </w:r>
      <w:r>
        <w:t xml:space="preserve"> a</w:t>
      </w:r>
      <w:r w:rsidR="006E0E01">
        <w:t xml:space="preserve"> </w:t>
      </w:r>
      <w:r w:rsidRPr="00EA0A6E">
        <w:t>95</w:t>
      </w:r>
      <w:r w:rsidRPr="00AE41F1">
        <w:t>th</w:t>
      </w:r>
      <w:r w:rsidRPr="00EA0A6E">
        <w:t xml:space="preserve"> percentile payment time of 30 days or less</w:t>
      </w:r>
      <w:r>
        <w:t>;</w:t>
      </w:r>
    </w:p>
    <w:p w14:paraId="2700595D" w14:textId="2D717DA1" w:rsidR="00C4604B" w:rsidRDefault="00143CE7" w:rsidP="007D5745">
      <w:pPr>
        <w:pStyle w:val="OutlineNumberedDot"/>
        <w:ind w:left="851" w:hanging="284"/>
      </w:pPr>
      <w:r>
        <w:t xml:space="preserve">if the direction specifies a </w:t>
      </w:r>
      <w:r w:rsidR="00221206">
        <w:t xml:space="preserve">date </w:t>
      </w:r>
      <w:r w:rsidR="00733042">
        <w:t>that the direction ceases to have effect, that day;</w:t>
      </w:r>
    </w:p>
    <w:p w14:paraId="113560B9" w14:textId="31CA1BBB" w:rsidR="00733042" w:rsidRDefault="0009546C" w:rsidP="007D5745">
      <w:pPr>
        <w:pStyle w:val="OutlineNumberedDot"/>
        <w:ind w:left="851" w:hanging="284"/>
      </w:pPr>
      <w:r>
        <w:t>1 year after the direction is given;</w:t>
      </w:r>
    </w:p>
    <w:p w14:paraId="7B04C175" w14:textId="7E81BCCD" w:rsidR="0009546C" w:rsidRDefault="00984FDC">
      <w:pPr>
        <w:pStyle w:val="OutlineNumberedDot"/>
        <w:ind w:left="851" w:hanging="284"/>
      </w:pPr>
      <w:r>
        <w:t>i</w:t>
      </w:r>
      <w:r w:rsidR="0009546C">
        <w:t>f the Minister revokes the direction</w:t>
      </w:r>
      <w:r w:rsidR="00744F38">
        <w:t xml:space="preserve"> by written notice, the time the Minister gives the entity the notice</w:t>
      </w:r>
      <w:r w:rsidR="005A140C">
        <w:t>.</w:t>
      </w:r>
    </w:p>
    <w:p w14:paraId="6C9689FA" w14:textId="138CFEBF" w:rsidR="00DE5C44" w:rsidRPr="00EA0A6E" w:rsidRDefault="008349F1" w:rsidP="007D5745">
      <w:pPr>
        <w:pStyle w:val="OutlineNumbered1"/>
      </w:pPr>
      <w:r>
        <w:t xml:space="preserve">Where a </w:t>
      </w:r>
      <w:r w:rsidR="00354E53">
        <w:t xml:space="preserve">slow small business payer direction is given, </w:t>
      </w:r>
      <w:r w:rsidR="005A69EC">
        <w:t>information about</w:t>
      </w:r>
      <w:r w:rsidR="00FC47EE">
        <w:t xml:space="preserve"> this direction must be </w:t>
      </w:r>
      <w:r w:rsidR="00DD4D12">
        <w:t xml:space="preserve">published on the </w:t>
      </w:r>
      <w:hyperlink r:id="rId73" w:history="1">
        <w:r w:rsidR="00841C0D" w:rsidRPr="00F248C1">
          <w:rPr>
            <w:rStyle w:val="Hyperlink"/>
          </w:rPr>
          <w:t>Register</w:t>
        </w:r>
      </w:hyperlink>
      <w:r w:rsidR="00841C0D">
        <w:rPr>
          <w:rStyle w:val="Hyperlink"/>
        </w:rPr>
        <w:t xml:space="preserve"> </w:t>
      </w:r>
      <w:r w:rsidR="005A69EC">
        <w:t>and</w:t>
      </w:r>
      <w:r w:rsidR="00B97054">
        <w:t xml:space="preserve"> may remain on the </w:t>
      </w:r>
      <w:hyperlink r:id="rId74" w:history="1">
        <w:r w:rsidR="00841C0D" w:rsidRPr="00F248C1">
          <w:rPr>
            <w:rStyle w:val="Hyperlink"/>
          </w:rPr>
          <w:t>Register</w:t>
        </w:r>
      </w:hyperlink>
      <w:r w:rsidR="00841C0D">
        <w:rPr>
          <w:rStyle w:val="Hyperlink"/>
        </w:rPr>
        <w:t xml:space="preserve"> </w:t>
      </w:r>
      <w:r w:rsidR="00B97054">
        <w:t xml:space="preserve">even after the </w:t>
      </w:r>
      <w:r w:rsidR="005E0CCC">
        <w:t xml:space="preserve">direction has </w:t>
      </w:r>
      <w:r w:rsidR="001F0367">
        <w:t>ceased to be in effect.</w:t>
      </w:r>
    </w:p>
    <w:p w14:paraId="16B40E13" w14:textId="77777777" w:rsidR="000E0490" w:rsidRPr="00612E7E" w:rsidRDefault="000E0490" w:rsidP="000E0490">
      <w:pPr>
        <w:pStyle w:val="Heading2"/>
      </w:pPr>
      <w:bookmarkStart w:id="223" w:name="_Toc180688193"/>
      <w:bookmarkStart w:id="224" w:name="_Toc184822274"/>
      <w:r w:rsidRPr="00612E7E">
        <w:rPr>
          <w:bCs/>
        </w:rPr>
        <w:t>Fast Small Business Payers</w:t>
      </w:r>
      <w:bookmarkEnd w:id="223"/>
      <w:bookmarkEnd w:id="224"/>
    </w:p>
    <w:p w14:paraId="148CA2AE" w14:textId="77777777" w:rsidR="000E0490" w:rsidRPr="00CB6283" w:rsidRDefault="000E0490" w:rsidP="000E0490">
      <w:pPr>
        <w:pStyle w:val="Heading3"/>
      </w:pPr>
      <w:bookmarkStart w:id="225" w:name="_Toc180688194"/>
      <w:bookmarkStart w:id="226" w:name="_Toc184822275"/>
      <w:r w:rsidRPr="00CB6283">
        <w:t>What is a Fast Small Business Payer?</w:t>
      </w:r>
      <w:bookmarkEnd w:id="225"/>
      <w:bookmarkEnd w:id="226"/>
    </w:p>
    <w:p w14:paraId="7249B464" w14:textId="550AEBE7" w:rsidR="000E0490" w:rsidRPr="00EA0A6E" w:rsidRDefault="000E0490" w:rsidP="004D5A1A">
      <w:pPr>
        <w:pStyle w:val="OutlineNumbered1"/>
        <w:spacing w:before="120"/>
        <w:ind w:left="567" w:hanging="567"/>
      </w:pPr>
      <w:r w:rsidRPr="00EA0A6E">
        <w:t>A fast small business payer is any reporting entity, including volunteer, nominee, and subsidiary</w:t>
      </w:r>
      <w:r w:rsidR="00AB7600">
        <w:t xml:space="preserve"> reporting</w:t>
      </w:r>
      <w:r w:rsidRPr="00EA0A6E">
        <w:t xml:space="preserve"> entities, that reports payment times of 20 days or less over a 12-month period.</w:t>
      </w:r>
    </w:p>
    <w:p w14:paraId="109A4F9A" w14:textId="77777777" w:rsidR="000E0490" w:rsidRPr="00EA0A6E" w:rsidRDefault="000E0490" w:rsidP="004D5A1A">
      <w:pPr>
        <w:pStyle w:val="OutlineNumbered1"/>
        <w:spacing w:before="120"/>
        <w:ind w:left="567" w:hanging="567"/>
      </w:pPr>
      <w:r w:rsidRPr="00EA0A6E">
        <w:t>An entity qualifies as a fast small business payer if, for two consecutive reporting periods, it has a payment time of 20 days or less.</w:t>
      </w:r>
    </w:p>
    <w:p w14:paraId="6B16807A" w14:textId="556EFD6A" w:rsidR="00BA650C" w:rsidRPr="00EA0A6E" w:rsidRDefault="000E0490" w:rsidP="004D5A1A">
      <w:pPr>
        <w:pStyle w:val="OutlineNumbered1"/>
        <w:spacing w:before="120"/>
        <w:ind w:left="567" w:hanging="567"/>
      </w:pPr>
      <w:r w:rsidRPr="00EA0A6E">
        <w:t xml:space="preserve">To identify fast small business payers, the 95th percentile payment time is used. This is the number of days it takes for the entity to make 95% of its payments to small business suppliers, </w:t>
      </w:r>
      <w:r>
        <w:t xml:space="preserve">which </w:t>
      </w:r>
      <w:r w:rsidRPr="00EA0A6E">
        <w:t>allow</w:t>
      </w:r>
      <w:r>
        <w:t>s</w:t>
      </w:r>
      <w:r w:rsidRPr="00EA0A6E">
        <w:t xml:space="preserve"> for delays due to outlying or disputed payments.</w:t>
      </w:r>
    </w:p>
    <w:p w14:paraId="2BA0243D" w14:textId="77777777" w:rsidR="000E0490" w:rsidRPr="00EA0A6E" w:rsidRDefault="000E0490" w:rsidP="004D5A1A">
      <w:pPr>
        <w:pStyle w:val="OutlineNumbered1"/>
        <w:spacing w:before="120"/>
        <w:ind w:left="567" w:hanging="567"/>
      </w:pPr>
      <w:r w:rsidRPr="00EA0A6E">
        <w:t>The fast small business payer designation automatically expires nine months after the end of the reporting period in which the entity qualified. This allows time for the next six-month reporting period and three months to submit the report.</w:t>
      </w:r>
      <w:r>
        <w:t xml:space="preserve"> The designation will also automatically expire if the entity submits a report for the next period which indicates it makes 95% of its payments to small business in more than 20 days.</w:t>
      </w:r>
    </w:p>
    <w:p w14:paraId="399AFA53" w14:textId="77777777" w:rsidR="000E0490" w:rsidRDefault="000E0490" w:rsidP="004D5A1A">
      <w:pPr>
        <w:pStyle w:val="OutlineNumbered1"/>
        <w:spacing w:before="120"/>
        <w:ind w:left="567" w:hanging="567"/>
      </w:pPr>
      <w:r w:rsidRPr="00EA0A6E">
        <w:t xml:space="preserve">If a fast small business payer submits a report with payment times of 20 days or less within nine months of its last qualifying period, it will continue to be designated a fast small business payer on the </w:t>
      </w:r>
      <w:hyperlink r:id="rId75" w:history="1">
        <w:r>
          <w:rPr>
            <w:rStyle w:val="Hyperlink"/>
          </w:rPr>
          <w:t>Register</w:t>
        </w:r>
      </w:hyperlink>
      <w:r w:rsidRPr="00EA0A6E">
        <w:t>.</w:t>
      </w:r>
    </w:p>
    <w:tbl>
      <w:tblPr>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0CFF342F" w14:textId="77777777">
        <w:tc>
          <w:tcPr>
            <w:tcW w:w="5000" w:type="pct"/>
            <w:shd w:val="clear" w:color="auto" w:fill="EBF1F7"/>
          </w:tcPr>
          <w:p w14:paraId="2AF1F22C" w14:textId="67F68DD1" w:rsidR="00AE41F1" w:rsidRPr="000553FE" w:rsidRDefault="0047533B">
            <w:pPr>
              <w:pStyle w:val="BoxHeading"/>
              <w:rPr>
                <w:b w:val="0"/>
              </w:rPr>
            </w:pPr>
            <w:r>
              <w:lastRenderedPageBreak/>
              <w:t>Example</w:t>
            </w:r>
            <w:r w:rsidR="00031282">
              <w:t xml:space="preserve"> 55</w:t>
            </w:r>
          </w:p>
          <w:p w14:paraId="1EE43A55" w14:textId="075A209D" w:rsidR="00AE41F1" w:rsidRPr="00247BAC" w:rsidRDefault="0047533B">
            <w:pPr>
              <w:pStyle w:val="BoxHeading2-Blue"/>
            </w:pPr>
            <w:r w:rsidRPr="00EA0A6E">
              <w:rPr>
                <w:rFonts w:cstheme="minorHAnsi"/>
                <w:b/>
                <w:bCs/>
                <w:szCs w:val="22"/>
              </w:rPr>
              <w:t>Fast Small Business Payer Criteria</w:t>
            </w:r>
          </w:p>
          <w:p w14:paraId="781F8FF7" w14:textId="77777777" w:rsidR="001F0367" w:rsidRDefault="0047533B" w:rsidP="0047533B">
            <w:pPr>
              <w:pStyle w:val="BoxText"/>
            </w:pPr>
            <w:r w:rsidRPr="0047533B">
              <w:rPr>
                <w:u w:val="single"/>
              </w:rPr>
              <w:t>Scenario 1:</w:t>
            </w:r>
            <w:r>
              <w:t xml:space="preserve"> </w:t>
            </w:r>
          </w:p>
          <w:p w14:paraId="752502D8" w14:textId="7BFB70B3" w:rsidR="0047533B" w:rsidRDefault="0047533B" w:rsidP="0047533B">
            <w:pPr>
              <w:pStyle w:val="BoxText"/>
            </w:pPr>
            <w:r>
              <w:t xml:space="preserve">A reporting entity submits two consecutive reports with 95th percentile payment times of 20 days and 18 days. </w:t>
            </w:r>
          </w:p>
          <w:p w14:paraId="6F086E0F" w14:textId="5BF8DC37" w:rsidR="0047533B" w:rsidRDefault="0047533B" w:rsidP="0047533B">
            <w:pPr>
              <w:pStyle w:val="BoxBullet"/>
              <w:ind w:left="284" w:hanging="284"/>
            </w:pPr>
            <w:r>
              <w:t>This entity meets the criteria to be designated a fast small business payer.</w:t>
            </w:r>
          </w:p>
          <w:p w14:paraId="7928E2D1" w14:textId="77777777" w:rsidR="001F0367" w:rsidRDefault="0047533B" w:rsidP="0047533B">
            <w:pPr>
              <w:pStyle w:val="BoxText"/>
            </w:pPr>
            <w:r w:rsidRPr="0047533B">
              <w:rPr>
                <w:u w:val="single"/>
              </w:rPr>
              <w:t>Scenario 2:</w:t>
            </w:r>
            <w:r>
              <w:t xml:space="preserve"> </w:t>
            </w:r>
          </w:p>
          <w:p w14:paraId="115DC834" w14:textId="6CDDEECE" w:rsidR="0047533B" w:rsidRDefault="0047533B" w:rsidP="0047533B">
            <w:pPr>
              <w:pStyle w:val="BoxText"/>
            </w:pPr>
            <w:r>
              <w:t>A reporting entity is already designated as a fast small business payer</w:t>
            </w:r>
            <w:r w:rsidR="000A2D98">
              <w:t>, with its last</w:t>
            </w:r>
            <w:r w:rsidR="008C2430">
              <w:t xml:space="preserve"> submitted</w:t>
            </w:r>
            <w:r w:rsidR="000A2D98">
              <w:t xml:space="preserve"> </w:t>
            </w:r>
            <w:r w:rsidR="000B2726">
              <w:t xml:space="preserve">report </w:t>
            </w:r>
            <w:r w:rsidR="008C2430">
              <w:t xml:space="preserve">being for </w:t>
            </w:r>
            <w:r w:rsidR="00860560">
              <w:t xml:space="preserve">the </w:t>
            </w:r>
            <w:r w:rsidR="00BA041F">
              <w:t>reporting period ended 31 December 2026</w:t>
            </w:r>
            <w:r>
              <w:t>.</w:t>
            </w:r>
            <w:r w:rsidR="009F301F">
              <w:t xml:space="preserve"> On</w:t>
            </w:r>
            <w:r w:rsidR="001C0E1D">
              <w:t xml:space="preserve"> </w:t>
            </w:r>
            <w:r w:rsidR="0010197B">
              <w:t>31 O</w:t>
            </w:r>
            <w:r w:rsidR="00F96438">
              <w:t>cto</w:t>
            </w:r>
            <w:r w:rsidR="0010197B">
              <w:t>ber 2027</w:t>
            </w:r>
            <w:r w:rsidR="0090032A">
              <w:t xml:space="preserve">, </w:t>
            </w:r>
            <w:r w:rsidR="00F96438">
              <w:t xml:space="preserve">the </w:t>
            </w:r>
            <w:r w:rsidR="0084559E">
              <w:t>entity submit</w:t>
            </w:r>
            <w:r w:rsidR="00EA6666">
              <w:t>s</w:t>
            </w:r>
            <w:r w:rsidR="0084559E">
              <w:t xml:space="preserve"> its next report</w:t>
            </w:r>
            <w:r w:rsidR="006305D8" w:rsidRPr="00531A67">
              <w:t xml:space="preserve"> with a 95th percentile payment time of 14 days</w:t>
            </w:r>
            <w:r w:rsidR="002509DF" w:rsidRPr="00531A67">
              <w:t>.</w:t>
            </w:r>
            <w:r>
              <w:t xml:space="preserve"> </w:t>
            </w:r>
          </w:p>
          <w:p w14:paraId="4841524D" w14:textId="30C0ACD4" w:rsidR="00AE41F1" w:rsidRPr="008950C5" w:rsidRDefault="0047533B" w:rsidP="0047533B">
            <w:pPr>
              <w:pStyle w:val="BoxBullet"/>
              <w:ind w:left="284" w:hanging="284"/>
            </w:pPr>
            <w:r>
              <w:t xml:space="preserve">The entity ceased to be a fast small business payer for one month (9 months after the end of the </w:t>
            </w:r>
            <w:r w:rsidR="00D72A8E">
              <w:t>previous</w:t>
            </w:r>
            <w:r>
              <w:t xml:space="preserve"> reporting period) but regain</w:t>
            </w:r>
            <w:r w:rsidR="004433B1">
              <w:t>s</w:t>
            </w:r>
            <w:r>
              <w:t xml:space="preserve"> the status after submitting the next report.</w:t>
            </w:r>
          </w:p>
        </w:tc>
      </w:tr>
    </w:tbl>
    <w:p w14:paraId="1DA22819" w14:textId="77777777" w:rsidR="000E0490" w:rsidRPr="001A07E3" w:rsidRDefault="000E0490" w:rsidP="000E0490">
      <w:pPr>
        <w:pStyle w:val="Heading3"/>
        <w:rPr>
          <w:bCs w:val="0"/>
          <w:sz w:val="27"/>
          <w:szCs w:val="27"/>
        </w:rPr>
      </w:pPr>
      <w:bookmarkStart w:id="227" w:name="_Toc180688195"/>
      <w:bookmarkStart w:id="228" w:name="_Toc184822276"/>
      <w:r>
        <w:rPr>
          <w:sz w:val="27"/>
          <w:szCs w:val="27"/>
        </w:rPr>
        <w:t>F</w:t>
      </w:r>
      <w:r w:rsidRPr="001A07E3">
        <w:rPr>
          <w:sz w:val="27"/>
          <w:szCs w:val="27"/>
        </w:rPr>
        <w:t>ast Small Business Payer List</w:t>
      </w:r>
      <w:bookmarkEnd w:id="227"/>
      <w:bookmarkEnd w:id="228"/>
    </w:p>
    <w:p w14:paraId="70E90891" w14:textId="77777777" w:rsidR="000E0490" w:rsidRPr="00EA0A6E" w:rsidRDefault="000E0490" w:rsidP="00AE41F1">
      <w:pPr>
        <w:pStyle w:val="OutlineNumbered1"/>
        <w:ind w:left="567" w:hanging="567"/>
      </w:pPr>
      <w:r w:rsidRPr="00EA0A6E">
        <w:t xml:space="preserve">The Regulator must publish and maintain a list of fast small business payers on the </w:t>
      </w:r>
      <w:hyperlink r:id="rId76" w:history="1">
        <w:r>
          <w:rPr>
            <w:rStyle w:val="Hyperlink"/>
          </w:rPr>
          <w:t>Register</w:t>
        </w:r>
      </w:hyperlink>
      <w:r w:rsidRPr="00EA0A6E">
        <w:t>.</w:t>
      </w:r>
    </w:p>
    <w:p w14:paraId="36FA9970" w14:textId="2E8A0AB5" w:rsidR="000E0490" w:rsidRPr="00EA0A6E" w:rsidRDefault="000E0490" w:rsidP="00AE41F1">
      <w:pPr>
        <w:pStyle w:val="OutlineNumbered1"/>
        <w:ind w:left="567" w:hanging="567"/>
      </w:pPr>
      <w:r w:rsidRPr="00EA0A6E">
        <w:t xml:space="preserve">If an entity is on this list, both the entity and the entities it </w:t>
      </w:r>
      <w:r>
        <w:t xml:space="preserve">consolidates in its reporting </w:t>
      </w:r>
      <w:r w:rsidRPr="00EA0A6E">
        <w:t xml:space="preserve">can publicly state that they are fast small business payers. </w:t>
      </w:r>
      <w:r>
        <w:t>However,</w:t>
      </w:r>
      <w:r w:rsidR="004D3389">
        <w:t xml:space="preserve"> generally,</w:t>
      </w:r>
      <w:r>
        <w:t xml:space="preserve"> i</w:t>
      </w:r>
      <w:r w:rsidRPr="00EA0A6E">
        <w:t>f an entity makes this claim without being on the list, it may face compliance actions and penalties.</w:t>
      </w:r>
    </w:p>
    <w:p w14:paraId="46DD33C8" w14:textId="77777777" w:rsidR="000E0490" w:rsidRPr="00EA0A6E" w:rsidRDefault="000E0490" w:rsidP="00AE41F1">
      <w:pPr>
        <w:pStyle w:val="OutlineNumbered1"/>
        <w:ind w:left="567" w:hanging="567"/>
      </w:pPr>
      <w:r w:rsidRPr="00EA0A6E">
        <w:t xml:space="preserve">Entities that make public statements about being fast small business payers must exercise care and ensure accuracy. If an entity is removed from the list, it must remove any claims about being a fast small business payer from </w:t>
      </w:r>
      <w:r>
        <w:t>existing</w:t>
      </w:r>
      <w:r w:rsidRPr="00EA0A6E">
        <w:t xml:space="preserve"> publications</w:t>
      </w:r>
      <w:r>
        <w:t xml:space="preserve"> to avoid compliance actions and penalties</w:t>
      </w:r>
      <w:r w:rsidRPr="00EA0A6E">
        <w:t>.</w:t>
      </w:r>
    </w:p>
    <w:tbl>
      <w:tblPr>
        <w:tblpPr w:leftFromText="180" w:rightFromText="180" w:vertAnchor="text" w:horzAnchor="margin" w:tblpY="108"/>
        <w:tblW w:w="5000" w:type="pct"/>
        <w:shd w:val="clear" w:color="auto" w:fill="EBF1F7"/>
        <w:tblCellMar>
          <w:top w:w="57" w:type="dxa"/>
          <w:left w:w="284" w:type="dxa"/>
          <w:bottom w:w="170" w:type="dxa"/>
          <w:right w:w="284" w:type="dxa"/>
        </w:tblCellMar>
        <w:tblLook w:val="01E0" w:firstRow="1" w:lastRow="1" w:firstColumn="1" w:lastColumn="1" w:noHBand="0" w:noVBand="0"/>
      </w:tblPr>
      <w:tblGrid>
        <w:gridCol w:w="9072"/>
      </w:tblGrid>
      <w:tr w:rsidR="00AE41F1" w14:paraId="522D8317" w14:textId="77777777" w:rsidTr="00D2239A">
        <w:tc>
          <w:tcPr>
            <w:tcW w:w="5000" w:type="pct"/>
            <w:shd w:val="clear" w:color="auto" w:fill="EBF1F7"/>
          </w:tcPr>
          <w:p w14:paraId="153C8D50" w14:textId="21AD7AA0" w:rsidR="00AE41F1" w:rsidRPr="000553FE" w:rsidRDefault="00D139E6">
            <w:pPr>
              <w:pStyle w:val="BoxHeading"/>
              <w:rPr>
                <w:b w:val="0"/>
              </w:rPr>
            </w:pPr>
            <w:r>
              <w:t>Example</w:t>
            </w:r>
            <w:r w:rsidR="00D2239A">
              <w:t xml:space="preserve"> 56</w:t>
            </w:r>
          </w:p>
          <w:p w14:paraId="4F05F647" w14:textId="40DEFCBC" w:rsidR="00AE41F1" w:rsidRPr="00247BAC" w:rsidRDefault="00D139E6">
            <w:pPr>
              <w:pStyle w:val="BoxHeading2-Blue"/>
            </w:pPr>
            <w:r w:rsidRPr="009D13F0">
              <w:rPr>
                <w:b/>
                <w:bCs/>
              </w:rPr>
              <w:t>Fast Small Business Payer List</w:t>
            </w:r>
            <w:r w:rsidRPr="00247BAC">
              <w:rPr>
                <w:rStyle w:val="Strong"/>
              </w:rPr>
              <w:t xml:space="preserve"> </w:t>
            </w:r>
          </w:p>
          <w:p w14:paraId="258F85C6" w14:textId="77777777" w:rsidR="00E454E4" w:rsidRDefault="00D139E6" w:rsidP="00D139E6">
            <w:pPr>
              <w:pStyle w:val="BoxText"/>
            </w:pPr>
            <w:r w:rsidRPr="00D139E6">
              <w:rPr>
                <w:u w:val="single"/>
              </w:rPr>
              <w:t>Scenario 1:</w:t>
            </w:r>
            <w:r>
              <w:t xml:space="preserve"> </w:t>
            </w:r>
          </w:p>
          <w:p w14:paraId="2EC02E80" w14:textId="62D87864" w:rsidR="00D139E6" w:rsidRDefault="00D139E6" w:rsidP="00D139E6">
            <w:pPr>
              <w:pStyle w:val="BoxText"/>
            </w:pPr>
            <w:r>
              <w:t xml:space="preserve">A reporting entity submits two consecutive reports with 95th percentile payment times of 20 days. </w:t>
            </w:r>
          </w:p>
          <w:p w14:paraId="1344307E" w14:textId="46A7CF15" w:rsidR="00D139E6" w:rsidRDefault="00D139E6" w:rsidP="00D139E6">
            <w:pPr>
              <w:pStyle w:val="BoxBullet"/>
              <w:ind w:left="284" w:hanging="284"/>
            </w:pPr>
            <w:r>
              <w:t>The entity qualifies to be added to the fast small business payer list after submitting its second report and can start making public statements about being on the list once it appears.</w:t>
            </w:r>
          </w:p>
          <w:p w14:paraId="4880B98C" w14:textId="77777777" w:rsidR="00E454E4" w:rsidRDefault="00D139E6" w:rsidP="00D139E6">
            <w:pPr>
              <w:pStyle w:val="BoxText"/>
            </w:pPr>
            <w:r w:rsidRPr="00D139E6">
              <w:rPr>
                <w:u w:val="single"/>
              </w:rPr>
              <w:t>Scenario 2:</w:t>
            </w:r>
            <w:r>
              <w:t xml:space="preserve"> </w:t>
            </w:r>
          </w:p>
          <w:p w14:paraId="596591E4" w14:textId="0EC5775C" w:rsidR="00D139E6" w:rsidRDefault="00D139E6" w:rsidP="00D139E6">
            <w:pPr>
              <w:pStyle w:val="BoxText"/>
            </w:pPr>
            <w:r>
              <w:t xml:space="preserve">A reporting entity is on the fast small business payer list and makes this claim in its requests for quotes. However, in the next reporting period, it submits a report with a 95th percentile payment time of 21 days and is removed from the list. </w:t>
            </w:r>
          </w:p>
          <w:p w14:paraId="2529DDC5" w14:textId="1267C9FD" w:rsidR="00AE41F1" w:rsidRPr="008950C5" w:rsidRDefault="00D139E6" w:rsidP="00D139E6">
            <w:pPr>
              <w:pStyle w:val="BoxBullet"/>
              <w:ind w:left="284" w:hanging="284"/>
            </w:pPr>
            <w:r>
              <w:t>The entity must immediately remove statements about being a fast small business payer from its documents.</w:t>
            </w:r>
          </w:p>
        </w:tc>
      </w:tr>
    </w:tbl>
    <w:p w14:paraId="4DB86FBD" w14:textId="77777777" w:rsidR="000E0490" w:rsidRDefault="000E0490" w:rsidP="00D139E6">
      <w:pPr>
        <w:pStyle w:val="OutlineNumbered1"/>
        <w:spacing w:before="120"/>
        <w:ind w:left="567" w:hanging="567"/>
      </w:pPr>
      <w:r w:rsidRPr="00605DDA">
        <w:lastRenderedPageBreak/>
        <w:t xml:space="preserve">Entities that state that they are a fast small business payer should carefully monitor their status on the </w:t>
      </w:r>
      <w:hyperlink r:id="rId77" w:history="1">
        <w:r w:rsidRPr="00C56A98">
          <w:rPr>
            <w:rStyle w:val="Hyperlink"/>
          </w:rPr>
          <w:t>Register</w:t>
        </w:r>
      </w:hyperlink>
      <w:r w:rsidRPr="00605DDA">
        <w:t xml:space="preserve"> to ensure they are still listed as fast small business payers.</w:t>
      </w:r>
    </w:p>
    <w:tbl>
      <w:tblPr>
        <w:tblW w:w="5000" w:type="pct"/>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072"/>
      </w:tblGrid>
      <w:tr w:rsidR="00F70B36" w14:paraId="3661676A" w14:textId="77777777">
        <w:tc>
          <w:tcPr>
            <w:tcW w:w="5000" w:type="pct"/>
            <w:shd w:val="clear" w:color="auto" w:fill="FEF2E4" w:themeFill="accent5"/>
          </w:tcPr>
          <w:p w14:paraId="304A2C4F" w14:textId="5B657F9C" w:rsidR="00F70B36" w:rsidRPr="000553FE" w:rsidRDefault="00D139E6">
            <w:pPr>
              <w:pStyle w:val="BoxHeading"/>
              <w:rPr>
                <w:b w:val="0"/>
              </w:rPr>
            </w:pPr>
            <w:r>
              <w:t>Regulator Note</w:t>
            </w:r>
          </w:p>
          <w:p w14:paraId="7F81ECAB" w14:textId="23159831" w:rsidR="00F70B36" w:rsidRPr="008950C5" w:rsidRDefault="00D139E6" w:rsidP="00D139E6">
            <w:pPr>
              <w:pStyle w:val="BoxText"/>
            </w:pPr>
            <w:r w:rsidRPr="00D139E6">
              <w:t xml:space="preserve">Penalties apply to false claims to be a fast small business payer when an entity is not on the list. The Regulator can use its information-gathering and compliance powers to check for false claims. Entities are responsible for regularly checking their fast small business payer status on the </w:t>
            </w:r>
            <w:hyperlink r:id="rId78" w:history="1">
              <w:r w:rsidR="00841C0D" w:rsidRPr="00F248C1">
                <w:rPr>
                  <w:rStyle w:val="Hyperlink"/>
                </w:rPr>
                <w:t>Register</w:t>
              </w:r>
            </w:hyperlink>
            <w:r w:rsidR="00841C0D">
              <w:rPr>
                <w:rStyle w:val="Hyperlink"/>
              </w:rPr>
              <w:t xml:space="preserve"> </w:t>
            </w:r>
            <w:r w:rsidRPr="00D139E6">
              <w:t>if they make public statements about it.</w:t>
            </w:r>
          </w:p>
        </w:tc>
      </w:tr>
    </w:tbl>
    <w:p w14:paraId="0E1B06A4" w14:textId="77777777" w:rsidR="000E0490" w:rsidRPr="003538B4" w:rsidRDefault="000E0490" w:rsidP="000E0490">
      <w:pPr>
        <w:pStyle w:val="Heading4"/>
      </w:pPr>
      <w:r w:rsidRPr="003538B4">
        <w:t>Excluding Entities from the Fast Small Business Payer List</w:t>
      </w:r>
    </w:p>
    <w:p w14:paraId="3DDA8131" w14:textId="77777777" w:rsidR="000E0490" w:rsidRPr="00EA0A6E" w:rsidRDefault="000E0490" w:rsidP="00AE41F1">
      <w:pPr>
        <w:pStyle w:val="OutlineNumbered1"/>
        <w:ind w:left="567" w:hanging="567"/>
      </w:pPr>
      <w:r w:rsidRPr="00EA0A6E">
        <w:t>The Regulator has the power to exclude entities from the fast small business payer list, even if they meet the criteria to qualify.</w:t>
      </w:r>
    </w:p>
    <w:p w14:paraId="029B16D0" w14:textId="77777777" w:rsidR="000E0490" w:rsidRPr="00EA0A6E" w:rsidRDefault="000E0490" w:rsidP="00AE41F1">
      <w:pPr>
        <w:pStyle w:val="OutlineNumbered1"/>
        <w:ind w:left="567" w:hanging="567"/>
      </w:pPr>
      <w:r w:rsidRPr="00EA0A6E">
        <w:t>The Regulator can exclude an entity from the list if the entity:</w:t>
      </w:r>
    </w:p>
    <w:p w14:paraId="12C6CD28" w14:textId="77777777" w:rsidR="000E0490" w:rsidRPr="00EA0A6E" w:rsidRDefault="000E0490" w:rsidP="00D3338F">
      <w:pPr>
        <w:pStyle w:val="OutlineNumberedDot"/>
        <w:ind w:left="851" w:hanging="284"/>
      </w:pPr>
      <w:r w:rsidRPr="00EA0A6E">
        <w:t>Has procurement practices that limit or restrict small business participation</w:t>
      </w:r>
    </w:p>
    <w:p w14:paraId="6FB935B9" w14:textId="77777777" w:rsidR="000E0490" w:rsidRPr="00EA0A6E" w:rsidRDefault="000E0490" w:rsidP="00D3338F">
      <w:pPr>
        <w:pStyle w:val="OutlineNumberedDot"/>
        <w:ind w:left="851" w:hanging="284"/>
      </w:pPr>
      <w:r w:rsidRPr="00EA0A6E">
        <w:t>Has engaged in payment practices that go against the objects of the Act, or</w:t>
      </w:r>
    </w:p>
    <w:p w14:paraId="2F4EE1E9" w14:textId="77777777" w:rsidR="000E0490" w:rsidRPr="00EA0A6E" w:rsidRDefault="000E0490" w:rsidP="00D3338F">
      <w:pPr>
        <w:pStyle w:val="OutlineNumberedDot"/>
        <w:ind w:left="851" w:hanging="284"/>
      </w:pPr>
      <w:r w:rsidRPr="00EA0A6E">
        <w:t>Has submitted a payment times report with misleading or incorrect information.</w:t>
      </w:r>
    </w:p>
    <w:p w14:paraId="003D6A1C" w14:textId="77777777" w:rsidR="000E0490" w:rsidRPr="00EA0A6E" w:rsidRDefault="000E0490" w:rsidP="00B93DD3">
      <w:pPr>
        <w:pStyle w:val="OutlineNumbered1"/>
        <w:ind w:left="567" w:hanging="567"/>
      </w:pPr>
      <w:r w:rsidRPr="00EA0A6E">
        <w:t>The Regulator can also withhold adding an entity to the list while investigating whether any of these circumstances apply.</w:t>
      </w:r>
    </w:p>
    <w:p w14:paraId="4F1C6C11" w14:textId="77777777" w:rsidR="000E0490" w:rsidRPr="00EA0A6E" w:rsidRDefault="000E0490" w:rsidP="00B93DD3">
      <w:pPr>
        <w:pStyle w:val="OutlineNumbered1"/>
        <w:ind w:left="567" w:hanging="567"/>
      </w:pPr>
      <w:r w:rsidRPr="00EA0A6E">
        <w:t>Before deciding to exclude an entity, the Regulator will provide the entity with written notice, explaining the reasons for exclusion and the duration of the exclusion.</w:t>
      </w:r>
    </w:p>
    <w:p w14:paraId="106AB55A" w14:textId="77777777" w:rsidR="000E0490" w:rsidRPr="00EA0A6E" w:rsidRDefault="000E0490" w:rsidP="00B93DD3">
      <w:pPr>
        <w:pStyle w:val="OutlineNumbered1"/>
        <w:ind w:left="567" w:hanging="567"/>
      </w:pPr>
      <w:r w:rsidRPr="00EA0A6E">
        <w:t>Exclusions prevent entities from being recogni</w:t>
      </w:r>
      <w:r>
        <w:t>s</w:t>
      </w:r>
      <w:r w:rsidRPr="00EA0A6E">
        <w:t xml:space="preserve">ed or commended as fast small business payers while engaging in practices that harm small businesses or </w:t>
      </w:r>
      <w:r>
        <w:t xml:space="preserve">where their fast small business payer status </w:t>
      </w:r>
      <w:r w:rsidRPr="00EA0A6E">
        <w:t>may be misleading.</w:t>
      </w:r>
    </w:p>
    <w:p w14:paraId="2AC51C91" w14:textId="77777777" w:rsidR="000264AF" w:rsidRDefault="000264AF" w:rsidP="00345700"/>
    <w:p w14:paraId="0B13BC85" w14:textId="77777777" w:rsidR="00247BAC" w:rsidRDefault="00247BAC" w:rsidP="00345700"/>
    <w:sectPr w:rsidR="00247BAC" w:rsidSect="00EC236D">
      <w:headerReference w:type="even" r:id="rId79"/>
      <w:headerReference w:type="default" r:id="rId80"/>
      <w:footerReference w:type="even" r:id="rId81"/>
      <w:footerReference w:type="default" r:id="rId82"/>
      <w:headerReference w:type="first" r:id="rId83"/>
      <w:footerReference w:type="first" r:id="rId8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54B3" w14:textId="77777777" w:rsidR="008C7E47" w:rsidRDefault="008C7E47">
      <w:pPr>
        <w:spacing w:before="0" w:after="0"/>
      </w:pPr>
      <w:r>
        <w:separator/>
      </w:r>
    </w:p>
  </w:endnote>
  <w:endnote w:type="continuationSeparator" w:id="0">
    <w:p w14:paraId="3A2E04D3" w14:textId="77777777" w:rsidR="008C7E47" w:rsidRDefault="008C7E47">
      <w:pPr>
        <w:spacing w:before="0" w:after="0"/>
      </w:pPr>
      <w:r>
        <w:continuationSeparator/>
      </w:r>
    </w:p>
  </w:endnote>
  <w:endnote w:type="continuationNotice" w:id="1">
    <w:p w14:paraId="3820C474" w14:textId="77777777" w:rsidR="008C7E47" w:rsidRDefault="008C7E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867E" w14:textId="285562BC" w:rsidR="00E34975" w:rsidRPr="00334F97" w:rsidRDefault="00E34975" w:rsidP="000A449A">
    <w:pPr>
      <w:pStyle w:val="FooterOdd"/>
      <w:tabs>
        <w:tab w:val="right" w:pos="9072"/>
      </w:tabs>
    </w:pPr>
    <w:r w:rsidRPr="00103F3C">
      <w:rPr>
        <w:noProof/>
        <w:position w:val="-8"/>
      </w:rPr>
      <w:drawing>
        <wp:inline distT="0" distB="0" distL="0" distR="0" wp14:anchorId="3AEE6112" wp14:editId="660ECC73">
          <wp:extent cx="1821600" cy="205200"/>
          <wp:effectExtent l="0" t="0" r="7620" b="4445"/>
          <wp:docPr id="298857604" name="Picture 298857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5C74C4">
      <w:fldChar w:fldCharType="begin"/>
    </w:r>
    <w:r w:rsidR="005C74C4">
      <w:instrText xml:space="preserve"> STYLEREF  "Heading 1"  \* MERGEFORMAT </w:instrText>
    </w:r>
    <w:r w:rsidR="005C74C4">
      <w:fldChar w:fldCharType="separate"/>
    </w:r>
    <w:r w:rsidR="005C74C4">
      <w:rPr>
        <w:noProof/>
      </w:rPr>
      <w:t>Contents</w:t>
    </w:r>
    <w:r w:rsidR="005C74C4">
      <w:rPr>
        <w:noProof/>
      </w:rPr>
      <w:fldChar w:fldCharType="end"/>
    </w:r>
    <w:r>
      <w:t xml:space="preserve"> | </w:t>
    </w:r>
    <w:r>
      <w:fldChar w:fldCharType="begin"/>
    </w:r>
    <w:r>
      <w:instrText xml:space="preserve"> PAGE   \* MERGEFORMAT </w:instrText>
    </w:r>
    <w:r>
      <w:fldChar w:fldCharType="separate"/>
    </w:r>
    <w:r>
      <w:t>iv</w:t>
    </w:r>
    <w:r>
      <w:fldChar w:fldCharType="end"/>
    </w:r>
  </w:p>
  <w:p w14:paraId="38E27502" w14:textId="77777777" w:rsidR="009267A9" w:rsidRPr="00E34975" w:rsidRDefault="009267A9" w:rsidP="00E3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B245" w14:textId="5A3FD0D1" w:rsidR="00EF145E" w:rsidRPr="00334F97" w:rsidRDefault="00334F97" w:rsidP="00334F97">
    <w:pPr>
      <w:pStyle w:val="FooterOdd"/>
      <w:tabs>
        <w:tab w:val="right" w:pos="9072"/>
      </w:tabs>
    </w:pPr>
    <w:r w:rsidRPr="00103F3C">
      <w:rPr>
        <w:noProof/>
        <w:position w:val="-8"/>
      </w:rPr>
      <w:drawing>
        <wp:inline distT="0" distB="0" distL="0" distR="0" wp14:anchorId="2F105F30" wp14:editId="22207387">
          <wp:extent cx="1821600" cy="205200"/>
          <wp:effectExtent l="0" t="0" r="7620" b="4445"/>
          <wp:docPr id="912213674" name="Picture 912213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5C74C4">
      <w:fldChar w:fldCharType="begin"/>
    </w:r>
    <w:r w:rsidR="005C74C4">
      <w:instrText xml:space="preserve"> STYLEREF  "Heading 1"  \* MERGEFORMAT </w:instrText>
    </w:r>
    <w:r w:rsidR="005C74C4">
      <w:fldChar w:fldCharType="separate"/>
    </w:r>
    <w:r w:rsidR="005C74C4">
      <w:rPr>
        <w:noProof/>
      </w:rPr>
      <w:t>Contents</w:t>
    </w:r>
    <w:r w:rsidR="005C74C4">
      <w:rPr>
        <w:noProof/>
      </w:rPr>
      <w:fldChar w:fldCharType="end"/>
    </w:r>
    <w:r>
      <w:t xml:space="preserve"> | </w:t>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753F" w14:textId="77777777" w:rsidR="00EF145E" w:rsidRDefault="00EF1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129E" w14:textId="389A1F7E" w:rsidR="00E34975" w:rsidRPr="00334F97" w:rsidRDefault="00E34975" w:rsidP="00272295">
    <w:pPr>
      <w:pStyle w:val="FooterOdd"/>
      <w:tabs>
        <w:tab w:val="right" w:pos="9072"/>
      </w:tabs>
      <w:jc w:val="center"/>
    </w:pPr>
    <w:r w:rsidRPr="00103F3C">
      <w:rPr>
        <w:noProof/>
        <w:position w:val="-8"/>
      </w:rPr>
      <w:drawing>
        <wp:inline distT="0" distB="0" distL="0" distR="0" wp14:anchorId="26EF1DD4" wp14:editId="3E580D2E">
          <wp:extent cx="1821600" cy="205200"/>
          <wp:effectExtent l="0" t="0" r="7620" b="4445"/>
          <wp:docPr id="542998895" name="Picture 542998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5C74C4">
      <w:fldChar w:fldCharType="begin"/>
    </w:r>
    <w:r w:rsidR="005C74C4">
      <w:instrText xml:space="preserve"> STYLEREF  "Heading 1"  \* MERGEFORMAT </w:instrText>
    </w:r>
    <w:r w:rsidR="005C74C4">
      <w:fldChar w:fldCharType="separate"/>
    </w:r>
    <w:r w:rsidR="005C74C4">
      <w:rPr>
        <w:noProof/>
      </w:rPr>
      <w:t>Important notice about this Guidance</w:t>
    </w:r>
    <w:r w:rsidR="005C74C4">
      <w:rPr>
        <w:noProof/>
      </w:rPr>
      <w:fldChar w:fldCharType="end"/>
    </w:r>
    <w:r>
      <w:t xml:space="preserve"> | </w:t>
    </w:r>
    <w:r>
      <w:fldChar w:fldCharType="begin"/>
    </w:r>
    <w:r>
      <w:instrText xml:space="preserve"> PAGE   \* MERGEFORMAT </w:instrText>
    </w:r>
    <w:r>
      <w:fldChar w:fldCharType="separate"/>
    </w:r>
    <w:r>
      <w:t>iv</w:t>
    </w:r>
    <w:r>
      <w:fldChar w:fldCharType="end"/>
    </w:r>
  </w:p>
  <w:p w14:paraId="7177D76A" w14:textId="2F67D3A1" w:rsidR="000E0490" w:rsidRPr="00E77C89" w:rsidRDefault="000E0490" w:rsidP="00EE1447">
    <w:pPr>
      <w:pStyle w:val="FooterEven"/>
    </w:pPr>
  </w:p>
  <w:p w14:paraId="0BC429ED" w14:textId="77777777" w:rsidR="000E0490" w:rsidRDefault="000E04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17A0" w14:textId="77777777" w:rsidR="000E0490" w:rsidRDefault="000E0490">
    <w:pPr>
      <w:pStyle w:val="Cross-ref"/>
      <w:tabs>
        <w:tab w:val="left" w:pos="0"/>
        <w:tab w:val="left" w:pos="2552"/>
      </w:tabs>
      <w:jc w:val="center"/>
    </w:pPr>
  </w:p>
  <w:sdt>
    <w:sdtPr>
      <w:id w:val="-1565724131"/>
      <w:docPartObj>
        <w:docPartGallery w:val="Page Numbers (Bottom of Page)"/>
        <w:docPartUnique/>
      </w:docPartObj>
    </w:sdtPr>
    <w:sdtEndPr/>
    <w:sdtContent>
      <w:p w14:paraId="629631E2" w14:textId="4C5F9974" w:rsidR="000E0490" w:rsidRPr="000E4466" w:rsidRDefault="000E0490">
        <w:pPr>
          <w:pStyle w:val="Cross-ref"/>
          <w:tabs>
            <w:tab w:val="left" w:pos="0"/>
            <w:tab w:val="left" w:pos="2552"/>
            <w:tab w:val="center" w:pos="4873"/>
            <w:tab w:val="left" w:pos="6795"/>
          </w:tabs>
          <w:rPr>
            <w:noProof/>
            <w:color w:val="FFFFFF" w:themeColor="background1"/>
          </w:rPr>
        </w:pPr>
      </w:p>
      <w:tbl>
        <w:tblPr>
          <w:tblStyle w:val="TableGrid"/>
          <w:tblW w:w="9534" w:type="dxa"/>
          <w:tblCellMar>
            <w:left w:w="0" w:type="dxa"/>
            <w:right w:w="0" w:type="dxa"/>
          </w:tblCellMar>
          <w:tblLook w:val="04A0" w:firstRow="1" w:lastRow="0" w:firstColumn="1" w:lastColumn="0" w:noHBand="0" w:noVBand="1"/>
        </w:tblPr>
        <w:tblGrid>
          <w:gridCol w:w="2547"/>
          <w:gridCol w:w="3969"/>
          <w:gridCol w:w="3018"/>
        </w:tblGrid>
        <w:tr w:rsidR="000E0490" w:rsidRPr="00C35086" w14:paraId="0EB6D6BF" w14:textId="77777777">
          <w:trPr>
            <w:trHeight w:val="574"/>
          </w:trPr>
          <w:tc>
            <w:tcPr>
              <w:tcW w:w="2547" w:type="dxa"/>
              <w:shd w:val="clear" w:color="auto" w:fill="auto"/>
              <w:vAlign w:val="center"/>
            </w:tcPr>
            <w:p w14:paraId="3704A65C" w14:textId="77777777" w:rsidR="000E0490" w:rsidRPr="00461CA5" w:rsidRDefault="000E0490">
              <w:pPr>
                <w:pStyle w:val="Cross-ref"/>
                <w:tabs>
                  <w:tab w:val="left" w:pos="0"/>
                  <w:tab w:val="left" w:pos="2552"/>
                </w:tabs>
                <w:spacing w:before="240"/>
                <w:rPr>
                  <w:rFonts w:cstheme="minorHAnsi"/>
                  <w:b/>
                  <w:sz w:val="16"/>
                  <w:szCs w:val="16"/>
                </w:rPr>
              </w:pPr>
              <w:r w:rsidRPr="00461CA5">
                <w:rPr>
                  <w:rFonts w:cstheme="minorHAnsi"/>
                  <w:b/>
                  <w:noProof/>
                  <w:color w:val="FFFFFF" w:themeColor="background1"/>
                  <w:sz w:val="16"/>
                  <w:szCs w:val="16"/>
                </w:rPr>
                <mc:AlternateContent>
                  <mc:Choice Requires="wpg">
                    <w:drawing>
                      <wp:anchor distT="0" distB="0" distL="114300" distR="114300" simplePos="0" relativeHeight="251658242" behindDoc="1" locked="0" layoutInCell="1" allowOverlap="1" wp14:anchorId="3399635A" wp14:editId="1E854239">
                        <wp:simplePos x="0" y="0"/>
                        <wp:positionH relativeFrom="column">
                          <wp:posOffset>-222250</wp:posOffset>
                        </wp:positionH>
                        <wp:positionV relativeFrom="paragraph">
                          <wp:posOffset>143510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19BDC5C" id="Group 13" o:spid="_x0000_s1026" style="position:absolute;margin-left:-17.5pt;margin-top:11.3pt;width:14.15pt;height:14.15pt;z-index:-251658238;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">
                        <o:lock v:ext="edit" aspectratio="t"/>
                        <v:oval id="Oval 1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" filled="f" strokecolor="#d5e1f1 [662]" strokeweight="1pt"/>
                        <v:oval id="Oval 1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" filled="f" strokecolor="#d5e1f1 [662]" strokeweight="1pt"/>
                        <v:line id="Straight Connector 1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" strokecolor="#d5e1f1 [662]" strokeweight="1pt"/>
                        <v:oval id="Oval 1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" filled="f" strokecolor="#d5e1f1 [662]" strokeweight="1pt"/>
                        <w10:wrap type="tight"/>
                      </v:group>
                    </w:pict>
                  </mc:Fallback>
                </mc:AlternateContent>
              </w:r>
              <w:r w:rsidRPr="00461CA5">
                <w:rPr>
                  <w:rFonts w:cstheme="minorHAnsi"/>
                  <w:color w:val="FFFFFF" w:themeColor="background1"/>
                  <w:sz w:val="16"/>
                  <w:szCs w:val="16"/>
                </w:rPr>
                <w:t xml:space="preserve"> </w:t>
              </w:r>
              <w:r w:rsidRPr="00461CA5">
                <w:rPr>
                  <w:rFonts w:cstheme="minorHAnsi"/>
                  <w:color w:val="FFFFFF" w:themeColor="background1"/>
                  <w:sz w:val="18"/>
                  <w:szCs w:val="18"/>
                </w:rPr>
                <w:t xml:space="preserve">paymenttimes.gov.au                       </w:t>
              </w:r>
            </w:p>
          </w:tc>
          <w:tc>
            <w:tcPr>
              <w:tcW w:w="3969" w:type="dxa"/>
              <w:shd w:val="clear" w:color="auto" w:fill="auto"/>
              <w:vAlign w:val="center"/>
            </w:tcPr>
            <w:p w14:paraId="486EE98B" w14:textId="77777777" w:rsidR="000E0490" w:rsidRPr="00461CA5" w:rsidRDefault="000E0490">
              <w:pPr>
                <w:pStyle w:val="Cross-ref"/>
                <w:tabs>
                  <w:tab w:val="left" w:pos="0"/>
                  <w:tab w:val="left" w:pos="2552"/>
                </w:tabs>
                <w:spacing w:before="240"/>
                <w:rPr>
                  <w:rFonts w:ascii="Calibri" w:hAnsi="Calibri" w:cs="Calibri"/>
                  <w:b/>
                  <w:noProof/>
                  <w:color w:val="FFFFFF" w:themeColor="background1"/>
                  <w:sz w:val="16"/>
                  <w:szCs w:val="16"/>
                </w:rPr>
              </w:pPr>
              <w:r w:rsidRPr="00461CA5">
                <w:rPr>
                  <w:rFonts w:ascii="Calibri" w:hAnsi="Calibri" w:cs="Calibri"/>
                  <w:b/>
                  <w:noProof/>
                  <w:color w:val="FFFFFF" w:themeColor="background1"/>
                  <w:sz w:val="16"/>
                  <w:szCs w:val="16"/>
                </w:rPr>
                <w:drawing>
                  <wp:anchor distT="0" distB="0" distL="114300" distR="114300" simplePos="0" relativeHeight="251658243" behindDoc="0" locked="0" layoutInCell="1" allowOverlap="1" wp14:anchorId="794A45F7" wp14:editId="316B1CF4">
                    <wp:simplePos x="0" y="0"/>
                    <wp:positionH relativeFrom="column">
                      <wp:posOffset>17780</wp:posOffset>
                    </wp:positionH>
                    <wp:positionV relativeFrom="paragraph">
                      <wp:posOffset>137160</wp:posOffset>
                    </wp:positionV>
                    <wp:extent cx="194310" cy="194310"/>
                    <wp:effectExtent l="0" t="0" r="0" b="0"/>
                    <wp:wrapNone/>
                    <wp:docPr id="328452811" name="Graphic 328452811"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461CA5">
                <w:rPr>
                  <w:rFonts w:ascii="Calibri" w:hAnsi="Calibri" w:cs="Calibri"/>
                  <w:b/>
                  <w:noProof/>
                  <w:color w:val="FFFFFF" w:themeColor="background1"/>
                  <w:sz w:val="16"/>
                  <w:szCs w:val="16"/>
                  <w:u w:val="none"/>
                </w:rPr>
                <w:t xml:space="preserve">           </w:t>
              </w:r>
              <w:r w:rsidRPr="00461CA5">
                <w:rPr>
                  <w:rFonts w:ascii="Calibri" w:hAnsi="Calibri" w:cs="Calibri"/>
                  <w:b/>
                  <w:noProof/>
                  <w:color w:val="FFFFFF" w:themeColor="background1"/>
                  <w:sz w:val="16"/>
                  <w:szCs w:val="16"/>
                </w:rPr>
                <w:t xml:space="preserve">PaymentTimesReformSMB@TREASURY.GOV.AU </w:t>
              </w:r>
              <w:r w:rsidRPr="00461CA5">
                <w:rPr>
                  <w:rFonts w:ascii="Calibri" w:hAnsi="Calibri" w:cs="Calibri"/>
                  <w:sz w:val="16"/>
                  <w:szCs w:val="16"/>
                </w:rPr>
                <w:t xml:space="preserve"> </w:t>
              </w:r>
            </w:p>
          </w:tc>
          <w:tc>
            <w:tcPr>
              <w:tcW w:w="3018" w:type="dxa"/>
              <w:shd w:val="clear" w:color="auto" w:fill="auto"/>
              <w:vAlign w:val="center"/>
            </w:tcPr>
            <w:p w14:paraId="62025655" w14:textId="0A8EC824" w:rsidR="000E0490" w:rsidRPr="00C35086" w:rsidRDefault="000E0490">
              <w:pPr>
                <w:pStyle w:val="Cross-ref"/>
                <w:tabs>
                  <w:tab w:val="left" w:pos="0"/>
                  <w:tab w:val="left" w:pos="2269"/>
                </w:tabs>
                <w:spacing w:before="240"/>
                <w:ind w:right="467"/>
                <w:jc w:val="right"/>
                <w:rPr>
                  <w:rFonts w:cstheme="minorHAnsi"/>
                </w:rPr>
              </w:pPr>
              <w:r w:rsidRPr="00BB5F59">
                <w:rPr>
                  <w:rFonts w:cstheme="minorHAnsi"/>
                  <w:color w:val="FFFFFF" w:themeColor="background1"/>
                </w:rPr>
                <w:t xml:space="preserve">Page </w:t>
              </w:r>
              <w:r w:rsidRPr="00BB5F59">
                <w:rPr>
                  <w:rFonts w:cstheme="minorHAnsi"/>
                  <w:color w:val="FFFFFF" w:themeColor="background1"/>
                  <w:sz w:val="24"/>
                  <w:szCs w:val="24"/>
                </w:rPr>
                <w:fldChar w:fldCharType="begin"/>
              </w:r>
              <w:r w:rsidRPr="00BB5F59">
                <w:rPr>
                  <w:rFonts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cstheme="minorHAnsi"/>
                  <w:color w:val="FFFFFF" w:themeColor="background1"/>
                </w:rPr>
                <w:t xml:space="preserve"> of </w:t>
              </w:r>
              <w:r w:rsidRPr="00BB5F59">
                <w:rPr>
                  <w:rFonts w:cstheme="minorHAnsi"/>
                  <w:color w:val="FFFFFF" w:themeColor="background1"/>
                  <w:sz w:val="22"/>
                </w:rPr>
                <w:fldChar w:fldCharType="begin"/>
              </w:r>
              <w:r w:rsidRPr="00BB5F59">
                <w:rPr>
                  <w:rFonts w:cstheme="minorHAnsi"/>
                  <w:color w:val="FFFFFF" w:themeColor="background1"/>
                </w:rPr>
                <w:instrText xml:space="preserve"> NUMPAGES  </w:instrText>
              </w:r>
              <w:r w:rsidRPr="00BB5F59">
                <w:rPr>
                  <w:rFonts w:cstheme="minorHAnsi"/>
                  <w:color w:val="FFFFFF" w:themeColor="background1"/>
                  <w:sz w:val="22"/>
                </w:rPr>
                <w:fldChar w:fldCharType="separate"/>
              </w:r>
              <w:r w:rsidRPr="00BB5F59">
                <w:rPr>
                  <w:rFonts w:cstheme="minorHAnsi"/>
                  <w:color w:val="FFFFFF" w:themeColor="background1"/>
                  <w:sz w:val="24"/>
                  <w:szCs w:val="24"/>
                </w:rPr>
                <w:t>7</w:t>
              </w:r>
              <w:r w:rsidRPr="00BB5F59">
                <w:rPr>
                  <w:rFonts w:cstheme="minorHAnsi"/>
                  <w:color w:val="FFFFFF" w:themeColor="background1"/>
                  <w:sz w:val="24"/>
                  <w:szCs w:val="24"/>
                </w:rPr>
                <w:fldChar w:fldCharType="end"/>
              </w:r>
            </w:p>
          </w:tc>
        </w:tr>
      </w:tbl>
    </w:sdtContent>
  </w:sdt>
  <w:p w14:paraId="3B9AAA89" w14:textId="77777777" w:rsidR="000E0490" w:rsidRDefault="000E04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035B" w14:textId="7A992178" w:rsidR="000E0490" w:rsidRPr="00506E44" w:rsidRDefault="000E0490" w:rsidP="00506E44">
    <w:pPr>
      <w:pStyle w:val="Footer"/>
      <w:jc w:val="right"/>
    </w:pPr>
  </w:p>
  <w:p w14:paraId="2080BAFA" w14:textId="77777777" w:rsidR="000E0490" w:rsidRDefault="000E04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0DCB" w14:textId="5C1B738C" w:rsidR="00506E44" w:rsidRPr="009267A9" w:rsidRDefault="00506E44" w:rsidP="00506E44">
    <w:pPr>
      <w:pStyle w:val="FooterOdd"/>
      <w:tabs>
        <w:tab w:val="right" w:pos="9072"/>
      </w:tabs>
    </w:pPr>
    <w:r w:rsidRPr="00103F3C">
      <w:rPr>
        <w:noProof/>
        <w:position w:val="-8"/>
      </w:rPr>
      <w:drawing>
        <wp:inline distT="0" distB="0" distL="0" distR="0" wp14:anchorId="55581B22" wp14:editId="3015C0E4">
          <wp:extent cx="1821600" cy="205200"/>
          <wp:effectExtent l="0" t="0" r="7620" b="4445"/>
          <wp:docPr id="292025921" name="Picture 292025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5C74C4">
      <w:fldChar w:fldCharType="begin"/>
    </w:r>
    <w:r w:rsidR="005C74C4">
      <w:instrText xml:space="preserve"> STYLEREF  "Heading 1"  \* MERGEFORMAT </w:instrText>
    </w:r>
    <w:r w:rsidR="005C74C4">
      <w:fldChar w:fldCharType="separate"/>
    </w:r>
    <w:r w:rsidR="005C74C4">
      <w:rPr>
        <w:noProof/>
      </w:rPr>
      <w:t>Volunteering and modifying reporting structures</w:t>
    </w:r>
    <w:r w:rsidR="005C74C4">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F90" w14:textId="1767776F" w:rsidR="00334F97" w:rsidRPr="009267A9" w:rsidRDefault="00334F97" w:rsidP="009267A9">
    <w:pPr>
      <w:pStyle w:val="FooterOdd"/>
      <w:tabs>
        <w:tab w:val="right" w:pos="9072"/>
      </w:tabs>
    </w:pPr>
    <w:r w:rsidRPr="00103F3C">
      <w:rPr>
        <w:noProof/>
        <w:position w:val="-8"/>
      </w:rPr>
      <w:drawing>
        <wp:inline distT="0" distB="0" distL="0" distR="0" wp14:anchorId="79BD36A5" wp14:editId="6AE642B6">
          <wp:extent cx="1821600" cy="205200"/>
          <wp:effectExtent l="0" t="0" r="7620" b="4445"/>
          <wp:docPr id="180057323" name="Picture 180057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5C74C4">
      <w:fldChar w:fldCharType="begin"/>
    </w:r>
    <w:r w:rsidR="005C74C4">
      <w:instrText xml:space="preserve"> STYLEREF  "Heading 1"  \* MERGEFORMAT </w:instrText>
    </w:r>
    <w:r w:rsidR="005C74C4">
      <w:fldChar w:fldCharType="separate"/>
    </w:r>
    <w:r w:rsidR="005C74C4">
      <w:rPr>
        <w:noProof/>
      </w:rPr>
      <w:t>Volunteering and modifying reporting structures</w:t>
    </w:r>
    <w:r w:rsidR="005C74C4">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A1A8" w14:textId="77777777" w:rsidR="00EF145E" w:rsidRDefault="00E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5C08" w14:textId="77777777" w:rsidR="008C7E47" w:rsidRDefault="008C7E47">
      <w:pPr>
        <w:spacing w:before="0" w:after="0"/>
      </w:pPr>
      <w:r>
        <w:separator/>
      </w:r>
    </w:p>
  </w:footnote>
  <w:footnote w:type="continuationSeparator" w:id="0">
    <w:p w14:paraId="6F6A1579" w14:textId="77777777" w:rsidR="008C7E47" w:rsidRDefault="008C7E47">
      <w:pPr>
        <w:spacing w:before="0" w:after="0"/>
      </w:pPr>
      <w:r>
        <w:continuationSeparator/>
      </w:r>
    </w:p>
  </w:footnote>
  <w:footnote w:type="continuationNotice" w:id="1">
    <w:p w14:paraId="0734BBF2" w14:textId="77777777" w:rsidR="008C7E47" w:rsidRDefault="008C7E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98C6" w14:textId="5DA3C58A" w:rsidR="00EF145E" w:rsidRPr="001F3912" w:rsidRDefault="005C74C4" w:rsidP="00A12F62">
    <w:pPr>
      <w:pStyle w:val="HeaderEven"/>
    </w:pPr>
    <w:r>
      <w:fldChar w:fldCharType="begin"/>
    </w:r>
    <w:r>
      <w:instrText xml:space="preserve"> STYLEREF  "Title"  \* MERGEFORMAT </w:instrText>
    </w:r>
    <w:r>
      <w:fldChar w:fldCharType="separate"/>
    </w:r>
    <w:r>
      <w:rPr>
        <w:noProof/>
      </w:rPr>
      <w:t>Payment Times Reporting: Guidance Materials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5734" w14:textId="77777777" w:rsidR="00EF145E" w:rsidRPr="00F836F9" w:rsidRDefault="00EF145E"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3D25" w14:textId="77777777" w:rsidR="00EF145E" w:rsidRDefault="00EF1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F225" w14:textId="51CA4597" w:rsidR="000E0490" w:rsidRPr="00A771B7" w:rsidRDefault="000E0490" w:rsidP="00A771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F90F" w14:textId="77777777" w:rsidR="000E0490" w:rsidRDefault="000E049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FF5E" w14:textId="77777777" w:rsidR="000E0490" w:rsidRPr="009B219F" w:rsidRDefault="000E0490" w:rsidP="009B21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5FB1" w14:textId="0C0351FA" w:rsidR="00EF145E" w:rsidRPr="001F3912" w:rsidRDefault="006A6C35" w:rsidP="00A12F62">
    <w:pPr>
      <w:pStyle w:val="HeaderEven"/>
    </w:pPr>
    <w:r>
      <w:rPr>
        <w:noProof/>
      </w:rPr>
      <w:drawing>
        <wp:anchor distT="0" distB="0" distL="114300" distR="114300" simplePos="0" relativeHeight="251658241" behindDoc="0" locked="0" layoutInCell="1" allowOverlap="0" wp14:anchorId="51FCD9A2" wp14:editId="6C3602A7">
          <wp:simplePos x="0" y="0"/>
          <wp:positionH relativeFrom="page">
            <wp:align>center</wp:align>
          </wp:positionH>
          <wp:positionV relativeFrom="page">
            <wp:align>top</wp:align>
          </wp:positionV>
          <wp:extent cx="7560000" cy="816968"/>
          <wp:effectExtent l="0" t="0" r="0" b="0"/>
          <wp:wrapNone/>
          <wp:docPr id="21410590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9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02F" w14:textId="77777777" w:rsidR="00EF145E" w:rsidRPr="001F3912" w:rsidRDefault="00334F97" w:rsidP="00A12F62">
    <w:pPr>
      <w:pStyle w:val="HeaderOdd"/>
    </w:pPr>
    <w:r>
      <w:rPr>
        <w:noProof/>
      </w:rPr>
      <w:drawing>
        <wp:anchor distT="0" distB="0" distL="114300" distR="114300" simplePos="0" relativeHeight="251658240" behindDoc="0" locked="0" layoutInCell="1" allowOverlap="0" wp14:anchorId="6F10A299" wp14:editId="6C3AB101">
          <wp:simplePos x="900752" y="450376"/>
          <wp:positionH relativeFrom="page">
            <wp:align>center</wp:align>
          </wp:positionH>
          <wp:positionV relativeFrom="page">
            <wp:align>top</wp:align>
          </wp:positionV>
          <wp:extent cx="7560000" cy="816968"/>
          <wp:effectExtent l="0" t="0" r="0" b="0"/>
          <wp:wrapNone/>
          <wp:docPr id="7978824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82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BC1"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C4E5D"/>
    <w:multiLevelType w:val="multilevel"/>
    <w:tmpl w:val="D10E9CF6"/>
    <w:numStyleLink w:val="OneLevelList"/>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0FD137E"/>
    <w:multiLevelType w:val="hybridMultilevel"/>
    <w:tmpl w:val="70EA53F0"/>
    <w:lvl w:ilvl="0" w:tplc="0C09000F">
      <w:start w:val="1"/>
      <w:numFmt w:val="decimal"/>
      <w:pStyle w:val="GRRParanumbers"/>
      <w:lvlText w:val="%1."/>
      <w:lvlJc w:val="left"/>
      <w:pPr>
        <w:ind w:left="360" w:hanging="360"/>
      </w:pPr>
      <w:rPr>
        <w:rFonts w:hint="default"/>
        <w:b w:val="0"/>
        <w:bCs w:val="0"/>
        <w:color w:val="auto"/>
        <w:sz w:val="22"/>
        <w:szCs w:val="22"/>
      </w:rPr>
    </w:lvl>
    <w:lvl w:ilvl="1" w:tplc="0C09000F">
      <w:start w:val="1"/>
      <w:numFmt w:val="decimal"/>
      <w:lvlText w:val="%2."/>
      <w:lvlJc w:val="left"/>
      <w:pPr>
        <w:ind w:left="1080" w:hanging="360"/>
      </w:pPr>
    </w:lvl>
    <w:lvl w:ilvl="2" w:tplc="AB6CD126">
      <w:numFmt w:val="bullet"/>
      <w:lvlText w:val="-"/>
      <w:lvlJc w:val="left"/>
      <w:pPr>
        <w:ind w:left="1980" w:hanging="360"/>
      </w:pPr>
      <w:rPr>
        <w:rFonts w:ascii="Calibri" w:eastAsia="Times New Roman"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0" w15:restartNumberingAfterBreak="0">
    <w:nsid w:val="510D2021"/>
    <w:multiLevelType w:val="multilevel"/>
    <w:tmpl w:val="72F8140E"/>
    <w:numStyleLink w:val="OutlineList"/>
  </w:abstractNum>
  <w:abstractNum w:abstractNumId="11" w15:restartNumberingAfterBreak="0">
    <w:nsid w:val="5112792F"/>
    <w:multiLevelType w:val="hybridMultilevel"/>
    <w:tmpl w:val="0890D91A"/>
    <w:lvl w:ilvl="0" w:tplc="29A4E5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80580B"/>
    <w:multiLevelType w:val="multilevel"/>
    <w:tmpl w:val="C65E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777E5"/>
    <w:multiLevelType w:val="hybridMultilevel"/>
    <w:tmpl w:val="F46A20BC"/>
    <w:lvl w:ilvl="0" w:tplc="A7060E32">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76491892"/>
    <w:multiLevelType w:val="hybridMultilevel"/>
    <w:tmpl w:val="A0044B2A"/>
    <w:lvl w:ilvl="0" w:tplc="C798A6C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0284742">
    <w:abstractNumId w:val="5"/>
    <w:lvlOverride w:ilvl="0">
      <w:lvl w:ilvl="0">
        <w:start w:val="1"/>
        <w:numFmt w:val="decimal"/>
        <w:pStyle w:val="Bullet"/>
        <w:lvlText w:val="%1."/>
        <w:lvlJc w:val="left"/>
        <w:pPr>
          <w:ind w:left="927" w:hanging="360"/>
        </w:pPr>
      </w:lvl>
    </w:lvlOverride>
    <w:lvlOverride w:ilvl="1">
      <w:lvl w:ilvl="1">
        <w:start w:val="1"/>
        <w:numFmt w:val="lowerLetter"/>
        <w:lvlText w:val="%2."/>
        <w:lvlJc w:val="left"/>
        <w:pPr>
          <w:ind w:left="1647" w:hanging="360"/>
        </w:pPr>
      </w:lvl>
    </w:lvlOverride>
    <w:lvlOverride w:ilvl="2">
      <w:lvl w:ilvl="2">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 w16cid:durableId="863714490">
    <w:abstractNumId w:val="0"/>
  </w:num>
  <w:num w:numId="3" w16cid:durableId="881357727">
    <w:abstractNumId w:val="8"/>
  </w:num>
  <w:num w:numId="4" w16cid:durableId="1808820169">
    <w:abstractNumId w:val="1"/>
  </w:num>
  <w:num w:numId="5" w16cid:durableId="913198201">
    <w:abstractNumId w:val="2"/>
  </w:num>
  <w:num w:numId="6" w16cid:durableId="1070807618">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7" w16cid:durableId="1711345892">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3"/>
  </w:num>
  <w:num w:numId="9" w16cid:durableId="1757553467">
    <w:abstractNumId w:val="4"/>
  </w:num>
  <w:num w:numId="10" w16cid:durableId="1944991471">
    <w:abstractNumId w:val="7"/>
  </w:num>
  <w:num w:numId="11" w16cid:durableId="367413911">
    <w:abstractNumId w:val="9"/>
  </w:num>
  <w:num w:numId="12" w16cid:durableId="546528509">
    <w:abstractNumId w:val="6"/>
  </w:num>
  <w:num w:numId="13" w16cid:durableId="743187736">
    <w:abstractNumId w:val="12"/>
  </w:num>
  <w:num w:numId="14" w16cid:durableId="2104102234">
    <w:abstractNumId w:val="5"/>
  </w:num>
  <w:num w:numId="15" w16cid:durableId="379208838">
    <w:abstractNumId w:val="5"/>
  </w:num>
  <w:num w:numId="16" w16cid:durableId="1735204037">
    <w:abstractNumId w:val="5"/>
  </w:num>
  <w:num w:numId="17" w16cid:durableId="1943415329">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18" w16cid:durableId="1824618714">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19" w16cid:durableId="1570964900">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0" w16cid:durableId="1330712130">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1" w16cid:durableId="676661144">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2" w16cid:durableId="3630935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7246907">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4" w16cid:durableId="675957725">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5" w16cid:durableId="624578438">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26" w16cid:durableId="956765088">
    <w:abstractNumId w:val="0"/>
  </w:num>
  <w:num w:numId="27" w16cid:durableId="2059821835">
    <w:abstractNumId w:val="0"/>
  </w:num>
  <w:num w:numId="28" w16cid:durableId="1136490313">
    <w:abstractNumId w:val="0"/>
  </w:num>
  <w:num w:numId="29" w16cid:durableId="778985793">
    <w:abstractNumId w:val="0"/>
  </w:num>
  <w:num w:numId="30" w16cid:durableId="1628388187">
    <w:abstractNumId w:val="0"/>
  </w:num>
  <w:num w:numId="31" w16cid:durableId="1470854844">
    <w:abstractNumId w:val="0"/>
  </w:num>
  <w:num w:numId="32" w16cid:durableId="146363450">
    <w:abstractNumId w:val="0"/>
  </w:num>
  <w:num w:numId="33" w16cid:durableId="1357927133">
    <w:abstractNumId w:val="0"/>
  </w:num>
  <w:num w:numId="34" w16cid:durableId="507598751">
    <w:abstractNumId w:val="0"/>
  </w:num>
  <w:num w:numId="35" w16cid:durableId="2105303793">
    <w:abstractNumId w:val="0"/>
  </w:num>
  <w:num w:numId="36" w16cid:durableId="731585594">
    <w:abstractNumId w:val="0"/>
  </w:num>
  <w:num w:numId="37" w16cid:durableId="1060059258">
    <w:abstractNumId w:val="0"/>
  </w:num>
  <w:num w:numId="38" w16cid:durableId="438139790">
    <w:abstractNumId w:val="0"/>
  </w:num>
  <w:num w:numId="39" w16cid:durableId="670839899">
    <w:abstractNumId w:val="0"/>
  </w:num>
  <w:num w:numId="40" w16cid:durableId="1004359403">
    <w:abstractNumId w:val="0"/>
  </w:num>
  <w:num w:numId="41" w16cid:durableId="327441973">
    <w:abstractNumId w:val="10"/>
  </w:num>
  <w:num w:numId="42" w16cid:durableId="250117790">
    <w:abstractNumId w:val="5"/>
  </w:num>
  <w:num w:numId="43" w16cid:durableId="1314724523">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44" w16cid:durableId="181748041">
    <w:abstractNumId w:val="5"/>
  </w:num>
  <w:num w:numId="45" w16cid:durableId="1821190785">
    <w:abstractNumId w:val="5"/>
  </w:num>
  <w:num w:numId="46" w16cid:durableId="225066615">
    <w:abstractNumId w:val="5"/>
  </w:num>
  <w:num w:numId="47" w16cid:durableId="464932610">
    <w:abstractNumId w:val="5"/>
  </w:num>
  <w:num w:numId="48" w16cid:durableId="1207402345">
    <w:abstractNumId w:val="5"/>
  </w:num>
  <w:num w:numId="49" w16cid:durableId="2143846339">
    <w:abstractNumId w:val="5"/>
  </w:num>
  <w:num w:numId="50" w16cid:durableId="366418068">
    <w:abstractNumId w:val="5"/>
  </w:num>
  <w:num w:numId="51" w16cid:durableId="60100553">
    <w:abstractNumId w:val="0"/>
  </w:num>
  <w:num w:numId="52" w16cid:durableId="935094661">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53" w16cid:durableId="582374027">
    <w:abstractNumId w:val="14"/>
  </w:num>
  <w:num w:numId="54" w16cid:durableId="550727802">
    <w:abstractNumId w:val="13"/>
  </w:num>
  <w:num w:numId="55" w16cid:durableId="1350644027">
    <w:abstractNumId w:val="0"/>
  </w:num>
  <w:num w:numId="56" w16cid:durableId="2084376667">
    <w:abstractNumId w:val="11"/>
  </w:num>
  <w:num w:numId="57" w16cid:durableId="1663267384">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58" w16cid:durableId="1211571395">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59" w16cid:durableId="231933539">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60" w16cid:durableId="166868657">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61" w16cid:durableId="2045398502">
    <w:abstractNumId w:val="5"/>
  </w:num>
  <w:num w:numId="62" w16cid:durableId="179317186">
    <w:abstractNumId w:val="5"/>
  </w:num>
  <w:num w:numId="63" w16cid:durableId="1503087100">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64" w16cid:durableId="2016571521">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 w:numId="65" w16cid:durableId="634138824">
    <w:abstractNumId w:val="5"/>
  </w:num>
  <w:num w:numId="66" w16cid:durableId="1749420548">
    <w:abstractNumId w:val="0"/>
  </w:num>
  <w:num w:numId="67" w16cid:durableId="1317998904">
    <w:abstractNumId w:val="0"/>
  </w:num>
  <w:num w:numId="68" w16cid:durableId="780688795">
    <w:abstractNumId w:val="0"/>
  </w:num>
  <w:num w:numId="69" w16cid:durableId="563562842">
    <w:abstractNumId w:val="0"/>
  </w:num>
  <w:num w:numId="70" w16cid:durableId="205148676">
    <w:abstractNumId w:val="5"/>
  </w:num>
  <w:num w:numId="71" w16cid:durableId="1351100053">
    <w:abstractNumId w:val="10"/>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auto"/>
          <w:sz w:val="22"/>
          <w:szCs w:val="22"/>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3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8A"/>
    <w:rsid w:val="00000350"/>
    <w:rsid w:val="000005DA"/>
    <w:rsid w:val="00000615"/>
    <w:rsid w:val="000006AD"/>
    <w:rsid w:val="000006B5"/>
    <w:rsid w:val="00000778"/>
    <w:rsid w:val="0000082C"/>
    <w:rsid w:val="00000B32"/>
    <w:rsid w:val="000013AF"/>
    <w:rsid w:val="00001435"/>
    <w:rsid w:val="00001528"/>
    <w:rsid w:val="0000164F"/>
    <w:rsid w:val="00001BAB"/>
    <w:rsid w:val="00001CBE"/>
    <w:rsid w:val="00002316"/>
    <w:rsid w:val="00002874"/>
    <w:rsid w:val="00002BBE"/>
    <w:rsid w:val="00002FF0"/>
    <w:rsid w:val="000031B0"/>
    <w:rsid w:val="0000339E"/>
    <w:rsid w:val="00003B21"/>
    <w:rsid w:val="00003D06"/>
    <w:rsid w:val="00003DBC"/>
    <w:rsid w:val="00003DEE"/>
    <w:rsid w:val="00004036"/>
    <w:rsid w:val="000046CA"/>
    <w:rsid w:val="00004BB2"/>
    <w:rsid w:val="00004E45"/>
    <w:rsid w:val="000055F5"/>
    <w:rsid w:val="000059AE"/>
    <w:rsid w:val="00005A2B"/>
    <w:rsid w:val="00005A4B"/>
    <w:rsid w:val="00005AD4"/>
    <w:rsid w:val="00005ADD"/>
    <w:rsid w:val="00005D5B"/>
    <w:rsid w:val="00005DC8"/>
    <w:rsid w:val="0000649A"/>
    <w:rsid w:val="00006650"/>
    <w:rsid w:val="000069C6"/>
    <w:rsid w:val="00006AFA"/>
    <w:rsid w:val="00007057"/>
    <w:rsid w:val="000072B2"/>
    <w:rsid w:val="000078D1"/>
    <w:rsid w:val="000079C7"/>
    <w:rsid w:val="00007CAC"/>
    <w:rsid w:val="0001090F"/>
    <w:rsid w:val="00011033"/>
    <w:rsid w:val="00011206"/>
    <w:rsid w:val="00011320"/>
    <w:rsid w:val="00011531"/>
    <w:rsid w:val="00011725"/>
    <w:rsid w:val="00011B44"/>
    <w:rsid w:val="00011B9C"/>
    <w:rsid w:val="00011BF5"/>
    <w:rsid w:val="00011C9E"/>
    <w:rsid w:val="00011F6B"/>
    <w:rsid w:val="0001261C"/>
    <w:rsid w:val="00012BED"/>
    <w:rsid w:val="00012C62"/>
    <w:rsid w:val="00012C68"/>
    <w:rsid w:val="00012C9B"/>
    <w:rsid w:val="00012ED2"/>
    <w:rsid w:val="000135E6"/>
    <w:rsid w:val="00013841"/>
    <w:rsid w:val="0001385C"/>
    <w:rsid w:val="0001396A"/>
    <w:rsid w:val="0001396B"/>
    <w:rsid w:val="00013DCD"/>
    <w:rsid w:val="000140CA"/>
    <w:rsid w:val="00014150"/>
    <w:rsid w:val="000144BC"/>
    <w:rsid w:val="00014750"/>
    <w:rsid w:val="000149F7"/>
    <w:rsid w:val="00014C2F"/>
    <w:rsid w:val="000150CD"/>
    <w:rsid w:val="000151AF"/>
    <w:rsid w:val="000151EB"/>
    <w:rsid w:val="000153C0"/>
    <w:rsid w:val="000154C1"/>
    <w:rsid w:val="000154DC"/>
    <w:rsid w:val="0001578D"/>
    <w:rsid w:val="000157F2"/>
    <w:rsid w:val="000159A1"/>
    <w:rsid w:val="00015A8C"/>
    <w:rsid w:val="00015D14"/>
    <w:rsid w:val="00015FB6"/>
    <w:rsid w:val="000166A6"/>
    <w:rsid w:val="0001682C"/>
    <w:rsid w:val="00016ADC"/>
    <w:rsid w:val="00016B18"/>
    <w:rsid w:val="00016E00"/>
    <w:rsid w:val="000171EB"/>
    <w:rsid w:val="00017295"/>
    <w:rsid w:val="00017539"/>
    <w:rsid w:val="00017B5B"/>
    <w:rsid w:val="00017B6B"/>
    <w:rsid w:val="000200B0"/>
    <w:rsid w:val="0002016E"/>
    <w:rsid w:val="000202C4"/>
    <w:rsid w:val="00020316"/>
    <w:rsid w:val="000204CD"/>
    <w:rsid w:val="00020B41"/>
    <w:rsid w:val="00021313"/>
    <w:rsid w:val="00021765"/>
    <w:rsid w:val="00021953"/>
    <w:rsid w:val="000220CE"/>
    <w:rsid w:val="0002224D"/>
    <w:rsid w:val="000222E3"/>
    <w:rsid w:val="000223BE"/>
    <w:rsid w:val="0002258B"/>
    <w:rsid w:val="000228C4"/>
    <w:rsid w:val="000229F3"/>
    <w:rsid w:val="00022A61"/>
    <w:rsid w:val="000237FA"/>
    <w:rsid w:val="00023957"/>
    <w:rsid w:val="00023AA5"/>
    <w:rsid w:val="00023C56"/>
    <w:rsid w:val="0002421B"/>
    <w:rsid w:val="00024440"/>
    <w:rsid w:val="0002447D"/>
    <w:rsid w:val="00024899"/>
    <w:rsid w:val="00024ACE"/>
    <w:rsid w:val="0002521F"/>
    <w:rsid w:val="0002544D"/>
    <w:rsid w:val="00025495"/>
    <w:rsid w:val="00025762"/>
    <w:rsid w:val="00025787"/>
    <w:rsid w:val="00025986"/>
    <w:rsid w:val="00025E6D"/>
    <w:rsid w:val="00025E97"/>
    <w:rsid w:val="00025FBF"/>
    <w:rsid w:val="000261DF"/>
    <w:rsid w:val="000262DB"/>
    <w:rsid w:val="000263D4"/>
    <w:rsid w:val="0002647E"/>
    <w:rsid w:val="000264AF"/>
    <w:rsid w:val="00026A3E"/>
    <w:rsid w:val="00026E4A"/>
    <w:rsid w:val="00026EE4"/>
    <w:rsid w:val="00027074"/>
    <w:rsid w:val="0002745B"/>
    <w:rsid w:val="0002758C"/>
    <w:rsid w:val="00027699"/>
    <w:rsid w:val="0002773C"/>
    <w:rsid w:val="0002775B"/>
    <w:rsid w:val="0002780E"/>
    <w:rsid w:val="00027F16"/>
    <w:rsid w:val="000303FC"/>
    <w:rsid w:val="000307D0"/>
    <w:rsid w:val="00030CE6"/>
    <w:rsid w:val="00030D22"/>
    <w:rsid w:val="00030D73"/>
    <w:rsid w:val="00031282"/>
    <w:rsid w:val="000316F9"/>
    <w:rsid w:val="0003178A"/>
    <w:rsid w:val="00031991"/>
    <w:rsid w:val="00031BC5"/>
    <w:rsid w:val="00032087"/>
    <w:rsid w:val="00032212"/>
    <w:rsid w:val="0003248D"/>
    <w:rsid w:val="00032687"/>
    <w:rsid w:val="00032F9E"/>
    <w:rsid w:val="000334F8"/>
    <w:rsid w:val="00033990"/>
    <w:rsid w:val="00033CB3"/>
    <w:rsid w:val="0003442F"/>
    <w:rsid w:val="000344B6"/>
    <w:rsid w:val="000344EE"/>
    <w:rsid w:val="0003462C"/>
    <w:rsid w:val="00034A72"/>
    <w:rsid w:val="00034C76"/>
    <w:rsid w:val="00035061"/>
    <w:rsid w:val="00035228"/>
    <w:rsid w:val="0003557F"/>
    <w:rsid w:val="00035F64"/>
    <w:rsid w:val="00036ECD"/>
    <w:rsid w:val="000373D6"/>
    <w:rsid w:val="000375A4"/>
    <w:rsid w:val="000376CC"/>
    <w:rsid w:val="000400CF"/>
    <w:rsid w:val="0004014B"/>
    <w:rsid w:val="0004024D"/>
    <w:rsid w:val="00040947"/>
    <w:rsid w:val="00040984"/>
    <w:rsid w:val="00040B5C"/>
    <w:rsid w:val="0004136F"/>
    <w:rsid w:val="000414A2"/>
    <w:rsid w:val="0004154E"/>
    <w:rsid w:val="00041588"/>
    <w:rsid w:val="00041C86"/>
    <w:rsid w:val="00041DA0"/>
    <w:rsid w:val="0004252E"/>
    <w:rsid w:val="00042537"/>
    <w:rsid w:val="0004274D"/>
    <w:rsid w:val="00042CE9"/>
    <w:rsid w:val="000431EC"/>
    <w:rsid w:val="0004333B"/>
    <w:rsid w:val="00043348"/>
    <w:rsid w:val="000434DA"/>
    <w:rsid w:val="000435D1"/>
    <w:rsid w:val="00043812"/>
    <w:rsid w:val="000439BD"/>
    <w:rsid w:val="00043A04"/>
    <w:rsid w:val="00043CC1"/>
    <w:rsid w:val="000443DB"/>
    <w:rsid w:val="000444B1"/>
    <w:rsid w:val="00044638"/>
    <w:rsid w:val="0004483F"/>
    <w:rsid w:val="00044BA4"/>
    <w:rsid w:val="00044CFD"/>
    <w:rsid w:val="00044D71"/>
    <w:rsid w:val="00044F30"/>
    <w:rsid w:val="00045304"/>
    <w:rsid w:val="00045370"/>
    <w:rsid w:val="00045380"/>
    <w:rsid w:val="00045484"/>
    <w:rsid w:val="0004566A"/>
    <w:rsid w:val="00045806"/>
    <w:rsid w:val="00045FE6"/>
    <w:rsid w:val="00046007"/>
    <w:rsid w:val="00046391"/>
    <w:rsid w:val="000465C8"/>
    <w:rsid w:val="000468F6"/>
    <w:rsid w:val="00046931"/>
    <w:rsid w:val="0004696A"/>
    <w:rsid w:val="00046B6F"/>
    <w:rsid w:val="00046D50"/>
    <w:rsid w:val="00046E13"/>
    <w:rsid w:val="00046F42"/>
    <w:rsid w:val="00047024"/>
    <w:rsid w:val="0004711F"/>
    <w:rsid w:val="000478AE"/>
    <w:rsid w:val="00047B9F"/>
    <w:rsid w:val="00047BC8"/>
    <w:rsid w:val="00047EBC"/>
    <w:rsid w:val="00050404"/>
    <w:rsid w:val="00050B17"/>
    <w:rsid w:val="00050C17"/>
    <w:rsid w:val="00050C20"/>
    <w:rsid w:val="00050E93"/>
    <w:rsid w:val="000511CC"/>
    <w:rsid w:val="000511EF"/>
    <w:rsid w:val="00051243"/>
    <w:rsid w:val="0005138B"/>
    <w:rsid w:val="00051B8A"/>
    <w:rsid w:val="000522B7"/>
    <w:rsid w:val="000523EB"/>
    <w:rsid w:val="00052B05"/>
    <w:rsid w:val="00052FBE"/>
    <w:rsid w:val="0005311E"/>
    <w:rsid w:val="00053329"/>
    <w:rsid w:val="000535B4"/>
    <w:rsid w:val="00053632"/>
    <w:rsid w:val="000545F0"/>
    <w:rsid w:val="00054D2F"/>
    <w:rsid w:val="00054EE3"/>
    <w:rsid w:val="00055015"/>
    <w:rsid w:val="000551A1"/>
    <w:rsid w:val="000554A7"/>
    <w:rsid w:val="000557FC"/>
    <w:rsid w:val="00055834"/>
    <w:rsid w:val="0005587D"/>
    <w:rsid w:val="000558A5"/>
    <w:rsid w:val="000558C2"/>
    <w:rsid w:val="0005599D"/>
    <w:rsid w:val="00055A53"/>
    <w:rsid w:val="00055A96"/>
    <w:rsid w:val="00055F5F"/>
    <w:rsid w:val="0005617A"/>
    <w:rsid w:val="000562A3"/>
    <w:rsid w:val="00056689"/>
    <w:rsid w:val="0005675C"/>
    <w:rsid w:val="00056880"/>
    <w:rsid w:val="000569F9"/>
    <w:rsid w:val="00056AD7"/>
    <w:rsid w:val="00056DB5"/>
    <w:rsid w:val="000578C5"/>
    <w:rsid w:val="00057FED"/>
    <w:rsid w:val="00060077"/>
    <w:rsid w:val="00060108"/>
    <w:rsid w:val="000603F3"/>
    <w:rsid w:val="0006078E"/>
    <w:rsid w:val="00060985"/>
    <w:rsid w:val="000609C4"/>
    <w:rsid w:val="00060CDF"/>
    <w:rsid w:val="00060E07"/>
    <w:rsid w:val="0006100A"/>
    <w:rsid w:val="0006114D"/>
    <w:rsid w:val="000612E6"/>
    <w:rsid w:val="00061B9A"/>
    <w:rsid w:val="00062268"/>
    <w:rsid w:val="000623E2"/>
    <w:rsid w:val="00062554"/>
    <w:rsid w:val="000627C6"/>
    <w:rsid w:val="000629BE"/>
    <w:rsid w:val="00062C6B"/>
    <w:rsid w:val="00062F93"/>
    <w:rsid w:val="00063079"/>
    <w:rsid w:val="00063639"/>
    <w:rsid w:val="00063887"/>
    <w:rsid w:val="00063C97"/>
    <w:rsid w:val="00063FDB"/>
    <w:rsid w:val="0006422F"/>
    <w:rsid w:val="000643F3"/>
    <w:rsid w:val="000644D5"/>
    <w:rsid w:val="000647D7"/>
    <w:rsid w:val="00064EE1"/>
    <w:rsid w:val="00064F57"/>
    <w:rsid w:val="00065347"/>
    <w:rsid w:val="00065507"/>
    <w:rsid w:val="00065541"/>
    <w:rsid w:val="000656F9"/>
    <w:rsid w:val="00066181"/>
    <w:rsid w:val="000662B0"/>
    <w:rsid w:val="0006646D"/>
    <w:rsid w:val="000668BD"/>
    <w:rsid w:val="00066A2B"/>
    <w:rsid w:val="00066BD2"/>
    <w:rsid w:val="00066D3A"/>
    <w:rsid w:val="00066E1C"/>
    <w:rsid w:val="0006735F"/>
    <w:rsid w:val="000675D1"/>
    <w:rsid w:val="00067C4A"/>
    <w:rsid w:val="00067FB3"/>
    <w:rsid w:val="00070051"/>
    <w:rsid w:val="0007014B"/>
    <w:rsid w:val="00070399"/>
    <w:rsid w:val="00070BEA"/>
    <w:rsid w:val="00070C3C"/>
    <w:rsid w:val="00070EEA"/>
    <w:rsid w:val="00070F22"/>
    <w:rsid w:val="00071C79"/>
    <w:rsid w:val="00071E85"/>
    <w:rsid w:val="00072187"/>
    <w:rsid w:val="0007234E"/>
    <w:rsid w:val="000724A6"/>
    <w:rsid w:val="00072730"/>
    <w:rsid w:val="0007341C"/>
    <w:rsid w:val="00073521"/>
    <w:rsid w:val="000738DA"/>
    <w:rsid w:val="00074085"/>
    <w:rsid w:val="000741C4"/>
    <w:rsid w:val="00074378"/>
    <w:rsid w:val="000744D6"/>
    <w:rsid w:val="00074540"/>
    <w:rsid w:val="000746BB"/>
    <w:rsid w:val="000756F4"/>
    <w:rsid w:val="000759E0"/>
    <w:rsid w:val="00075D22"/>
    <w:rsid w:val="00076040"/>
    <w:rsid w:val="0007608B"/>
    <w:rsid w:val="000763B0"/>
    <w:rsid w:val="00076493"/>
    <w:rsid w:val="0007670D"/>
    <w:rsid w:val="0007695B"/>
    <w:rsid w:val="00076ACA"/>
    <w:rsid w:val="00076D2D"/>
    <w:rsid w:val="00076FDD"/>
    <w:rsid w:val="00077479"/>
    <w:rsid w:val="000775DE"/>
    <w:rsid w:val="00077C2D"/>
    <w:rsid w:val="00077CA6"/>
    <w:rsid w:val="00077F2D"/>
    <w:rsid w:val="0008051B"/>
    <w:rsid w:val="0008061F"/>
    <w:rsid w:val="00080890"/>
    <w:rsid w:val="0008125A"/>
    <w:rsid w:val="000812CB"/>
    <w:rsid w:val="00081879"/>
    <w:rsid w:val="00081A2A"/>
    <w:rsid w:val="00081FCE"/>
    <w:rsid w:val="000822A1"/>
    <w:rsid w:val="000827EE"/>
    <w:rsid w:val="000829FA"/>
    <w:rsid w:val="000837DD"/>
    <w:rsid w:val="000837F9"/>
    <w:rsid w:val="00084235"/>
    <w:rsid w:val="000844CF"/>
    <w:rsid w:val="00084C20"/>
    <w:rsid w:val="00084D89"/>
    <w:rsid w:val="00085093"/>
    <w:rsid w:val="00085259"/>
    <w:rsid w:val="0008548D"/>
    <w:rsid w:val="000854DB"/>
    <w:rsid w:val="00085710"/>
    <w:rsid w:val="000859D3"/>
    <w:rsid w:val="00085C67"/>
    <w:rsid w:val="000860DF"/>
    <w:rsid w:val="00086169"/>
    <w:rsid w:val="0008653C"/>
    <w:rsid w:val="000865CF"/>
    <w:rsid w:val="0008662D"/>
    <w:rsid w:val="0008675D"/>
    <w:rsid w:val="00086825"/>
    <w:rsid w:val="00086827"/>
    <w:rsid w:val="00086B3A"/>
    <w:rsid w:val="00087025"/>
    <w:rsid w:val="00087054"/>
    <w:rsid w:val="000872A9"/>
    <w:rsid w:val="000873F4"/>
    <w:rsid w:val="00087520"/>
    <w:rsid w:val="00087AD5"/>
    <w:rsid w:val="00087F8F"/>
    <w:rsid w:val="00087FAF"/>
    <w:rsid w:val="000900B7"/>
    <w:rsid w:val="000901F6"/>
    <w:rsid w:val="00090247"/>
    <w:rsid w:val="00090455"/>
    <w:rsid w:val="00090B9A"/>
    <w:rsid w:val="0009113D"/>
    <w:rsid w:val="000911A7"/>
    <w:rsid w:val="000913DF"/>
    <w:rsid w:val="00091456"/>
    <w:rsid w:val="00091698"/>
    <w:rsid w:val="00091D89"/>
    <w:rsid w:val="00091EB8"/>
    <w:rsid w:val="00092315"/>
    <w:rsid w:val="00092845"/>
    <w:rsid w:val="0009284B"/>
    <w:rsid w:val="00092F99"/>
    <w:rsid w:val="0009335D"/>
    <w:rsid w:val="0009343E"/>
    <w:rsid w:val="000936B5"/>
    <w:rsid w:val="0009372B"/>
    <w:rsid w:val="00093D01"/>
    <w:rsid w:val="0009438E"/>
    <w:rsid w:val="0009451E"/>
    <w:rsid w:val="000949B6"/>
    <w:rsid w:val="00094F98"/>
    <w:rsid w:val="00095055"/>
    <w:rsid w:val="0009546C"/>
    <w:rsid w:val="000954FE"/>
    <w:rsid w:val="00095593"/>
    <w:rsid w:val="00095BB2"/>
    <w:rsid w:val="00095E9C"/>
    <w:rsid w:val="0009675F"/>
    <w:rsid w:val="00096A59"/>
    <w:rsid w:val="00096AF7"/>
    <w:rsid w:val="00096D5E"/>
    <w:rsid w:val="00096DA5"/>
    <w:rsid w:val="00096EF4"/>
    <w:rsid w:val="0009746E"/>
    <w:rsid w:val="00097637"/>
    <w:rsid w:val="00097686"/>
    <w:rsid w:val="000978E7"/>
    <w:rsid w:val="00097CB9"/>
    <w:rsid w:val="00097E8A"/>
    <w:rsid w:val="000A003E"/>
    <w:rsid w:val="000A02DC"/>
    <w:rsid w:val="000A0B55"/>
    <w:rsid w:val="000A0B84"/>
    <w:rsid w:val="000A122D"/>
    <w:rsid w:val="000A17D7"/>
    <w:rsid w:val="000A1ADF"/>
    <w:rsid w:val="000A1FB4"/>
    <w:rsid w:val="000A224A"/>
    <w:rsid w:val="000A25C0"/>
    <w:rsid w:val="000A28E3"/>
    <w:rsid w:val="000A2B20"/>
    <w:rsid w:val="000A2D98"/>
    <w:rsid w:val="000A2F70"/>
    <w:rsid w:val="000A2FA4"/>
    <w:rsid w:val="000A3F7A"/>
    <w:rsid w:val="000A4174"/>
    <w:rsid w:val="000A4289"/>
    <w:rsid w:val="000A42D7"/>
    <w:rsid w:val="000A449A"/>
    <w:rsid w:val="000A4B6D"/>
    <w:rsid w:val="000A4DFF"/>
    <w:rsid w:val="000A53B4"/>
    <w:rsid w:val="000A550A"/>
    <w:rsid w:val="000A55EF"/>
    <w:rsid w:val="000A5714"/>
    <w:rsid w:val="000A5AF5"/>
    <w:rsid w:val="000A5C12"/>
    <w:rsid w:val="000A60C6"/>
    <w:rsid w:val="000A6243"/>
    <w:rsid w:val="000A62C9"/>
    <w:rsid w:val="000A6405"/>
    <w:rsid w:val="000A7605"/>
    <w:rsid w:val="000A77C2"/>
    <w:rsid w:val="000A7D90"/>
    <w:rsid w:val="000B0656"/>
    <w:rsid w:val="000B0762"/>
    <w:rsid w:val="000B0837"/>
    <w:rsid w:val="000B0F13"/>
    <w:rsid w:val="000B1665"/>
    <w:rsid w:val="000B1752"/>
    <w:rsid w:val="000B1AC9"/>
    <w:rsid w:val="000B2093"/>
    <w:rsid w:val="000B226F"/>
    <w:rsid w:val="000B22E8"/>
    <w:rsid w:val="000B2726"/>
    <w:rsid w:val="000B2EFB"/>
    <w:rsid w:val="000B369A"/>
    <w:rsid w:val="000B378C"/>
    <w:rsid w:val="000B37CD"/>
    <w:rsid w:val="000B38E9"/>
    <w:rsid w:val="000B40D6"/>
    <w:rsid w:val="000B413D"/>
    <w:rsid w:val="000B415E"/>
    <w:rsid w:val="000B41C7"/>
    <w:rsid w:val="000B41FE"/>
    <w:rsid w:val="000B43C4"/>
    <w:rsid w:val="000B442D"/>
    <w:rsid w:val="000B44B0"/>
    <w:rsid w:val="000B4C42"/>
    <w:rsid w:val="000B5024"/>
    <w:rsid w:val="000B5402"/>
    <w:rsid w:val="000B5CA6"/>
    <w:rsid w:val="000B5DE5"/>
    <w:rsid w:val="000B6444"/>
    <w:rsid w:val="000B64C0"/>
    <w:rsid w:val="000B65D8"/>
    <w:rsid w:val="000B6742"/>
    <w:rsid w:val="000B678F"/>
    <w:rsid w:val="000B67A3"/>
    <w:rsid w:val="000B68C4"/>
    <w:rsid w:val="000B6B74"/>
    <w:rsid w:val="000B75DD"/>
    <w:rsid w:val="000B7BE3"/>
    <w:rsid w:val="000C02A5"/>
    <w:rsid w:val="000C0F58"/>
    <w:rsid w:val="000C1309"/>
    <w:rsid w:val="000C15A2"/>
    <w:rsid w:val="000C15E7"/>
    <w:rsid w:val="000C1BDD"/>
    <w:rsid w:val="000C2B75"/>
    <w:rsid w:val="000C2C73"/>
    <w:rsid w:val="000C334F"/>
    <w:rsid w:val="000C363A"/>
    <w:rsid w:val="000C3926"/>
    <w:rsid w:val="000C3928"/>
    <w:rsid w:val="000C3B6F"/>
    <w:rsid w:val="000C3E6E"/>
    <w:rsid w:val="000C3F80"/>
    <w:rsid w:val="000C4A72"/>
    <w:rsid w:val="000C514C"/>
    <w:rsid w:val="000C5575"/>
    <w:rsid w:val="000C55E2"/>
    <w:rsid w:val="000C571D"/>
    <w:rsid w:val="000C5D24"/>
    <w:rsid w:val="000C5F40"/>
    <w:rsid w:val="000C60DB"/>
    <w:rsid w:val="000C6854"/>
    <w:rsid w:val="000C7049"/>
    <w:rsid w:val="000C705D"/>
    <w:rsid w:val="000C723F"/>
    <w:rsid w:val="000C75A1"/>
    <w:rsid w:val="000C7668"/>
    <w:rsid w:val="000C7831"/>
    <w:rsid w:val="000C78DF"/>
    <w:rsid w:val="000C7E6C"/>
    <w:rsid w:val="000C7EFE"/>
    <w:rsid w:val="000D0254"/>
    <w:rsid w:val="000D02FE"/>
    <w:rsid w:val="000D04CE"/>
    <w:rsid w:val="000D05F2"/>
    <w:rsid w:val="000D09F2"/>
    <w:rsid w:val="000D0A6E"/>
    <w:rsid w:val="000D0AA3"/>
    <w:rsid w:val="000D0BEB"/>
    <w:rsid w:val="000D136F"/>
    <w:rsid w:val="000D1BC1"/>
    <w:rsid w:val="000D1D81"/>
    <w:rsid w:val="000D2489"/>
    <w:rsid w:val="000D2502"/>
    <w:rsid w:val="000D2D90"/>
    <w:rsid w:val="000D2E6A"/>
    <w:rsid w:val="000D2FD7"/>
    <w:rsid w:val="000D365F"/>
    <w:rsid w:val="000D3B56"/>
    <w:rsid w:val="000D3B70"/>
    <w:rsid w:val="000D3F5C"/>
    <w:rsid w:val="000D42D9"/>
    <w:rsid w:val="000D44DB"/>
    <w:rsid w:val="000D452D"/>
    <w:rsid w:val="000D483B"/>
    <w:rsid w:val="000D4A97"/>
    <w:rsid w:val="000D4E79"/>
    <w:rsid w:val="000D5493"/>
    <w:rsid w:val="000D5634"/>
    <w:rsid w:val="000D5CDD"/>
    <w:rsid w:val="000D5ECC"/>
    <w:rsid w:val="000D65AB"/>
    <w:rsid w:val="000D676F"/>
    <w:rsid w:val="000D6B86"/>
    <w:rsid w:val="000D6DDB"/>
    <w:rsid w:val="000D737F"/>
    <w:rsid w:val="000D786F"/>
    <w:rsid w:val="000D7ACB"/>
    <w:rsid w:val="000E0490"/>
    <w:rsid w:val="000E0593"/>
    <w:rsid w:val="000E06A2"/>
    <w:rsid w:val="000E06A9"/>
    <w:rsid w:val="000E073B"/>
    <w:rsid w:val="000E0817"/>
    <w:rsid w:val="000E0822"/>
    <w:rsid w:val="000E0B41"/>
    <w:rsid w:val="000E0B74"/>
    <w:rsid w:val="000E143E"/>
    <w:rsid w:val="000E16B9"/>
    <w:rsid w:val="000E1854"/>
    <w:rsid w:val="000E19F7"/>
    <w:rsid w:val="000E22CB"/>
    <w:rsid w:val="000E25D3"/>
    <w:rsid w:val="000E308F"/>
    <w:rsid w:val="000E3129"/>
    <w:rsid w:val="000E3331"/>
    <w:rsid w:val="000E35CB"/>
    <w:rsid w:val="000E3878"/>
    <w:rsid w:val="000E38C9"/>
    <w:rsid w:val="000E3931"/>
    <w:rsid w:val="000E416D"/>
    <w:rsid w:val="000E41C2"/>
    <w:rsid w:val="000E48FE"/>
    <w:rsid w:val="000E4912"/>
    <w:rsid w:val="000E4DE7"/>
    <w:rsid w:val="000E4E8E"/>
    <w:rsid w:val="000E4EC0"/>
    <w:rsid w:val="000E5061"/>
    <w:rsid w:val="000E5426"/>
    <w:rsid w:val="000E587B"/>
    <w:rsid w:val="000E5D5D"/>
    <w:rsid w:val="000E5EE9"/>
    <w:rsid w:val="000E5F9A"/>
    <w:rsid w:val="000E64E1"/>
    <w:rsid w:val="000E6DE1"/>
    <w:rsid w:val="000E75BC"/>
    <w:rsid w:val="000E7600"/>
    <w:rsid w:val="000E7901"/>
    <w:rsid w:val="000E7995"/>
    <w:rsid w:val="000E7A94"/>
    <w:rsid w:val="000E7DC6"/>
    <w:rsid w:val="000E7DDD"/>
    <w:rsid w:val="000F0072"/>
    <w:rsid w:val="000F040C"/>
    <w:rsid w:val="000F06E5"/>
    <w:rsid w:val="000F079C"/>
    <w:rsid w:val="000F0804"/>
    <w:rsid w:val="000F0A48"/>
    <w:rsid w:val="000F0C08"/>
    <w:rsid w:val="000F0DC6"/>
    <w:rsid w:val="000F1412"/>
    <w:rsid w:val="000F156C"/>
    <w:rsid w:val="000F1654"/>
    <w:rsid w:val="000F1655"/>
    <w:rsid w:val="000F1690"/>
    <w:rsid w:val="000F176C"/>
    <w:rsid w:val="000F17FA"/>
    <w:rsid w:val="000F18D2"/>
    <w:rsid w:val="000F18FA"/>
    <w:rsid w:val="000F1CEB"/>
    <w:rsid w:val="000F1E87"/>
    <w:rsid w:val="000F2011"/>
    <w:rsid w:val="000F2A07"/>
    <w:rsid w:val="000F2A7B"/>
    <w:rsid w:val="000F2BE1"/>
    <w:rsid w:val="000F31D0"/>
    <w:rsid w:val="000F3491"/>
    <w:rsid w:val="000F359F"/>
    <w:rsid w:val="000F3BD4"/>
    <w:rsid w:val="000F3CD7"/>
    <w:rsid w:val="000F40F0"/>
    <w:rsid w:val="000F4665"/>
    <w:rsid w:val="000F4886"/>
    <w:rsid w:val="000F496D"/>
    <w:rsid w:val="000F49C0"/>
    <w:rsid w:val="000F4B7C"/>
    <w:rsid w:val="000F4D4B"/>
    <w:rsid w:val="000F4ED1"/>
    <w:rsid w:val="000F5409"/>
    <w:rsid w:val="000F5816"/>
    <w:rsid w:val="000F5A14"/>
    <w:rsid w:val="000F5F11"/>
    <w:rsid w:val="000F5F5A"/>
    <w:rsid w:val="000F623C"/>
    <w:rsid w:val="000F62F8"/>
    <w:rsid w:val="000F6371"/>
    <w:rsid w:val="000F64AC"/>
    <w:rsid w:val="000F6996"/>
    <w:rsid w:val="000F7217"/>
    <w:rsid w:val="000F7446"/>
    <w:rsid w:val="000F7864"/>
    <w:rsid w:val="000F7A70"/>
    <w:rsid w:val="000F7C15"/>
    <w:rsid w:val="000F7F84"/>
    <w:rsid w:val="0010047C"/>
    <w:rsid w:val="001008A7"/>
    <w:rsid w:val="001015B8"/>
    <w:rsid w:val="001016DF"/>
    <w:rsid w:val="0010197B"/>
    <w:rsid w:val="00101D38"/>
    <w:rsid w:val="00101D86"/>
    <w:rsid w:val="00101FBE"/>
    <w:rsid w:val="001027E6"/>
    <w:rsid w:val="00102DB6"/>
    <w:rsid w:val="00103219"/>
    <w:rsid w:val="001035CE"/>
    <w:rsid w:val="00103973"/>
    <w:rsid w:val="00103B4B"/>
    <w:rsid w:val="00103DC7"/>
    <w:rsid w:val="00103E81"/>
    <w:rsid w:val="0010427F"/>
    <w:rsid w:val="00104553"/>
    <w:rsid w:val="00104826"/>
    <w:rsid w:val="001049C5"/>
    <w:rsid w:val="00104E6F"/>
    <w:rsid w:val="001051CC"/>
    <w:rsid w:val="00105370"/>
    <w:rsid w:val="001053AB"/>
    <w:rsid w:val="001053EC"/>
    <w:rsid w:val="001055F1"/>
    <w:rsid w:val="00105778"/>
    <w:rsid w:val="0010591F"/>
    <w:rsid w:val="00105929"/>
    <w:rsid w:val="00105A41"/>
    <w:rsid w:val="00105B5B"/>
    <w:rsid w:val="0010629E"/>
    <w:rsid w:val="001065C5"/>
    <w:rsid w:val="00106A4D"/>
    <w:rsid w:val="00106BD5"/>
    <w:rsid w:val="00106E05"/>
    <w:rsid w:val="00106EA3"/>
    <w:rsid w:val="00106F13"/>
    <w:rsid w:val="00107883"/>
    <w:rsid w:val="001078DC"/>
    <w:rsid w:val="00107D17"/>
    <w:rsid w:val="00110047"/>
    <w:rsid w:val="001102A8"/>
    <w:rsid w:val="00110F5A"/>
    <w:rsid w:val="00111341"/>
    <w:rsid w:val="001114B6"/>
    <w:rsid w:val="00111763"/>
    <w:rsid w:val="00111BA2"/>
    <w:rsid w:val="00111DFF"/>
    <w:rsid w:val="0011220E"/>
    <w:rsid w:val="00112660"/>
    <w:rsid w:val="001126C8"/>
    <w:rsid w:val="00113047"/>
    <w:rsid w:val="0011309F"/>
    <w:rsid w:val="0011334A"/>
    <w:rsid w:val="00113760"/>
    <w:rsid w:val="00113B26"/>
    <w:rsid w:val="00113C32"/>
    <w:rsid w:val="00113D43"/>
    <w:rsid w:val="00114169"/>
    <w:rsid w:val="0011494C"/>
    <w:rsid w:val="00114A08"/>
    <w:rsid w:val="00114B31"/>
    <w:rsid w:val="00114DE1"/>
    <w:rsid w:val="001152CD"/>
    <w:rsid w:val="0011545B"/>
    <w:rsid w:val="00115638"/>
    <w:rsid w:val="00115A0A"/>
    <w:rsid w:val="00115D5C"/>
    <w:rsid w:val="00116458"/>
    <w:rsid w:val="00116B62"/>
    <w:rsid w:val="00116F9F"/>
    <w:rsid w:val="0011709F"/>
    <w:rsid w:val="0011730D"/>
    <w:rsid w:val="0011742F"/>
    <w:rsid w:val="001174D9"/>
    <w:rsid w:val="001179E9"/>
    <w:rsid w:val="00117BFE"/>
    <w:rsid w:val="00117C3F"/>
    <w:rsid w:val="001206E9"/>
    <w:rsid w:val="00120C9D"/>
    <w:rsid w:val="0012105F"/>
    <w:rsid w:val="001212C7"/>
    <w:rsid w:val="00121946"/>
    <w:rsid w:val="00122047"/>
    <w:rsid w:val="0012273C"/>
    <w:rsid w:val="00122A5C"/>
    <w:rsid w:val="00123301"/>
    <w:rsid w:val="00123583"/>
    <w:rsid w:val="001235AB"/>
    <w:rsid w:val="0012364E"/>
    <w:rsid w:val="00123739"/>
    <w:rsid w:val="00123776"/>
    <w:rsid w:val="00123827"/>
    <w:rsid w:val="001239FE"/>
    <w:rsid w:val="00123C1C"/>
    <w:rsid w:val="001241AF"/>
    <w:rsid w:val="00124433"/>
    <w:rsid w:val="0012443D"/>
    <w:rsid w:val="00124446"/>
    <w:rsid w:val="001244AE"/>
    <w:rsid w:val="00124505"/>
    <w:rsid w:val="00124877"/>
    <w:rsid w:val="00124A08"/>
    <w:rsid w:val="00124D7B"/>
    <w:rsid w:val="001252B2"/>
    <w:rsid w:val="001253F6"/>
    <w:rsid w:val="0012570E"/>
    <w:rsid w:val="0012579C"/>
    <w:rsid w:val="00125825"/>
    <w:rsid w:val="00125892"/>
    <w:rsid w:val="0012595E"/>
    <w:rsid w:val="001260F1"/>
    <w:rsid w:val="0012619D"/>
    <w:rsid w:val="001265AF"/>
    <w:rsid w:val="001265B4"/>
    <w:rsid w:val="0012668B"/>
    <w:rsid w:val="001266D3"/>
    <w:rsid w:val="0012686D"/>
    <w:rsid w:val="001269BE"/>
    <w:rsid w:val="00126FDD"/>
    <w:rsid w:val="00127151"/>
    <w:rsid w:val="00127664"/>
    <w:rsid w:val="001276FF"/>
    <w:rsid w:val="00127725"/>
    <w:rsid w:val="001278DF"/>
    <w:rsid w:val="00127AEB"/>
    <w:rsid w:val="001302D3"/>
    <w:rsid w:val="00130440"/>
    <w:rsid w:val="00130553"/>
    <w:rsid w:val="001307AF"/>
    <w:rsid w:val="0013087B"/>
    <w:rsid w:val="00130DD2"/>
    <w:rsid w:val="001310E7"/>
    <w:rsid w:val="001312E6"/>
    <w:rsid w:val="00131768"/>
    <w:rsid w:val="00131907"/>
    <w:rsid w:val="00131A06"/>
    <w:rsid w:val="00131DC3"/>
    <w:rsid w:val="00131F63"/>
    <w:rsid w:val="001327B8"/>
    <w:rsid w:val="00132C89"/>
    <w:rsid w:val="00133070"/>
    <w:rsid w:val="001334A6"/>
    <w:rsid w:val="00133614"/>
    <w:rsid w:val="00133AB2"/>
    <w:rsid w:val="00133C84"/>
    <w:rsid w:val="00133D22"/>
    <w:rsid w:val="00133D9B"/>
    <w:rsid w:val="00133E0C"/>
    <w:rsid w:val="00133F79"/>
    <w:rsid w:val="00134054"/>
    <w:rsid w:val="0013412C"/>
    <w:rsid w:val="001341C0"/>
    <w:rsid w:val="001346E2"/>
    <w:rsid w:val="00134F70"/>
    <w:rsid w:val="001350EB"/>
    <w:rsid w:val="001357D7"/>
    <w:rsid w:val="00135E4C"/>
    <w:rsid w:val="00136941"/>
    <w:rsid w:val="00136C0E"/>
    <w:rsid w:val="00136D3D"/>
    <w:rsid w:val="00136E0F"/>
    <w:rsid w:val="00136FD9"/>
    <w:rsid w:val="00137088"/>
    <w:rsid w:val="001373F5"/>
    <w:rsid w:val="001374CF"/>
    <w:rsid w:val="0013776C"/>
    <w:rsid w:val="00137E53"/>
    <w:rsid w:val="00137FD8"/>
    <w:rsid w:val="0014047F"/>
    <w:rsid w:val="00140A1D"/>
    <w:rsid w:val="00140AF3"/>
    <w:rsid w:val="00140E24"/>
    <w:rsid w:val="00140F45"/>
    <w:rsid w:val="00141519"/>
    <w:rsid w:val="001415B0"/>
    <w:rsid w:val="00141852"/>
    <w:rsid w:val="00141928"/>
    <w:rsid w:val="00141CE5"/>
    <w:rsid w:val="00141E68"/>
    <w:rsid w:val="00142053"/>
    <w:rsid w:val="0014275F"/>
    <w:rsid w:val="00142C67"/>
    <w:rsid w:val="00142C70"/>
    <w:rsid w:val="0014349B"/>
    <w:rsid w:val="0014353E"/>
    <w:rsid w:val="001439C3"/>
    <w:rsid w:val="00143CE7"/>
    <w:rsid w:val="00143F0B"/>
    <w:rsid w:val="00143F3F"/>
    <w:rsid w:val="0014421C"/>
    <w:rsid w:val="00144467"/>
    <w:rsid w:val="00144821"/>
    <w:rsid w:val="00145692"/>
    <w:rsid w:val="00145AD0"/>
    <w:rsid w:val="00146098"/>
    <w:rsid w:val="00146121"/>
    <w:rsid w:val="0014612F"/>
    <w:rsid w:val="001464AD"/>
    <w:rsid w:val="001465A6"/>
    <w:rsid w:val="00146792"/>
    <w:rsid w:val="00146890"/>
    <w:rsid w:val="00146D2C"/>
    <w:rsid w:val="001470A9"/>
    <w:rsid w:val="0014713A"/>
    <w:rsid w:val="001473EC"/>
    <w:rsid w:val="001473FC"/>
    <w:rsid w:val="00147652"/>
    <w:rsid w:val="00147BB5"/>
    <w:rsid w:val="00147CA8"/>
    <w:rsid w:val="00147CBE"/>
    <w:rsid w:val="00150145"/>
    <w:rsid w:val="00150273"/>
    <w:rsid w:val="00150A57"/>
    <w:rsid w:val="00150C2B"/>
    <w:rsid w:val="00150CB8"/>
    <w:rsid w:val="00151044"/>
    <w:rsid w:val="00151110"/>
    <w:rsid w:val="0015142B"/>
    <w:rsid w:val="00151582"/>
    <w:rsid w:val="0015196E"/>
    <w:rsid w:val="00151C5E"/>
    <w:rsid w:val="00151D89"/>
    <w:rsid w:val="0015237B"/>
    <w:rsid w:val="001527ED"/>
    <w:rsid w:val="00152E04"/>
    <w:rsid w:val="00153394"/>
    <w:rsid w:val="001534A0"/>
    <w:rsid w:val="00153EB8"/>
    <w:rsid w:val="0015400B"/>
    <w:rsid w:val="00154675"/>
    <w:rsid w:val="00154D9E"/>
    <w:rsid w:val="00154E55"/>
    <w:rsid w:val="00154EAA"/>
    <w:rsid w:val="00154EDA"/>
    <w:rsid w:val="001550DD"/>
    <w:rsid w:val="00155332"/>
    <w:rsid w:val="001556CA"/>
    <w:rsid w:val="001559F0"/>
    <w:rsid w:val="001559F8"/>
    <w:rsid w:val="00155FEA"/>
    <w:rsid w:val="00156052"/>
    <w:rsid w:val="0015609F"/>
    <w:rsid w:val="00156288"/>
    <w:rsid w:val="00156573"/>
    <w:rsid w:val="001565B9"/>
    <w:rsid w:val="00156A22"/>
    <w:rsid w:val="00156A91"/>
    <w:rsid w:val="00156EF4"/>
    <w:rsid w:val="00157497"/>
    <w:rsid w:val="001574C0"/>
    <w:rsid w:val="001606CF"/>
    <w:rsid w:val="001607E6"/>
    <w:rsid w:val="001608CD"/>
    <w:rsid w:val="001608FF"/>
    <w:rsid w:val="00160CE6"/>
    <w:rsid w:val="00160F36"/>
    <w:rsid w:val="00160FFD"/>
    <w:rsid w:val="0016104A"/>
    <w:rsid w:val="0016128D"/>
    <w:rsid w:val="00161674"/>
    <w:rsid w:val="00162C18"/>
    <w:rsid w:val="0016303B"/>
    <w:rsid w:val="0016305B"/>
    <w:rsid w:val="00163118"/>
    <w:rsid w:val="0016322C"/>
    <w:rsid w:val="0016391A"/>
    <w:rsid w:val="00163B4D"/>
    <w:rsid w:val="00163CEF"/>
    <w:rsid w:val="001644AB"/>
    <w:rsid w:val="00164873"/>
    <w:rsid w:val="00164A0C"/>
    <w:rsid w:val="00164B89"/>
    <w:rsid w:val="00164CBE"/>
    <w:rsid w:val="0016517A"/>
    <w:rsid w:val="0016545E"/>
    <w:rsid w:val="0016558C"/>
    <w:rsid w:val="001656FF"/>
    <w:rsid w:val="001658D9"/>
    <w:rsid w:val="00165944"/>
    <w:rsid w:val="00165979"/>
    <w:rsid w:val="00165DB3"/>
    <w:rsid w:val="001662B4"/>
    <w:rsid w:val="00166473"/>
    <w:rsid w:val="0016655C"/>
    <w:rsid w:val="0016766D"/>
    <w:rsid w:val="0017069A"/>
    <w:rsid w:val="0017089D"/>
    <w:rsid w:val="00170E6C"/>
    <w:rsid w:val="001712CA"/>
    <w:rsid w:val="00171D25"/>
    <w:rsid w:val="001724E8"/>
    <w:rsid w:val="0017255F"/>
    <w:rsid w:val="00172AAE"/>
    <w:rsid w:val="00173144"/>
    <w:rsid w:val="00173429"/>
    <w:rsid w:val="0017365C"/>
    <w:rsid w:val="00173A3A"/>
    <w:rsid w:val="00173D25"/>
    <w:rsid w:val="00173D68"/>
    <w:rsid w:val="00173F22"/>
    <w:rsid w:val="00173F7B"/>
    <w:rsid w:val="001744DA"/>
    <w:rsid w:val="001744E1"/>
    <w:rsid w:val="001745AD"/>
    <w:rsid w:val="001747CD"/>
    <w:rsid w:val="00174C86"/>
    <w:rsid w:val="00174CD8"/>
    <w:rsid w:val="001752B6"/>
    <w:rsid w:val="001753FB"/>
    <w:rsid w:val="00175617"/>
    <w:rsid w:val="001757D0"/>
    <w:rsid w:val="001757D6"/>
    <w:rsid w:val="001758C0"/>
    <w:rsid w:val="00175AE8"/>
    <w:rsid w:val="001760C3"/>
    <w:rsid w:val="00176474"/>
    <w:rsid w:val="00176A17"/>
    <w:rsid w:val="00176E5D"/>
    <w:rsid w:val="00176FCF"/>
    <w:rsid w:val="001771FA"/>
    <w:rsid w:val="00177320"/>
    <w:rsid w:val="001776A4"/>
    <w:rsid w:val="0017779E"/>
    <w:rsid w:val="0017797C"/>
    <w:rsid w:val="00177D84"/>
    <w:rsid w:val="0018002C"/>
    <w:rsid w:val="0018070C"/>
    <w:rsid w:val="001809E8"/>
    <w:rsid w:val="00180A76"/>
    <w:rsid w:val="00180C59"/>
    <w:rsid w:val="00181127"/>
    <w:rsid w:val="00181376"/>
    <w:rsid w:val="00181445"/>
    <w:rsid w:val="00181C79"/>
    <w:rsid w:val="00182343"/>
    <w:rsid w:val="0018259A"/>
    <w:rsid w:val="0018284C"/>
    <w:rsid w:val="001828CD"/>
    <w:rsid w:val="00182A71"/>
    <w:rsid w:val="00182BDD"/>
    <w:rsid w:val="00183047"/>
    <w:rsid w:val="0018382B"/>
    <w:rsid w:val="001846AA"/>
    <w:rsid w:val="00184A75"/>
    <w:rsid w:val="00185297"/>
    <w:rsid w:val="001852B4"/>
    <w:rsid w:val="0018553D"/>
    <w:rsid w:val="00185BE7"/>
    <w:rsid w:val="00185C99"/>
    <w:rsid w:val="00185CA8"/>
    <w:rsid w:val="001863C3"/>
    <w:rsid w:val="001867CC"/>
    <w:rsid w:val="00186FD9"/>
    <w:rsid w:val="001872AA"/>
    <w:rsid w:val="00187689"/>
    <w:rsid w:val="00187F35"/>
    <w:rsid w:val="0019013E"/>
    <w:rsid w:val="00190293"/>
    <w:rsid w:val="00190454"/>
    <w:rsid w:val="0019095E"/>
    <w:rsid w:val="0019101A"/>
    <w:rsid w:val="00191174"/>
    <w:rsid w:val="001914DF"/>
    <w:rsid w:val="001919B3"/>
    <w:rsid w:val="001925FF"/>
    <w:rsid w:val="00192F82"/>
    <w:rsid w:val="00193072"/>
    <w:rsid w:val="00193684"/>
    <w:rsid w:val="00193C3C"/>
    <w:rsid w:val="00193D06"/>
    <w:rsid w:val="001940B8"/>
    <w:rsid w:val="0019437E"/>
    <w:rsid w:val="001948D6"/>
    <w:rsid w:val="00194A18"/>
    <w:rsid w:val="00194DB2"/>
    <w:rsid w:val="001951FB"/>
    <w:rsid w:val="00195A55"/>
    <w:rsid w:val="00195CF6"/>
    <w:rsid w:val="00195F37"/>
    <w:rsid w:val="0019604F"/>
    <w:rsid w:val="00196070"/>
    <w:rsid w:val="0019607D"/>
    <w:rsid w:val="00196131"/>
    <w:rsid w:val="00196145"/>
    <w:rsid w:val="001962D1"/>
    <w:rsid w:val="0019675B"/>
    <w:rsid w:val="001967EF"/>
    <w:rsid w:val="00197185"/>
    <w:rsid w:val="001972D2"/>
    <w:rsid w:val="001973A0"/>
    <w:rsid w:val="0019767A"/>
    <w:rsid w:val="0019767B"/>
    <w:rsid w:val="001976B5"/>
    <w:rsid w:val="00197C35"/>
    <w:rsid w:val="00197CBF"/>
    <w:rsid w:val="00197E04"/>
    <w:rsid w:val="001A01D7"/>
    <w:rsid w:val="001A021C"/>
    <w:rsid w:val="001A03BA"/>
    <w:rsid w:val="001A04DA"/>
    <w:rsid w:val="001A0605"/>
    <w:rsid w:val="001A0753"/>
    <w:rsid w:val="001A08F8"/>
    <w:rsid w:val="001A0D3D"/>
    <w:rsid w:val="001A0DA8"/>
    <w:rsid w:val="001A1045"/>
    <w:rsid w:val="001A12D1"/>
    <w:rsid w:val="001A140D"/>
    <w:rsid w:val="001A185D"/>
    <w:rsid w:val="001A1E36"/>
    <w:rsid w:val="001A24B4"/>
    <w:rsid w:val="001A259C"/>
    <w:rsid w:val="001A2639"/>
    <w:rsid w:val="001A298E"/>
    <w:rsid w:val="001A2C86"/>
    <w:rsid w:val="001A30B5"/>
    <w:rsid w:val="001A34EF"/>
    <w:rsid w:val="001A3522"/>
    <w:rsid w:val="001A39B2"/>
    <w:rsid w:val="001A3EFF"/>
    <w:rsid w:val="001A42D7"/>
    <w:rsid w:val="001A4314"/>
    <w:rsid w:val="001A44D0"/>
    <w:rsid w:val="001A4F21"/>
    <w:rsid w:val="001A50F5"/>
    <w:rsid w:val="001A52C5"/>
    <w:rsid w:val="001A5506"/>
    <w:rsid w:val="001A5B23"/>
    <w:rsid w:val="001A5FA2"/>
    <w:rsid w:val="001A62B1"/>
    <w:rsid w:val="001A6543"/>
    <w:rsid w:val="001A6947"/>
    <w:rsid w:val="001A696B"/>
    <w:rsid w:val="001A6B8C"/>
    <w:rsid w:val="001A6F5E"/>
    <w:rsid w:val="001A6FB1"/>
    <w:rsid w:val="001A70B1"/>
    <w:rsid w:val="001A70E2"/>
    <w:rsid w:val="001A72AF"/>
    <w:rsid w:val="001A74AB"/>
    <w:rsid w:val="001A7711"/>
    <w:rsid w:val="001A7933"/>
    <w:rsid w:val="001A7B31"/>
    <w:rsid w:val="001A7EB1"/>
    <w:rsid w:val="001A7F67"/>
    <w:rsid w:val="001B00A9"/>
    <w:rsid w:val="001B0289"/>
    <w:rsid w:val="001B02E0"/>
    <w:rsid w:val="001B0562"/>
    <w:rsid w:val="001B0570"/>
    <w:rsid w:val="001B0598"/>
    <w:rsid w:val="001B0912"/>
    <w:rsid w:val="001B0B00"/>
    <w:rsid w:val="001B155D"/>
    <w:rsid w:val="001B18DE"/>
    <w:rsid w:val="001B1B66"/>
    <w:rsid w:val="001B1C52"/>
    <w:rsid w:val="001B1F17"/>
    <w:rsid w:val="001B25A4"/>
    <w:rsid w:val="001B2AB0"/>
    <w:rsid w:val="001B2FBD"/>
    <w:rsid w:val="001B34F6"/>
    <w:rsid w:val="001B3516"/>
    <w:rsid w:val="001B35C5"/>
    <w:rsid w:val="001B3744"/>
    <w:rsid w:val="001B3951"/>
    <w:rsid w:val="001B3CB6"/>
    <w:rsid w:val="001B3F40"/>
    <w:rsid w:val="001B3FE6"/>
    <w:rsid w:val="001B4232"/>
    <w:rsid w:val="001B461C"/>
    <w:rsid w:val="001B46A9"/>
    <w:rsid w:val="001B47DB"/>
    <w:rsid w:val="001B480F"/>
    <w:rsid w:val="001B4AB7"/>
    <w:rsid w:val="001B4E26"/>
    <w:rsid w:val="001B5026"/>
    <w:rsid w:val="001B5180"/>
    <w:rsid w:val="001B5377"/>
    <w:rsid w:val="001B5684"/>
    <w:rsid w:val="001B57A7"/>
    <w:rsid w:val="001B5BBC"/>
    <w:rsid w:val="001B6076"/>
    <w:rsid w:val="001B61E6"/>
    <w:rsid w:val="001B6478"/>
    <w:rsid w:val="001B66D2"/>
    <w:rsid w:val="001B6750"/>
    <w:rsid w:val="001B6886"/>
    <w:rsid w:val="001B69F7"/>
    <w:rsid w:val="001B6A95"/>
    <w:rsid w:val="001B6D67"/>
    <w:rsid w:val="001B6DC9"/>
    <w:rsid w:val="001B7076"/>
    <w:rsid w:val="001B7151"/>
    <w:rsid w:val="001B7AE8"/>
    <w:rsid w:val="001B7CA5"/>
    <w:rsid w:val="001B7FC3"/>
    <w:rsid w:val="001C0082"/>
    <w:rsid w:val="001C0324"/>
    <w:rsid w:val="001C0635"/>
    <w:rsid w:val="001C0B4A"/>
    <w:rsid w:val="001C0E1D"/>
    <w:rsid w:val="001C12B1"/>
    <w:rsid w:val="001C1D0F"/>
    <w:rsid w:val="001C1FC2"/>
    <w:rsid w:val="001C243D"/>
    <w:rsid w:val="001C278E"/>
    <w:rsid w:val="001C288C"/>
    <w:rsid w:val="001C2DB4"/>
    <w:rsid w:val="001C31FF"/>
    <w:rsid w:val="001C33AC"/>
    <w:rsid w:val="001C3407"/>
    <w:rsid w:val="001C358D"/>
    <w:rsid w:val="001C360D"/>
    <w:rsid w:val="001C3A98"/>
    <w:rsid w:val="001C3DCE"/>
    <w:rsid w:val="001C3F38"/>
    <w:rsid w:val="001C4277"/>
    <w:rsid w:val="001C46A3"/>
    <w:rsid w:val="001C4947"/>
    <w:rsid w:val="001C4E71"/>
    <w:rsid w:val="001C5375"/>
    <w:rsid w:val="001C5643"/>
    <w:rsid w:val="001C56FF"/>
    <w:rsid w:val="001C59F1"/>
    <w:rsid w:val="001C5D78"/>
    <w:rsid w:val="001C5DDB"/>
    <w:rsid w:val="001C5E85"/>
    <w:rsid w:val="001C6F19"/>
    <w:rsid w:val="001C7240"/>
    <w:rsid w:val="001C7334"/>
    <w:rsid w:val="001C75BD"/>
    <w:rsid w:val="001C765C"/>
    <w:rsid w:val="001C78AE"/>
    <w:rsid w:val="001C794C"/>
    <w:rsid w:val="001C7C2C"/>
    <w:rsid w:val="001D032F"/>
    <w:rsid w:val="001D04D4"/>
    <w:rsid w:val="001D06A4"/>
    <w:rsid w:val="001D0B6D"/>
    <w:rsid w:val="001D0C17"/>
    <w:rsid w:val="001D0C72"/>
    <w:rsid w:val="001D1B9F"/>
    <w:rsid w:val="001D1FE0"/>
    <w:rsid w:val="001D28E7"/>
    <w:rsid w:val="001D304A"/>
    <w:rsid w:val="001D32F5"/>
    <w:rsid w:val="001D3786"/>
    <w:rsid w:val="001D3CE9"/>
    <w:rsid w:val="001D3FE6"/>
    <w:rsid w:val="001D438F"/>
    <w:rsid w:val="001D4BC5"/>
    <w:rsid w:val="001D4C04"/>
    <w:rsid w:val="001D4C20"/>
    <w:rsid w:val="001D4C64"/>
    <w:rsid w:val="001D51A3"/>
    <w:rsid w:val="001D52BF"/>
    <w:rsid w:val="001D53F6"/>
    <w:rsid w:val="001D5635"/>
    <w:rsid w:val="001D58A8"/>
    <w:rsid w:val="001D59C4"/>
    <w:rsid w:val="001D5C6E"/>
    <w:rsid w:val="001D5F65"/>
    <w:rsid w:val="001D616A"/>
    <w:rsid w:val="001D6C3C"/>
    <w:rsid w:val="001D7648"/>
    <w:rsid w:val="001D799B"/>
    <w:rsid w:val="001D7F34"/>
    <w:rsid w:val="001D7F56"/>
    <w:rsid w:val="001D7F75"/>
    <w:rsid w:val="001D7F94"/>
    <w:rsid w:val="001E0762"/>
    <w:rsid w:val="001E0A19"/>
    <w:rsid w:val="001E0A85"/>
    <w:rsid w:val="001E0BDB"/>
    <w:rsid w:val="001E14CA"/>
    <w:rsid w:val="001E14DA"/>
    <w:rsid w:val="001E1A16"/>
    <w:rsid w:val="001E1D65"/>
    <w:rsid w:val="001E27A9"/>
    <w:rsid w:val="001E289E"/>
    <w:rsid w:val="001E2EBE"/>
    <w:rsid w:val="001E323E"/>
    <w:rsid w:val="001E37B9"/>
    <w:rsid w:val="001E3A82"/>
    <w:rsid w:val="001E3B2D"/>
    <w:rsid w:val="001E3E21"/>
    <w:rsid w:val="001E4257"/>
    <w:rsid w:val="001E45E9"/>
    <w:rsid w:val="001E4706"/>
    <w:rsid w:val="001E47A1"/>
    <w:rsid w:val="001E48CD"/>
    <w:rsid w:val="001E5440"/>
    <w:rsid w:val="001E54B3"/>
    <w:rsid w:val="001E54D6"/>
    <w:rsid w:val="001E6082"/>
    <w:rsid w:val="001E65CE"/>
    <w:rsid w:val="001E664C"/>
    <w:rsid w:val="001E6788"/>
    <w:rsid w:val="001E68E4"/>
    <w:rsid w:val="001E6BA2"/>
    <w:rsid w:val="001E6C7B"/>
    <w:rsid w:val="001E7636"/>
    <w:rsid w:val="001E7662"/>
    <w:rsid w:val="001E7DB8"/>
    <w:rsid w:val="001E7F27"/>
    <w:rsid w:val="001F0206"/>
    <w:rsid w:val="001F0367"/>
    <w:rsid w:val="001F038F"/>
    <w:rsid w:val="001F0B75"/>
    <w:rsid w:val="001F0B9D"/>
    <w:rsid w:val="001F0F2E"/>
    <w:rsid w:val="001F14E0"/>
    <w:rsid w:val="001F1549"/>
    <w:rsid w:val="001F16E3"/>
    <w:rsid w:val="001F1994"/>
    <w:rsid w:val="001F1B27"/>
    <w:rsid w:val="001F1EC2"/>
    <w:rsid w:val="001F1F2D"/>
    <w:rsid w:val="001F210C"/>
    <w:rsid w:val="001F2A15"/>
    <w:rsid w:val="001F2A39"/>
    <w:rsid w:val="001F2A6D"/>
    <w:rsid w:val="001F2BBD"/>
    <w:rsid w:val="001F3146"/>
    <w:rsid w:val="001F3876"/>
    <w:rsid w:val="001F3CF0"/>
    <w:rsid w:val="001F3EBB"/>
    <w:rsid w:val="001F3F20"/>
    <w:rsid w:val="001F4B02"/>
    <w:rsid w:val="001F5095"/>
    <w:rsid w:val="001F5985"/>
    <w:rsid w:val="001F5AF0"/>
    <w:rsid w:val="001F5F06"/>
    <w:rsid w:val="001F5FCF"/>
    <w:rsid w:val="001F5FF9"/>
    <w:rsid w:val="001F614D"/>
    <w:rsid w:val="001F69E8"/>
    <w:rsid w:val="001F6FC8"/>
    <w:rsid w:val="001F709D"/>
    <w:rsid w:val="001F713C"/>
    <w:rsid w:val="001F7174"/>
    <w:rsid w:val="001F771C"/>
    <w:rsid w:val="001F7786"/>
    <w:rsid w:val="001F7814"/>
    <w:rsid w:val="002004B8"/>
    <w:rsid w:val="0020067F"/>
    <w:rsid w:val="002009B1"/>
    <w:rsid w:val="00200D1F"/>
    <w:rsid w:val="00200E9A"/>
    <w:rsid w:val="00201498"/>
    <w:rsid w:val="00201732"/>
    <w:rsid w:val="00201A76"/>
    <w:rsid w:val="00201CEE"/>
    <w:rsid w:val="00201FC1"/>
    <w:rsid w:val="00202175"/>
    <w:rsid w:val="002022F7"/>
    <w:rsid w:val="00202D40"/>
    <w:rsid w:val="002031DA"/>
    <w:rsid w:val="00203262"/>
    <w:rsid w:val="002034F5"/>
    <w:rsid w:val="00203C8E"/>
    <w:rsid w:val="00204074"/>
    <w:rsid w:val="002041EF"/>
    <w:rsid w:val="002045C5"/>
    <w:rsid w:val="00204773"/>
    <w:rsid w:val="00204966"/>
    <w:rsid w:val="00204C0F"/>
    <w:rsid w:val="00204F29"/>
    <w:rsid w:val="00205101"/>
    <w:rsid w:val="002056EB"/>
    <w:rsid w:val="00205B40"/>
    <w:rsid w:val="00205B91"/>
    <w:rsid w:val="00205BC9"/>
    <w:rsid w:val="00205DE7"/>
    <w:rsid w:val="00205FA7"/>
    <w:rsid w:val="00206174"/>
    <w:rsid w:val="0020629A"/>
    <w:rsid w:val="002064AD"/>
    <w:rsid w:val="00206539"/>
    <w:rsid w:val="002070B1"/>
    <w:rsid w:val="002071A2"/>
    <w:rsid w:val="00207532"/>
    <w:rsid w:val="00207A76"/>
    <w:rsid w:val="00207BF4"/>
    <w:rsid w:val="00207CB2"/>
    <w:rsid w:val="00207FB2"/>
    <w:rsid w:val="002100EB"/>
    <w:rsid w:val="0021026A"/>
    <w:rsid w:val="0021087E"/>
    <w:rsid w:val="00210F79"/>
    <w:rsid w:val="00210FB2"/>
    <w:rsid w:val="0021186B"/>
    <w:rsid w:val="00211A3C"/>
    <w:rsid w:val="00211C77"/>
    <w:rsid w:val="00211CE0"/>
    <w:rsid w:val="00211F7E"/>
    <w:rsid w:val="00212373"/>
    <w:rsid w:val="002123AC"/>
    <w:rsid w:val="0021259D"/>
    <w:rsid w:val="0021270E"/>
    <w:rsid w:val="002127DB"/>
    <w:rsid w:val="00212947"/>
    <w:rsid w:val="00212B3F"/>
    <w:rsid w:val="00212E9F"/>
    <w:rsid w:val="00212EE1"/>
    <w:rsid w:val="00213269"/>
    <w:rsid w:val="002133D9"/>
    <w:rsid w:val="0021366F"/>
    <w:rsid w:val="00213A87"/>
    <w:rsid w:val="00214115"/>
    <w:rsid w:val="00214270"/>
    <w:rsid w:val="002142BE"/>
    <w:rsid w:val="002147B4"/>
    <w:rsid w:val="0021515C"/>
    <w:rsid w:val="00215246"/>
    <w:rsid w:val="00215323"/>
    <w:rsid w:val="002153FD"/>
    <w:rsid w:val="0021580F"/>
    <w:rsid w:val="002158B2"/>
    <w:rsid w:val="0021596F"/>
    <w:rsid w:val="002159C0"/>
    <w:rsid w:val="00215AC1"/>
    <w:rsid w:val="00215C89"/>
    <w:rsid w:val="00215F23"/>
    <w:rsid w:val="0021688B"/>
    <w:rsid w:val="00216EDD"/>
    <w:rsid w:val="0021714C"/>
    <w:rsid w:val="002171F9"/>
    <w:rsid w:val="0021764C"/>
    <w:rsid w:val="00217677"/>
    <w:rsid w:val="0021796A"/>
    <w:rsid w:val="002200E1"/>
    <w:rsid w:val="00220FE0"/>
    <w:rsid w:val="00221206"/>
    <w:rsid w:val="002212EB"/>
    <w:rsid w:val="0022156E"/>
    <w:rsid w:val="002215B4"/>
    <w:rsid w:val="002217A3"/>
    <w:rsid w:val="00221EC0"/>
    <w:rsid w:val="00222641"/>
    <w:rsid w:val="002239FB"/>
    <w:rsid w:val="00223A2F"/>
    <w:rsid w:val="00223B81"/>
    <w:rsid w:val="00223CA4"/>
    <w:rsid w:val="00224A4E"/>
    <w:rsid w:val="00224D6E"/>
    <w:rsid w:val="00224E82"/>
    <w:rsid w:val="0022504B"/>
    <w:rsid w:val="00225196"/>
    <w:rsid w:val="00225316"/>
    <w:rsid w:val="002258D7"/>
    <w:rsid w:val="00225998"/>
    <w:rsid w:val="002260B9"/>
    <w:rsid w:val="0022610B"/>
    <w:rsid w:val="002262D6"/>
    <w:rsid w:val="00226386"/>
    <w:rsid w:val="0022668B"/>
    <w:rsid w:val="002267B6"/>
    <w:rsid w:val="002267C7"/>
    <w:rsid w:val="00227138"/>
    <w:rsid w:val="0022751B"/>
    <w:rsid w:val="002275AF"/>
    <w:rsid w:val="002275DD"/>
    <w:rsid w:val="0022775C"/>
    <w:rsid w:val="00227DFE"/>
    <w:rsid w:val="00227F67"/>
    <w:rsid w:val="00230682"/>
    <w:rsid w:val="00230AF6"/>
    <w:rsid w:val="00231049"/>
    <w:rsid w:val="002310E9"/>
    <w:rsid w:val="002313A9"/>
    <w:rsid w:val="002313C7"/>
    <w:rsid w:val="002314D2"/>
    <w:rsid w:val="00231E24"/>
    <w:rsid w:val="00231EB0"/>
    <w:rsid w:val="002328C7"/>
    <w:rsid w:val="00232912"/>
    <w:rsid w:val="002329D0"/>
    <w:rsid w:val="0023305C"/>
    <w:rsid w:val="00233154"/>
    <w:rsid w:val="00233692"/>
    <w:rsid w:val="002337FB"/>
    <w:rsid w:val="00233A2A"/>
    <w:rsid w:val="00233AEE"/>
    <w:rsid w:val="00234093"/>
    <w:rsid w:val="002340D9"/>
    <w:rsid w:val="00234416"/>
    <w:rsid w:val="00234A63"/>
    <w:rsid w:val="00234FAA"/>
    <w:rsid w:val="002350E0"/>
    <w:rsid w:val="00235404"/>
    <w:rsid w:val="002355EF"/>
    <w:rsid w:val="002356B2"/>
    <w:rsid w:val="002356CB"/>
    <w:rsid w:val="00235C42"/>
    <w:rsid w:val="00235C4B"/>
    <w:rsid w:val="00235D9D"/>
    <w:rsid w:val="0023663D"/>
    <w:rsid w:val="00236D40"/>
    <w:rsid w:val="0023720E"/>
    <w:rsid w:val="0023724A"/>
    <w:rsid w:val="00237748"/>
    <w:rsid w:val="002377CB"/>
    <w:rsid w:val="00237877"/>
    <w:rsid w:val="00237E8C"/>
    <w:rsid w:val="00237EC6"/>
    <w:rsid w:val="00240126"/>
    <w:rsid w:val="00240172"/>
    <w:rsid w:val="002404FF"/>
    <w:rsid w:val="002405D9"/>
    <w:rsid w:val="00240868"/>
    <w:rsid w:val="00240DB2"/>
    <w:rsid w:val="002413CE"/>
    <w:rsid w:val="00241881"/>
    <w:rsid w:val="002418F6"/>
    <w:rsid w:val="002425F4"/>
    <w:rsid w:val="0024294C"/>
    <w:rsid w:val="00242B21"/>
    <w:rsid w:val="00242C18"/>
    <w:rsid w:val="0024347F"/>
    <w:rsid w:val="00243591"/>
    <w:rsid w:val="0024388A"/>
    <w:rsid w:val="00243AD0"/>
    <w:rsid w:val="00243E35"/>
    <w:rsid w:val="00243F84"/>
    <w:rsid w:val="00243FD9"/>
    <w:rsid w:val="0024405B"/>
    <w:rsid w:val="002441DE"/>
    <w:rsid w:val="00244DBA"/>
    <w:rsid w:val="0024565D"/>
    <w:rsid w:val="002457B9"/>
    <w:rsid w:val="00245860"/>
    <w:rsid w:val="00245B78"/>
    <w:rsid w:val="00245BEE"/>
    <w:rsid w:val="00245FE6"/>
    <w:rsid w:val="002463E4"/>
    <w:rsid w:val="002466A6"/>
    <w:rsid w:val="0024673C"/>
    <w:rsid w:val="00246FF8"/>
    <w:rsid w:val="0024701A"/>
    <w:rsid w:val="00247298"/>
    <w:rsid w:val="00247BAC"/>
    <w:rsid w:val="00247C45"/>
    <w:rsid w:val="002503FC"/>
    <w:rsid w:val="002506EF"/>
    <w:rsid w:val="00250894"/>
    <w:rsid w:val="002509DF"/>
    <w:rsid w:val="00251393"/>
    <w:rsid w:val="00251424"/>
    <w:rsid w:val="00251434"/>
    <w:rsid w:val="002514B1"/>
    <w:rsid w:val="002517F9"/>
    <w:rsid w:val="00251AFC"/>
    <w:rsid w:val="00252FDC"/>
    <w:rsid w:val="00253D93"/>
    <w:rsid w:val="00253F04"/>
    <w:rsid w:val="00253F92"/>
    <w:rsid w:val="0025428E"/>
    <w:rsid w:val="00254469"/>
    <w:rsid w:val="00254981"/>
    <w:rsid w:val="002553AA"/>
    <w:rsid w:val="0025559F"/>
    <w:rsid w:val="002559CD"/>
    <w:rsid w:val="00255CF3"/>
    <w:rsid w:val="0025607D"/>
    <w:rsid w:val="0025652F"/>
    <w:rsid w:val="002568CB"/>
    <w:rsid w:val="0025692D"/>
    <w:rsid w:val="00257143"/>
    <w:rsid w:val="002572C8"/>
    <w:rsid w:val="00257578"/>
    <w:rsid w:val="00257877"/>
    <w:rsid w:val="002578CF"/>
    <w:rsid w:val="00257F96"/>
    <w:rsid w:val="00260351"/>
    <w:rsid w:val="002606FF"/>
    <w:rsid w:val="00261882"/>
    <w:rsid w:val="00261BC7"/>
    <w:rsid w:val="00261E71"/>
    <w:rsid w:val="00261F6E"/>
    <w:rsid w:val="00262B77"/>
    <w:rsid w:val="00262E62"/>
    <w:rsid w:val="00263006"/>
    <w:rsid w:val="00263B6C"/>
    <w:rsid w:val="002640CF"/>
    <w:rsid w:val="00264165"/>
    <w:rsid w:val="002641B8"/>
    <w:rsid w:val="00264244"/>
    <w:rsid w:val="00264747"/>
    <w:rsid w:val="002647CC"/>
    <w:rsid w:val="00264841"/>
    <w:rsid w:val="002648C8"/>
    <w:rsid w:val="002649F8"/>
    <w:rsid w:val="00265A7B"/>
    <w:rsid w:val="00265B52"/>
    <w:rsid w:val="00265D70"/>
    <w:rsid w:val="0026609E"/>
    <w:rsid w:val="002660D1"/>
    <w:rsid w:val="002660DB"/>
    <w:rsid w:val="0026620D"/>
    <w:rsid w:val="00266ACC"/>
    <w:rsid w:val="00266CCD"/>
    <w:rsid w:val="00266DB3"/>
    <w:rsid w:val="002670C0"/>
    <w:rsid w:val="0026732E"/>
    <w:rsid w:val="0026734E"/>
    <w:rsid w:val="002673F2"/>
    <w:rsid w:val="0026741B"/>
    <w:rsid w:val="002674B2"/>
    <w:rsid w:val="0026788F"/>
    <w:rsid w:val="00267ACD"/>
    <w:rsid w:val="00267AE8"/>
    <w:rsid w:val="00267C2E"/>
    <w:rsid w:val="00267E4C"/>
    <w:rsid w:val="0027016A"/>
    <w:rsid w:val="0027059F"/>
    <w:rsid w:val="00270B0C"/>
    <w:rsid w:val="00270C7D"/>
    <w:rsid w:val="00271327"/>
    <w:rsid w:val="00271748"/>
    <w:rsid w:val="002719A0"/>
    <w:rsid w:val="00271B9B"/>
    <w:rsid w:val="00272295"/>
    <w:rsid w:val="0027236B"/>
    <w:rsid w:val="0027240A"/>
    <w:rsid w:val="00272939"/>
    <w:rsid w:val="00272C54"/>
    <w:rsid w:val="00272F48"/>
    <w:rsid w:val="00273366"/>
    <w:rsid w:val="0027358B"/>
    <w:rsid w:val="0027381A"/>
    <w:rsid w:val="0027386B"/>
    <w:rsid w:val="00273947"/>
    <w:rsid w:val="00273BE9"/>
    <w:rsid w:val="00273BF5"/>
    <w:rsid w:val="00273C90"/>
    <w:rsid w:val="00273FC6"/>
    <w:rsid w:val="00273FE4"/>
    <w:rsid w:val="002745E6"/>
    <w:rsid w:val="00274C78"/>
    <w:rsid w:val="00274DD6"/>
    <w:rsid w:val="00274FF8"/>
    <w:rsid w:val="002750CF"/>
    <w:rsid w:val="002752F5"/>
    <w:rsid w:val="0027590B"/>
    <w:rsid w:val="00275C94"/>
    <w:rsid w:val="00275E19"/>
    <w:rsid w:val="002760DB"/>
    <w:rsid w:val="0027678E"/>
    <w:rsid w:val="00276C05"/>
    <w:rsid w:val="0027727C"/>
    <w:rsid w:val="00277C97"/>
    <w:rsid w:val="00277F39"/>
    <w:rsid w:val="00280223"/>
    <w:rsid w:val="00280434"/>
    <w:rsid w:val="00280629"/>
    <w:rsid w:val="002808D0"/>
    <w:rsid w:val="002808FB"/>
    <w:rsid w:val="00280998"/>
    <w:rsid w:val="00281106"/>
    <w:rsid w:val="00281140"/>
    <w:rsid w:val="00281BF4"/>
    <w:rsid w:val="00281CB7"/>
    <w:rsid w:val="00281F23"/>
    <w:rsid w:val="0028264E"/>
    <w:rsid w:val="00282A61"/>
    <w:rsid w:val="00282C3F"/>
    <w:rsid w:val="00283335"/>
    <w:rsid w:val="002833CA"/>
    <w:rsid w:val="00283770"/>
    <w:rsid w:val="00283AB7"/>
    <w:rsid w:val="00283EC2"/>
    <w:rsid w:val="0028427B"/>
    <w:rsid w:val="00285303"/>
    <w:rsid w:val="00285969"/>
    <w:rsid w:val="00285A3C"/>
    <w:rsid w:val="00285B53"/>
    <w:rsid w:val="00285DFD"/>
    <w:rsid w:val="00285E0D"/>
    <w:rsid w:val="00285E2E"/>
    <w:rsid w:val="002861D3"/>
    <w:rsid w:val="00286647"/>
    <w:rsid w:val="002868B3"/>
    <w:rsid w:val="002868D9"/>
    <w:rsid w:val="00286D90"/>
    <w:rsid w:val="002870FA"/>
    <w:rsid w:val="00287788"/>
    <w:rsid w:val="00287A80"/>
    <w:rsid w:val="00287ADB"/>
    <w:rsid w:val="00287B1A"/>
    <w:rsid w:val="00287B57"/>
    <w:rsid w:val="00287D0E"/>
    <w:rsid w:val="00287F25"/>
    <w:rsid w:val="00290494"/>
    <w:rsid w:val="00290497"/>
    <w:rsid w:val="00290833"/>
    <w:rsid w:val="0029085C"/>
    <w:rsid w:val="00290B3E"/>
    <w:rsid w:val="00290B93"/>
    <w:rsid w:val="0029105C"/>
    <w:rsid w:val="00291AC6"/>
    <w:rsid w:val="00291CA1"/>
    <w:rsid w:val="00291E18"/>
    <w:rsid w:val="0029200B"/>
    <w:rsid w:val="002921D6"/>
    <w:rsid w:val="00292267"/>
    <w:rsid w:val="0029244A"/>
    <w:rsid w:val="00292D24"/>
    <w:rsid w:val="00292F54"/>
    <w:rsid w:val="0029322A"/>
    <w:rsid w:val="00293432"/>
    <w:rsid w:val="002935BE"/>
    <w:rsid w:val="00293C47"/>
    <w:rsid w:val="00293DCD"/>
    <w:rsid w:val="00294246"/>
    <w:rsid w:val="002942CF"/>
    <w:rsid w:val="002943B4"/>
    <w:rsid w:val="00294627"/>
    <w:rsid w:val="00294656"/>
    <w:rsid w:val="00294878"/>
    <w:rsid w:val="002948F8"/>
    <w:rsid w:val="002949AB"/>
    <w:rsid w:val="00294EAB"/>
    <w:rsid w:val="0029536F"/>
    <w:rsid w:val="002957FA"/>
    <w:rsid w:val="00295EDF"/>
    <w:rsid w:val="00295F4C"/>
    <w:rsid w:val="0029609C"/>
    <w:rsid w:val="0029615B"/>
    <w:rsid w:val="00296225"/>
    <w:rsid w:val="0029641B"/>
    <w:rsid w:val="0029657E"/>
    <w:rsid w:val="002965B5"/>
    <w:rsid w:val="00296863"/>
    <w:rsid w:val="00296A05"/>
    <w:rsid w:val="00296ADC"/>
    <w:rsid w:val="00296D44"/>
    <w:rsid w:val="00296F45"/>
    <w:rsid w:val="00297441"/>
    <w:rsid w:val="00297861"/>
    <w:rsid w:val="00297892"/>
    <w:rsid w:val="00297FCA"/>
    <w:rsid w:val="002A0080"/>
    <w:rsid w:val="002A06A4"/>
    <w:rsid w:val="002A09AD"/>
    <w:rsid w:val="002A0E33"/>
    <w:rsid w:val="002A1330"/>
    <w:rsid w:val="002A14FB"/>
    <w:rsid w:val="002A194E"/>
    <w:rsid w:val="002A2111"/>
    <w:rsid w:val="002A26E2"/>
    <w:rsid w:val="002A27EE"/>
    <w:rsid w:val="002A2809"/>
    <w:rsid w:val="002A2D72"/>
    <w:rsid w:val="002A2FB2"/>
    <w:rsid w:val="002A323A"/>
    <w:rsid w:val="002A35B8"/>
    <w:rsid w:val="002A360C"/>
    <w:rsid w:val="002A3E24"/>
    <w:rsid w:val="002A400D"/>
    <w:rsid w:val="002A4ADF"/>
    <w:rsid w:val="002A4B03"/>
    <w:rsid w:val="002A4D18"/>
    <w:rsid w:val="002A4F6F"/>
    <w:rsid w:val="002A4F90"/>
    <w:rsid w:val="002A5CCE"/>
    <w:rsid w:val="002A6302"/>
    <w:rsid w:val="002A6D4A"/>
    <w:rsid w:val="002A6D54"/>
    <w:rsid w:val="002A6D81"/>
    <w:rsid w:val="002A6EA6"/>
    <w:rsid w:val="002A6F8E"/>
    <w:rsid w:val="002A73BF"/>
    <w:rsid w:val="002A74EF"/>
    <w:rsid w:val="002A7690"/>
    <w:rsid w:val="002A7752"/>
    <w:rsid w:val="002A7CE7"/>
    <w:rsid w:val="002B084A"/>
    <w:rsid w:val="002B0EEA"/>
    <w:rsid w:val="002B1109"/>
    <w:rsid w:val="002B14DF"/>
    <w:rsid w:val="002B17BE"/>
    <w:rsid w:val="002B1F62"/>
    <w:rsid w:val="002B260E"/>
    <w:rsid w:val="002B27E4"/>
    <w:rsid w:val="002B2DE6"/>
    <w:rsid w:val="002B3829"/>
    <w:rsid w:val="002B3C35"/>
    <w:rsid w:val="002B3C59"/>
    <w:rsid w:val="002B3EE2"/>
    <w:rsid w:val="002B4186"/>
    <w:rsid w:val="002B41E5"/>
    <w:rsid w:val="002B42D7"/>
    <w:rsid w:val="002B4486"/>
    <w:rsid w:val="002B4A25"/>
    <w:rsid w:val="002B4B42"/>
    <w:rsid w:val="002B4E48"/>
    <w:rsid w:val="002B5670"/>
    <w:rsid w:val="002B5B39"/>
    <w:rsid w:val="002B5E19"/>
    <w:rsid w:val="002B5EF2"/>
    <w:rsid w:val="002B6306"/>
    <w:rsid w:val="002B6337"/>
    <w:rsid w:val="002B643A"/>
    <w:rsid w:val="002B664E"/>
    <w:rsid w:val="002B70B6"/>
    <w:rsid w:val="002B7549"/>
    <w:rsid w:val="002B791A"/>
    <w:rsid w:val="002B7C09"/>
    <w:rsid w:val="002C0424"/>
    <w:rsid w:val="002C08F7"/>
    <w:rsid w:val="002C0D82"/>
    <w:rsid w:val="002C14FE"/>
    <w:rsid w:val="002C1A31"/>
    <w:rsid w:val="002C1A8C"/>
    <w:rsid w:val="002C1BFB"/>
    <w:rsid w:val="002C1C51"/>
    <w:rsid w:val="002C1CCE"/>
    <w:rsid w:val="002C1D27"/>
    <w:rsid w:val="002C1D5A"/>
    <w:rsid w:val="002C1D5E"/>
    <w:rsid w:val="002C1FD1"/>
    <w:rsid w:val="002C21D7"/>
    <w:rsid w:val="002C22EF"/>
    <w:rsid w:val="002C23A1"/>
    <w:rsid w:val="002C24A7"/>
    <w:rsid w:val="002C2890"/>
    <w:rsid w:val="002C296B"/>
    <w:rsid w:val="002C29C7"/>
    <w:rsid w:val="002C2AFE"/>
    <w:rsid w:val="002C2E01"/>
    <w:rsid w:val="002C30E8"/>
    <w:rsid w:val="002C314E"/>
    <w:rsid w:val="002C32EB"/>
    <w:rsid w:val="002C37CD"/>
    <w:rsid w:val="002C3C00"/>
    <w:rsid w:val="002C3F42"/>
    <w:rsid w:val="002C4440"/>
    <w:rsid w:val="002C4442"/>
    <w:rsid w:val="002C475D"/>
    <w:rsid w:val="002C49D2"/>
    <w:rsid w:val="002C4B03"/>
    <w:rsid w:val="002C4BB8"/>
    <w:rsid w:val="002C5754"/>
    <w:rsid w:val="002C577B"/>
    <w:rsid w:val="002C5B51"/>
    <w:rsid w:val="002C5FB1"/>
    <w:rsid w:val="002C5FD9"/>
    <w:rsid w:val="002C6178"/>
    <w:rsid w:val="002C6200"/>
    <w:rsid w:val="002C65AF"/>
    <w:rsid w:val="002C6B62"/>
    <w:rsid w:val="002C6E1C"/>
    <w:rsid w:val="002C6F6F"/>
    <w:rsid w:val="002C7680"/>
    <w:rsid w:val="002C7840"/>
    <w:rsid w:val="002C7CF6"/>
    <w:rsid w:val="002D049B"/>
    <w:rsid w:val="002D1190"/>
    <w:rsid w:val="002D1349"/>
    <w:rsid w:val="002D1369"/>
    <w:rsid w:val="002D2343"/>
    <w:rsid w:val="002D24B3"/>
    <w:rsid w:val="002D291B"/>
    <w:rsid w:val="002D2A3A"/>
    <w:rsid w:val="002D2D16"/>
    <w:rsid w:val="002D2EAA"/>
    <w:rsid w:val="002D2F11"/>
    <w:rsid w:val="002D3157"/>
    <w:rsid w:val="002D44B3"/>
    <w:rsid w:val="002D460E"/>
    <w:rsid w:val="002D540A"/>
    <w:rsid w:val="002D6C3B"/>
    <w:rsid w:val="002D6C45"/>
    <w:rsid w:val="002D6D8F"/>
    <w:rsid w:val="002D72D8"/>
    <w:rsid w:val="002D72D9"/>
    <w:rsid w:val="002D7B7B"/>
    <w:rsid w:val="002D7FC6"/>
    <w:rsid w:val="002E0538"/>
    <w:rsid w:val="002E0883"/>
    <w:rsid w:val="002E088B"/>
    <w:rsid w:val="002E0E9E"/>
    <w:rsid w:val="002E15D6"/>
    <w:rsid w:val="002E29D1"/>
    <w:rsid w:val="002E2C07"/>
    <w:rsid w:val="002E3415"/>
    <w:rsid w:val="002E345C"/>
    <w:rsid w:val="002E3499"/>
    <w:rsid w:val="002E3F89"/>
    <w:rsid w:val="002E42CE"/>
    <w:rsid w:val="002E454C"/>
    <w:rsid w:val="002E456F"/>
    <w:rsid w:val="002E459E"/>
    <w:rsid w:val="002E4678"/>
    <w:rsid w:val="002E4816"/>
    <w:rsid w:val="002E481E"/>
    <w:rsid w:val="002E4A0C"/>
    <w:rsid w:val="002E4A60"/>
    <w:rsid w:val="002E4C9C"/>
    <w:rsid w:val="002E4FD3"/>
    <w:rsid w:val="002E50EF"/>
    <w:rsid w:val="002E569D"/>
    <w:rsid w:val="002E5F2A"/>
    <w:rsid w:val="002E61CE"/>
    <w:rsid w:val="002E6295"/>
    <w:rsid w:val="002E63EF"/>
    <w:rsid w:val="002E651B"/>
    <w:rsid w:val="002E6779"/>
    <w:rsid w:val="002E69BA"/>
    <w:rsid w:val="002E6E34"/>
    <w:rsid w:val="002E70B4"/>
    <w:rsid w:val="002E71CD"/>
    <w:rsid w:val="002E73CC"/>
    <w:rsid w:val="002E7436"/>
    <w:rsid w:val="002E7588"/>
    <w:rsid w:val="002E761D"/>
    <w:rsid w:val="002E7924"/>
    <w:rsid w:val="002E7A33"/>
    <w:rsid w:val="002E7AD7"/>
    <w:rsid w:val="002E7B4B"/>
    <w:rsid w:val="002F0470"/>
    <w:rsid w:val="002F069D"/>
    <w:rsid w:val="002F06AF"/>
    <w:rsid w:val="002F0A85"/>
    <w:rsid w:val="002F0E18"/>
    <w:rsid w:val="002F10FB"/>
    <w:rsid w:val="002F1202"/>
    <w:rsid w:val="002F1437"/>
    <w:rsid w:val="002F1CDA"/>
    <w:rsid w:val="002F1DA3"/>
    <w:rsid w:val="002F1F62"/>
    <w:rsid w:val="002F2272"/>
    <w:rsid w:val="002F235F"/>
    <w:rsid w:val="002F2B1A"/>
    <w:rsid w:val="002F3268"/>
    <w:rsid w:val="002F3722"/>
    <w:rsid w:val="002F388A"/>
    <w:rsid w:val="002F39FB"/>
    <w:rsid w:val="002F3AF7"/>
    <w:rsid w:val="002F3C3F"/>
    <w:rsid w:val="002F3F5A"/>
    <w:rsid w:val="002F43AD"/>
    <w:rsid w:val="002F4A4D"/>
    <w:rsid w:val="002F4F01"/>
    <w:rsid w:val="002F559D"/>
    <w:rsid w:val="002F5838"/>
    <w:rsid w:val="002F5938"/>
    <w:rsid w:val="002F5C63"/>
    <w:rsid w:val="002F617F"/>
    <w:rsid w:val="002F6732"/>
    <w:rsid w:val="002F6960"/>
    <w:rsid w:val="002F6AF5"/>
    <w:rsid w:val="002F7895"/>
    <w:rsid w:val="00300035"/>
    <w:rsid w:val="00300109"/>
    <w:rsid w:val="0030018A"/>
    <w:rsid w:val="003006BC"/>
    <w:rsid w:val="003006D4"/>
    <w:rsid w:val="00300844"/>
    <w:rsid w:val="00300AB3"/>
    <w:rsid w:val="00300C33"/>
    <w:rsid w:val="00300CA9"/>
    <w:rsid w:val="00300D85"/>
    <w:rsid w:val="00301066"/>
    <w:rsid w:val="00301250"/>
    <w:rsid w:val="00301575"/>
    <w:rsid w:val="00301755"/>
    <w:rsid w:val="00301CA0"/>
    <w:rsid w:val="00301EBE"/>
    <w:rsid w:val="00302023"/>
    <w:rsid w:val="00302071"/>
    <w:rsid w:val="00302369"/>
    <w:rsid w:val="0030283B"/>
    <w:rsid w:val="003028E4"/>
    <w:rsid w:val="00302AE9"/>
    <w:rsid w:val="00302F64"/>
    <w:rsid w:val="0030314E"/>
    <w:rsid w:val="00303150"/>
    <w:rsid w:val="00303547"/>
    <w:rsid w:val="00303ADF"/>
    <w:rsid w:val="00303C0F"/>
    <w:rsid w:val="00303F01"/>
    <w:rsid w:val="00304390"/>
    <w:rsid w:val="003043B3"/>
    <w:rsid w:val="00304D14"/>
    <w:rsid w:val="0030516F"/>
    <w:rsid w:val="00305409"/>
    <w:rsid w:val="003059DA"/>
    <w:rsid w:val="00305C0F"/>
    <w:rsid w:val="0030665E"/>
    <w:rsid w:val="00306824"/>
    <w:rsid w:val="00306894"/>
    <w:rsid w:val="003069AF"/>
    <w:rsid w:val="00306DA8"/>
    <w:rsid w:val="003070F7"/>
    <w:rsid w:val="0030730D"/>
    <w:rsid w:val="00307642"/>
    <w:rsid w:val="00307778"/>
    <w:rsid w:val="0030784F"/>
    <w:rsid w:val="003078D2"/>
    <w:rsid w:val="00307E40"/>
    <w:rsid w:val="0031005E"/>
    <w:rsid w:val="003101A4"/>
    <w:rsid w:val="003101FE"/>
    <w:rsid w:val="0031081B"/>
    <w:rsid w:val="00310BBA"/>
    <w:rsid w:val="00310DBF"/>
    <w:rsid w:val="003110CD"/>
    <w:rsid w:val="00311270"/>
    <w:rsid w:val="00311388"/>
    <w:rsid w:val="00311446"/>
    <w:rsid w:val="00311722"/>
    <w:rsid w:val="00311A42"/>
    <w:rsid w:val="00311CD3"/>
    <w:rsid w:val="00312074"/>
    <w:rsid w:val="003122F4"/>
    <w:rsid w:val="003124A8"/>
    <w:rsid w:val="003127F3"/>
    <w:rsid w:val="00312A2D"/>
    <w:rsid w:val="00312EFF"/>
    <w:rsid w:val="003135CB"/>
    <w:rsid w:val="00313601"/>
    <w:rsid w:val="0031369F"/>
    <w:rsid w:val="00313ED0"/>
    <w:rsid w:val="00313F45"/>
    <w:rsid w:val="00314609"/>
    <w:rsid w:val="00314722"/>
    <w:rsid w:val="00314843"/>
    <w:rsid w:val="0031492D"/>
    <w:rsid w:val="00314CD2"/>
    <w:rsid w:val="00314D70"/>
    <w:rsid w:val="00314E75"/>
    <w:rsid w:val="00315112"/>
    <w:rsid w:val="00315351"/>
    <w:rsid w:val="003154AA"/>
    <w:rsid w:val="00315B92"/>
    <w:rsid w:val="00315EBF"/>
    <w:rsid w:val="00316950"/>
    <w:rsid w:val="00316964"/>
    <w:rsid w:val="00316D10"/>
    <w:rsid w:val="00316D71"/>
    <w:rsid w:val="00316EBC"/>
    <w:rsid w:val="00316F45"/>
    <w:rsid w:val="003170B4"/>
    <w:rsid w:val="00317396"/>
    <w:rsid w:val="003173DA"/>
    <w:rsid w:val="0031759F"/>
    <w:rsid w:val="003175FF"/>
    <w:rsid w:val="00317705"/>
    <w:rsid w:val="00317976"/>
    <w:rsid w:val="00317E42"/>
    <w:rsid w:val="00317EAF"/>
    <w:rsid w:val="00320041"/>
    <w:rsid w:val="00320427"/>
    <w:rsid w:val="0032047A"/>
    <w:rsid w:val="00320705"/>
    <w:rsid w:val="00320A10"/>
    <w:rsid w:val="00320B87"/>
    <w:rsid w:val="0032159E"/>
    <w:rsid w:val="0032181C"/>
    <w:rsid w:val="00321871"/>
    <w:rsid w:val="003219AC"/>
    <w:rsid w:val="00322193"/>
    <w:rsid w:val="00322982"/>
    <w:rsid w:val="00322C27"/>
    <w:rsid w:val="0032387A"/>
    <w:rsid w:val="00323B2E"/>
    <w:rsid w:val="00323D31"/>
    <w:rsid w:val="00324973"/>
    <w:rsid w:val="00325253"/>
    <w:rsid w:val="00325344"/>
    <w:rsid w:val="00325638"/>
    <w:rsid w:val="00325661"/>
    <w:rsid w:val="00325693"/>
    <w:rsid w:val="003256AC"/>
    <w:rsid w:val="00325B78"/>
    <w:rsid w:val="00325C3D"/>
    <w:rsid w:val="003261A0"/>
    <w:rsid w:val="003261B8"/>
    <w:rsid w:val="00326262"/>
    <w:rsid w:val="00326581"/>
    <w:rsid w:val="0032659F"/>
    <w:rsid w:val="0032669B"/>
    <w:rsid w:val="003268D5"/>
    <w:rsid w:val="003269B0"/>
    <w:rsid w:val="00326BE2"/>
    <w:rsid w:val="00326E9A"/>
    <w:rsid w:val="0032753A"/>
    <w:rsid w:val="00330120"/>
    <w:rsid w:val="0033018C"/>
    <w:rsid w:val="003303B7"/>
    <w:rsid w:val="00330475"/>
    <w:rsid w:val="003305EA"/>
    <w:rsid w:val="003309FD"/>
    <w:rsid w:val="003310F5"/>
    <w:rsid w:val="003311F4"/>
    <w:rsid w:val="00331393"/>
    <w:rsid w:val="0033165D"/>
    <w:rsid w:val="00331B64"/>
    <w:rsid w:val="00331C35"/>
    <w:rsid w:val="00331CFB"/>
    <w:rsid w:val="00331D37"/>
    <w:rsid w:val="003324CE"/>
    <w:rsid w:val="00332512"/>
    <w:rsid w:val="00332904"/>
    <w:rsid w:val="00332986"/>
    <w:rsid w:val="00332B7F"/>
    <w:rsid w:val="00333054"/>
    <w:rsid w:val="003330D2"/>
    <w:rsid w:val="00333696"/>
    <w:rsid w:val="00333D17"/>
    <w:rsid w:val="003348E3"/>
    <w:rsid w:val="00334C34"/>
    <w:rsid w:val="00334DFF"/>
    <w:rsid w:val="00334F97"/>
    <w:rsid w:val="00335073"/>
    <w:rsid w:val="0033550F"/>
    <w:rsid w:val="003358F0"/>
    <w:rsid w:val="00335CAB"/>
    <w:rsid w:val="00336BB7"/>
    <w:rsid w:val="00337175"/>
    <w:rsid w:val="00337860"/>
    <w:rsid w:val="00337A84"/>
    <w:rsid w:val="00337AAA"/>
    <w:rsid w:val="00337D38"/>
    <w:rsid w:val="00337F6B"/>
    <w:rsid w:val="00337FBC"/>
    <w:rsid w:val="0034014E"/>
    <w:rsid w:val="003402BF"/>
    <w:rsid w:val="003403E4"/>
    <w:rsid w:val="00340409"/>
    <w:rsid w:val="003404EC"/>
    <w:rsid w:val="00340C14"/>
    <w:rsid w:val="00340C6E"/>
    <w:rsid w:val="003411F5"/>
    <w:rsid w:val="00341589"/>
    <w:rsid w:val="003416C7"/>
    <w:rsid w:val="00341E04"/>
    <w:rsid w:val="00341F85"/>
    <w:rsid w:val="0034244F"/>
    <w:rsid w:val="00342535"/>
    <w:rsid w:val="00342AE8"/>
    <w:rsid w:val="00343426"/>
    <w:rsid w:val="003435F7"/>
    <w:rsid w:val="00343644"/>
    <w:rsid w:val="003436E8"/>
    <w:rsid w:val="00343736"/>
    <w:rsid w:val="00343A3E"/>
    <w:rsid w:val="00343C22"/>
    <w:rsid w:val="00343CA1"/>
    <w:rsid w:val="0034405E"/>
    <w:rsid w:val="0034423E"/>
    <w:rsid w:val="0034466B"/>
    <w:rsid w:val="003448F6"/>
    <w:rsid w:val="00344DE8"/>
    <w:rsid w:val="00344E74"/>
    <w:rsid w:val="003450E1"/>
    <w:rsid w:val="003451A7"/>
    <w:rsid w:val="0034544F"/>
    <w:rsid w:val="0034546E"/>
    <w:rsid w:val="00345700"/>
    <w:rsid w:val="003459FC"/>
    <w:rsid w:val="00345B27"/>
    <w:rsid w:val="00345CE0"/>
    <w:rsid w:val="00345E9D"/>
    <w:rsid w:val="00346211"/>
    <w:rsid w:val="00346212"/>
    <w:rsid w:val="00346384"/>
    <w:rsid w:val="0034649B"/>
    <w:rsid w:val="00346675"/>
    <w:rsid w:val="00346740"/>
    <w:rsid w:val="00346947"/>
    <w:rsid w:val="00346A8B"/>
    <w:rsid w:val="00350759"/>
    <w:rsid w:val="00350F8F"/>
    <w:rsid w:val="00351A40"/>
    <w:rsid w:val="00351FA7"/>
    <w:rsid w:val="00352462"/>
    <w:rsid w:val="0035258A"/>
    <w:rsid w:val="003527CA"/>
    <w:rsid w:val="00352AC4"/>
    <w:rsid w:val="003532BE"/>
    <w:rsid w:val="00353356"/>
    <w:rsid w:val="0035361B"/>
    <w:rsid w:val="003545F8"/>
    <w:rsid w:val="00354683"/>
    <w:rsid w:val="003546B7"/>
    <w:rsid w:val="003547C0"/>
    <w:rsid w:val="003547FC"/>
    <w:rsid w:val="00354D27"/>
    <w:rsid w:val="00354E42"/>
    <w:rsid w:val="00354E53"/>
    <w:rsid w:val="00354F22"/>
    <w:rsid w:val="0035503E"/>
    <w:rsid w:val="003550AA"/>
    <w:rsid w:val="003555AB"/>
    <w:rsid w:val="003556E3"/>
    <w:rsid w:val="00355C4F"/>
    <w:rsid w:val="00355EBC"/>
    <w:rsid w:val="003568CB"/>
    <w:rsid w:val="00356907"/>
    <w:rsid w:val="0035738A"/>
    <w:rsid w:val="00357ACA"/>
    <w:rsid w:val="00357B26"/>
    <w:rsid w:val="003601F2"/>
    <w:rsid w:val="00360B53"/>
    <w:rsid w:val="00360CAC"/>
    <w:rsid w:val="003616AA"/>
    <w:rsid w:val="00361F25"/>
    <w:rsid w:val="00362014"/>
    <w:rsid w:val="0036239B"/>
    <w:rsid w:val="003625D0"/>
    <w:rsid w:val="00362F85"/>
    <w:rsid w:val="00363007"/>
    <w:rsid w:val="0036319E"/>
    <w:rsid w:val="003638AD"/>
    <w:rsid w:val="00363E74"/>
    <w:rsid w:val="00364189"/>
    <w:rsid w:val="00364DEA"/>
    <w:rsid w:val="00364E8E"/>
    <w:rsid w:val="003651CA"/>
    <w:rsid w:val="003653E0"/>
    <w:rsid w:val="003655A4"/>
    <w:rsid w:val="0036563E"/>
    <w:rsid w:val="00365936"/>
    <w:rsid w:val="0036595E"/>
    <w:rsid w:val="00365CFA"/>
    <w:rsid w:val="00365FBC"/>
    <w:rsid w:val="00366562"/>
    <w:rsid w:val="00366569"/>
    <w:rsid w:val="00366696"/>
    <w:rsid w:val="003667A9"/>
    <w:rsid w:val="00366974"/>
    <w:rsid w:val="00366A30"/>
    <w:rsid w:val="00366B38"/>
    <w:rsid w:val="00367408"/>
    <w:rsid w:val="00367707"/>
    <w:rsid w:val="00367CAE"/>
    <w:rsid w:val="00370982"/>
    <w:rsid w:val="00370CB3"/>
    <w:rsid w:val="00370DB1"/>
    <w:rsid w:val="00371082"/>
    <w:rsid w:val="003712D8"/>
    <w:rsid w:val="00371A99"/>
    <w:rsid w:val="0037200E"/>
    <w:rsid w:val="00372249"/>
    <w:rsid w:val="003722E6"/>
    <w:rsid w:val="00372471"/>
    <w:rsid w:val="003725FB"/>
    <w:rsid w:val="00372E47"/>
    <w:rsid w:val="00372EE8"/>
    <w:rsid w:val="00373335"/>
    <w:rsid w:val="00373A5C"/>
    <w:rsid w:val="00374562"/>
    <w:rsid w:val="00374576"/>
    <w:rsid w:val="00374B4E"/>
    <w:rsid w:val="00375596"/>
    <w:rsid w:val="00375F7D"/>
    <w:rsid w:val="00375FC1"/>
    <w:rsid w:val="0037633C"/>
    <w:rsid w:val="00376345"/>
    <w:rsid w:val="00376643"/>
    <w:rsid w:val="003767C5"/>
    <w:rsid w:val="003768FF"/>
    <w:rsid w:val="0037698A"/>
    <w:rsid w:val="00376A94"/>
    <w:rsid w:val="00376B33"/>
    <w:rsid w:val="00376B75"/>
    <w:rsid w:val="00376F37"/>
    <w:rsid w:val="003770A7"/>
    <w:rsid w:val="00377ADE"/>
    <w:rsid w:val="00377D85"/>
    <w:rsid w:val="00377ED7"/>
    <w:rsid w:val="003800EE"/>
    <w:rsid w:val="00380463"/>
    <w:rsid w:val="00380B54"/>
    <w:rsid w:val="00381078"/>
    <w:rsid w:val="003817C4"/>
    <w:rsid w:val="00381CD3"/>
    <w:rsid w:val="00381FFE"/>
    <w:rsid w:val="0038222D"/>
    <w:rsid w:val="003824CC"/>
    <w:rsid w:val="0038251C"/>
    <w:rsid w:val="00382A56"/>
    <w:rsid w:val="00382B0D"/>
    <w:rsid w:val="00382E8C"/>
    <w:rsid w:val="003831CE"/>
    <w:rsid w:val="00383409"/>
    <w:rsid w:val="00383826"/>
    <w:rsid w:val="00383BCF"/>
    <w:rsid w:val="00383EC7"/>
    <w:rsid w:val="00384D28"/>
    <w:rsid w:val="00384D41"/>
    <w:rsid w:val="003850B7"/>
    <w:rsid w:val="003852FF"/>
    <w:rsid w:val="00385464"/>
    <w:rsid w:val="00385522"/>
    <w:rsid w:val="00385530"/>
    <w:rsid w:val="003858A6"/>
    <w:rsid w:val="00385E52"/>
    <w:rsid w:val="00385F5F"/>
    <w:rsid w:val="003860E3"/>
    <w:rsid w:val="0038635B"/>
    <w:rsid w:val="0038642F"/>
    <w:rsid w:val="003866A2"/>
    <w:rsid w:val="00387580"/>
    <w:rsid w:val="0038758C"/>
    <w:rsid w:val="0038761B"/>
    <w:rsid w:val="00387A9D"/>
    <w:rsid w:val="00387C8E"/>
    <w:rsid w:val="00387D18"/>
    <w:rsid w:val="00387D7B"/>
    <w:rsid w:val="003901F7"/>
    <w:rsid w:val="00390361"/>
    <w:rsid w:val="00390661"/>
    <w:rsid w:val="00390B89"/>
    <w:rsid w:val="00390D22"/>
    <w:rsid w:val="00390EF9"/>
    <w:rsid w:val="003914AE"/>
    <w:rsid w:val="00391538"/>
    <w:rsid w:val="003915CE"/>
    <w:rsid w:val="00391802"/>
    <w:rsid w:val="003918FB"/>
    <w:rsid w:val="00391B25"/>
    <w:rsid w:val="00392250"/>
    <w:rsid w:val="0039294B"/>
    <w:rsid w:val="0039299F"/>
    <w:rsid w:val="00392C54"/>
    <w:rsid w:val="00392DCC"/>
    <w:rsid w:val="0039335D"/>
    <w:rsid w:val="00393BFB"/>
    <w:rsid w:val="00393D2D"/>
    <w:rsid w:val="00393E50"/>
    <w:rsid w:val="00393E80"/>
    <w:rsid w:val="00393F88"/>
    <w:rsid w:val="00394BAA"/>
    <w:rsid w:val="00394CCC"/>
    <w:rsid w:val="00395135"/>
    <w:rsid w:val="003952BC"/>
    <w:rsid w:val="00395698"/>
    <w:rsid w:val="00395A5F"/>
    <w:rsid w:val="00395B51"/>
    <w:rsid w:val="00395DF9"/>
    <w:rsid w:val="00396064"/>
    <w:rsid w:val="003964E8"/>
    <w:rsid w:val="003964EA"/>
    <w:rsid w:val="00396A4C"/>
    <w:rsid w:val="00396E28"/>
    <w:rsid w:val="00396F54"/>
    <w:rsid w:val="00397606"/>
    <w:rsid w:val="003978A0"/>
    <w:rsid w:val="003979FE"/>
    <w:rsid w:val="00397F64"/>
    <w:rsid w:val="00397F82"/>
    <w:rsid w:val="003A0117"/>
    <w:rsid w:val="003A0126"/>
    <w:rsid w:val="003A0532"/>
    <w:rsid w:val="003A0622"/>
    <w:rsid w:val="003A086E"/>
    <w:rsid w:val="003A1060"/>
    <w:rsid w:val="003A1757"/>
    <w:rsid w:val="003A1A47"/>
    <w:rsid w:val="003A1B3E"/>
    <w:rsid w:val="003A1CC3"/>
    <w:rsid w:val="003A2095"/>
    <w:rsid w:val="003A2373"/>
    <w:rsid w:val="003A272E"/>
    <w:rsid w:val="003A28B5"/>
    <w:rsid w:val="003A2B0E"/>
    <w:rsid w:val="003A304F"/>
    <w:rsid w:val="003A3519"/>
    <w:rsid w:val="003A3874"/>
    <w:rsid w:val="003A3D0D"/>
    <w:rsid w:val="003A3F89"/>
    <w:rsid w:val="003A4308"/>
    <w:rsid w:val="003A4848"/>
    <w:rsid w:val="003A4DBD"/>
    <w:rsid w:val="003A55CA"/>
    <w:rsid w:val="003A596D"/>
    <w:rsid w:val="003A5B36"/>
    <w:rsid w:val="003A5B84"/>
    <w:rsid w:val="003A5BB2"/>
    <w:rsid w:val="003A681E"/>
    <w:rsid w:val="003A6A91"/>
    <w:rsid w:val="003A6A9B"/>
    <w:rsid w:val="003A7338"/>
    <w:rsid w:val="003A7431"/>
    <w:rsid w:val="003A7566"/>
    <w:rsid w:val="003A75F1"/>
    <w:rsid w:val="003A772A"/>
    <w:rsid w:val="003A7FC3"/>
    <w:rsid w:val="003B0126"/>
    <w:rsid w:val="003B0271"/>
    <w:rsid w:val="003B038F"/>
    <w:rsid w:val="003B05DB"/>
    <w:rsid w:val="003B07AB"/>
    <w:rsid w:val="003B07BA"/>
    <w:rsid w:val="003B0802"/>
    <w:rsid w:val="003B0CA1"/>
    <w:rsid w:val="003B1A06"/>
    <w:rsid w:val="003B1C05"/>
    <w:rsid w:val="003B291F"/>
    <w:rsid w:val="003B2ADD"/>
    <w:rsid w:val="003B2C20"/>
    <w:rsid w:val="003B2D17"/>
    <w:rsid w:val="003B31AF"/>
    <w:rsid w:val="003B3415"/>
    <w:rsid w:val="003B3514"/>
    <w:rsid w:val="003B3A30"/>
    <w:rsid w:val="003B423A"/>
    <w:rsid w:val="003B432B"/>
    <w:rsid w:val="003B4755"/>
    <w:rsid w:val="003B4A2E"/>
    <w:rsid w:val="003B508C"/>
    <w:rsid w:val="003B514F"/>
    <w:rsid w:val="003B5264"/>
    <w:rsid w:val="003B549C"/>
    <w:rsid w:val="003B5A2F"/>
    <w:rsid w:val="003B5D7C"/>
    <w:rsid w:val="003B6056"/>
    <w:rsid w:val="003B6338"/>
    <w:rsid w:val="003B63F5"/>
    <w:rsid w:val="003B65DC"/>
    <w:rsid w:val="003B65E1"/>
    <w:rsid w:val="003B69E8"/>
    <w:rsid w:val="003B6CC5"/>
    <w:rsid w:val="003B726E"/>
    <w:rsid w:val="003B73C2"/>
    <w:rsid w:val="003B7876"/>
    <w:rsid w:val="003B78FE"/>
    <w:rsid w:val="003B7B6E"/>
    <w:rsid w:val="003B7F93"/>
    <w:rsid w:val="003C0127"/>
    <w:rsid w:val="003C043C"/>
    <w:rsid w:val="003C0581"/>
    <w:rsid w:val="003C0BD4"/>
    <w:rsid w:val="003C0DD6"/>
    <w:rsid w:val="003C1933"/>
    <w:rsid w:val="003C1945"/>
    <w:rsid w:val="003C1BBD"/>
    <w:rsid w:val="003C2161"/>
    <w:rsid w:val="003C24B4"/>
    <w:rsid w:val="003C2B23"/>
    <w:rsid w:val="003C383E"/>
    <w:rsid w:val="003C3B94"/>
    <w:rsid w:val="003C3F34"/>
    <w:rsid w:val="003C42DF"/>
    <w:rsid w:val="003C4512"/>
    <w:rsid w:val="003C46AC"/>
    <w:rsid w:val="003C50F4"/>
    <w:rsid w:val="003C54C4"/>
    <w:rsid w:val="003C56F4"/>
    <w:rsid w:val="003C6170"/>
    <w:rsid w:val="003C6882"/>
    <w:rsid w:val="003C6A01"/>
    <w:rsid w:val="003C6C17"/>
    <w:rsid w:val="003C6D36"/>
    <w:rsid w:val="003C6FD1"/>
    <w:rsid w:val="003C73DD"/>
    <w:rsid w:val="003C762B"/>
    <w:rsid w:val="003C769B"/>
    <w:rsid w:val="003C7891"/>
    <w:rsid w:val="003C7D89"/>
    <w:rsid w:val="003C7E7B"/>
    <w:rsid w:val="003D007E"/>
    <w:rsid w:val="003D0505"/>
    <w:rsid w:val="003D09E6"/>
    <w:rsid w:val="003D0B73"/>
    <w:rsid w:val="003D0E49"/>
    <w:rsid w:val="003D0E9B"/>
    <w:rsid w:val="003D0F0A"/>
    <w:rsid w:val="003D1349"/>
    <w:rsid w:val="003D16D2"/>
    <w:rsid w:val="003D1891"/>
    <w:rsid w:val="003D1979"/>
    <w:rsid w:val="003D2125"/>
    <w:rsid w:val="003D24CC"/>
    <w:rsid w:val="003D26B8"/>
    <w:rsid w:val="003D27E4"/>
    <w:rsid w:val="003D2821"/>
    <w:rsid w:val="003D29B1"/>
    <w:rsid w:val="003D2C52"/>
    <w:rsid w:val="003D2C56"/>
    <w:rsid w:val="003D2D95"/>
    <w:rsid w:val="003D2EAF"/>
    <w:rsid w:val="003D3E7C"/>
    <w:rsid w:val="003D4452"/>
    <w:rsid w:val="003D45B4"/>
    <w:rsid w:val="003D46D2"/>
    <w:rsid w:val="003D4749"/>
    <w:rsid w:val="003D4976"/>
    <w:rsid w:val="003D49B3"/>
    <w:rsid w:val="003D4A32"/>
    <w:rsid w:val="003D55AC"/>
    <w:rsid w:val="003D5B1C"/>
    <w:rsid w:val="003D5B78"/>
    <w:rsid w:val="003D5E44"/>
    <w:rsid w:val="003D6189"/>
    <w:rsid w:val="003D6569"/>
    <w:rsid w:val="003D65BF"/>
    <w:rsid w:val="003D66FD"/>
    <w:rsid w:val="003D67E7"/>
    <w:rsid w:val="003D6923"/>
    <w:rsid w:val="003D6A2F"/>
    <w:rsid w:val="003D6B36"/>
    <w:rsid w:val="003D6F47"/>
    <w:rsid w:val="003D71F5"/>
    <w:rsid w:val="003D730E"/>
    <w:rsid w:val="003D7416"/>
    <w:rsid w:val="003D7598"/>
    <w:rsid w:val="003D795A"/>
    <w:rsid w:val="003D7C63"/>
    <w:rsid w:val="003D7D20"/>
    <w:rsid w:val="003D7D3C"/>
    <w:rsid w:val="003E0110"/>
    <w:rsid w:val="003E0305"/>
    <w:rsid w:val="003E04B3"/>
    <w:rsid w:val="003E04EF"/>
    <w:rsid w:val="003E05C6"/>
    <w:rsid w:val="003E07BA"/>
    <w:rsid w:val="003E0B9D"/>
    <w:rsid w:val="003E0F5A"/>
    <w:rsid w:val="003E0FCF"/>
    <w:rsid w:val="003E10E7"/>
    <w:rsid w:val="003E1105"/>
    <w:rsid w:val="003E12DE"/>
    <w:rsid w:val="003E17C2"/>
    <w:rsid w:val="003E1E15"/>
    <w:rsid w:val="003E20D6"/>
    <w:rsid w:val="003E2400"/>
    <w:rsid w:val="003E264D"/>
    <w:rsid w:val="003E29BD"/>
    <w:rsid w:val="003E2BB0"/>
    <w:rsid w:val="003E2EA6"/>
    <w:rsid w:val="003E30D3"/>
    <w:rsid w:val="003E3AB0"/>
    <w:rsid w:val="003E3B93"/>
    <w:rsid w:val="003E3BF3"/>
    <w:rsid w:val="003E3E04"/>
    <w:rsid w:val="003E4033"/>
    <w:rsid w:val="003E42D8"/>
    <w:rsid w:val="003E464E"/>
    <w:rsid w:val="003E4B5E"/>
    <w:rsid w:val="003E4B94"/>
    <w:rsid w:val="003E4C8C"/>
    <w:rsid w:val="003E4D87"/>
    <w:rsid w:val="003E53CC"/>
    <w:rsid w:val="003E53E4"/>
    <w:rsid w:val="003E57CE"/>
    <w:rsid w:val="003E5893"/>
    <w:rsid w:val="003E5B52"/>
    <w:rsid w:val="003E5CDD"/>
    <w:rsid w:val="003E5FC6"/>
    <w:rsid w:val="003E6027"/>
    <w:rsid w:val="003E6250"/>
    <w:rsid w:val="003E62ED"/>
    <w:rsid w:val="003E645D"/>
    <w:rsid w:val="003E6C9D"/>
    <w:rsid w:val="003E6DB8"/>
    <w:rsid w:val="003E6F2B"/>
    <w:rsid w:val="003E6FB3"/>
    <w:rsid w:val="003E7119"/>
    <w:rsid w:val="003E74A5"/>
    <w:rsid w:val="003E77AC"/>
    <w:rsid w:val="003E79C5"/>
    <w:rsid w:val="003F0213"/>
    <w:rsid w:val="003F0376"/>
    <w:rsid w:val="003F0A7E"/>
    <w:rsid w:val="003F0F58"/>
    <w:rsid w:val="003F1002"/>
    <w:rsid w:val="003F158F"/>
    <w:rsid w:val="003F1730"/>
    <w:rsid w:val="003F1961"/>
    <w:rsid w:val="003F1B21"/>
    <w:rsid w:val="003F1B36"/>
    <w:rsid w:val="003F1C20"/>
    <w:rsid w:val="003F246C"/>
    <w:rsid w:val="003F255C"/>
    <w:rsid w:val="003F2AB5"/>
    <w:rsid w:val="003F2D8B"/>
    <w:rsid w:val="003F2FC2"/>
    <w:rsid w:val="003F38AF"/>
    <w:rsid w:val="003F3C4B"/>
    <w:rsid w:val="003F3D30"/>
    <w:rsid w:val="003F445E"/>
    <w:rsid w:val="003F475A"/>
    <w:rsid w:val="003F4948"/>
    <w:rsid w:val="003F4B02"/>
    <w:rsid w:val="003F5143"/>
    <w:rsid w:val="003F53EF"/>
    <w:rsid w:val="003F55C6"/>
    <w:rsid w:val="003F5DC5"/>
    <w:rsid w:val="003F65D9"/>
    <w:rsid w:val="003F680A"/>
    <w:rsid w:val="003F6875"/>
    <w:rsid w:val="003F6DEE"/>
    <w:rsid w:val="003F6E9A"/>
    <w:rsid w:val="003F72D3"/>
    <w:rsid w:val="003F7822"/>
    <w:rsid w:val="003F799F"/>
    <w:rsid w:val="003F7B0B"/>
    <w:rsid w:val="003F7B9B"/>
    <w:rsid w:val="003F7C1E"/>
    <w:rsid w:val="003F7E8D"/>
    <w:rsid w:val="0040002B"/>
    <w:rsid w:val="004001EC"/>
    <w:rsid w:val="00400283"/>
    <w:rsid w:val="0040063A"/>
    <w:rsid w:val="00400A6F"/>
    <w:rsid w:val="00401082"/>
    <w:rsid w:val="00401255"/>
    <w:rsid w:val="00401376"/>
    <w:rsid w:val="004015EB"/>
    <w:rsid w:val="004017B3"/>
    <w:rsid w:val="004017E4"/>
    <w:rsid w:val="004023AE"/>
    <w:rsid w:val="004024B6"/>
    <w:rsid w:val="00402B56"/>
    <w:rsid w:val="00402DE8"/>
    <w:rsid w:val="004030D6"/>
    <w:rsid w:val="0040325C"/>
    <w:rsid w:val="004033A6"/>
    <w:rsid w:val="004033B5"/>
    <w:rsid w:val="00403D64"/>
    <w:rsid w:val="00404448"/>
    <w:rsid w:val="00404740"/>
    <w:rsid w:val="004048E8"/>
    <w:rsid w:val="00404E6F"/>
    <w:rsid w:val="0040524F"/>
    <w:rsid w:val="004057BB"/>
    <w:rsid w:val="00405B20"/>
    <w:rsid w:val="00406246"/>
    <w:rsid w:val="00406257"/>
    <w:rsid w:val="004062A9"/>
    <w:rsid w:val="004063BA"/>
    <w:rsid w:val="00406628"/>
    <w:rsid w:val="004066AF"/>
    <w:rsid w:val="00406D86"/>
    <w:rsid w:val="00406F4A"/>
    <w:rsid w:val="00407068"/>
    <w:rsid w:val="00407076"/>
    <w:rsid w:val="004071B9"/>
    <w:rsid w:val="00407352"/>
    <w:rsid w:val="00410237"/>
    <w:rsid w:val="00410464"/>
    <w:rsid w:val="00410A57"/>
    <w:rsid w:val="00410D0F"/>
    <w:rsid w:val="00410FD2"/>
    <w:rsid w:val="00411600"/>
    <w:rsid w:val="004116D4"/>
    <w:rsid w:val="004118E0"/>
    <w:rsid w:val="0041203D"/>
    <w:rsid w:val="0041239B"/>
    <w:rsid w:val="00412570"/>
    <w:rsid w:val="0041287E"/>
    <w:rsid w:val="00412928"/>
    <w:rsid w:val="00412AD6"/>
    <w:rsid w:val="00412EAF"/>
    <w:rsid w:val="00413655"/>
    <w:rsid w:val="004138D6"/>
    <w:rsid w:val="00413A6E"/>
    <w:rsid w:val="00413A90"/>
    <w:rsid w:val="00414408"/>
    <w:rsid w:val="00414497"/>
    <w:rsid w:val="00414CB8"/>
    <w:rsid w:val="004159C3"/>
    <w:rsid w:val="00415B11"/>
    <w:rsid w:val="0041648B"/>
    <w:rsid w:val="00416762"/>
    <w:rsid w:val="00416A41"/>
    <w:rsid w:val="00416B6E"/>
    <w:rsid w:val="00416BB5"/>
    <w:rsid w:val="00416DA3"/>
    <w:rsid w:val="00416DB6"/>
    <w:rsid w:val="00416E55"/>
    <w:rsid w:val="00416ED4"/>
    <w:rsid w:val="00416EF1"/>
    <w:rsid w:val="00416EF6"/>
    <w:rsid w:val="00417614"/>
    <w:rsid w:val="00417808"/>
    <w:rsid w:val="004178BB"/>
    <w:rsid w:val="00417E6A"/>
    <w:rsid w:val="00417F72"/>
    <w:rsid w:val="004201E4"/>
    <w:rsid w:val="00420450"/>
    <w:rsid w:val="00420510"/>
    <w:rsid w:val="004209B0"/>
    <w:rsid w:val="00420AD4"/>
    <w:rsid w:val="00420C3D"/>
    <w:rsid w:val="00420E0C"/>
    <w:rsid w:val="00420E0F"/>
    <w:rsid w:val="004210D7"/>
    <w:rsid w:val="004210E1"/>
    <w:rsid w:val="004211B5"/>
    <w:rsid w:val="004211BF"/>
    <w:rsid w:val="004212E0"/>
    <w:rsid w:val="00421345"/>
    <w:rsid w:val="0042163E"/>
    <w:rsid w:val="004216BB"/>
    <w:rsid w:val="00421755"/>
    <w:rsid w:val="004217C5"/>
    <w:rsid w:val="004218C5"/>
    <w:rsid w:val="00421B2F"/>
    <w:rsid w:val="00421B44"/>
    <w:rsid w:val="00421CD0"/>
    <w:rsid w:val="00421D4C"/>
    <w:rsid w:val="0042201B"/>
    <w:rsid w:val="004222CD"/>
    <w:rsid w:val="00422320"/>
    <w:rsid w:val="00422463"/>
    <w:rsid w:val="00423097"/>
    <w:rsid w:val="0042321E"/>
    <w:rsid w:val="00423291"/>
    <w:rsid w:val="0042338C"/>
    <w:rsid w:val="004239BC"/>
    <w:rsid w:val="00423E53"/>
    <w:rsid w:val="00424543"/>
    <w:rsid w:val="00424B00"/>
    <w:rsid w:val="00424E33"/>
    <w:rsid w:val="0042518A"/>
    <w:rsid w:val="004251E9"/>
    <w:rsid w:val="00425267"/>
    <w:rsid w:val="004254EE"/>
    <w:rsid w:val="0042573A"/>
    <w:rsid w:val="00425FB6"/>
    <w:rsid w:val="00426266"/>
    <w:rsid w:val="00426751"/>
    <w:rsid w:val="00426999"/>
    <w:rsid w:val="004269A3"/>
    <w:rsid w:val="00426E0D"/>
    <w:rsid w:val="004276A0"/>
    <w:rsid w:val="00427785"/>
    <w:rsid w:val="004277A6"/>
    <w:rsid w:val="0042789C"/>
    <w:rsid w:val="00427BF9"/>
    <w:rsid w:val="004301F7"/>
    <w:rsid w:val="00430268"/>
    <w:rsid w:val="004302A8"/>
    <w:rsid w:val="004302EE"/>
    <w:rsid w:val="00430480"/>
    <w:rsid w:val="0043052B"/>
    <w:rsid w:val="00430C42"/>
    <w:rsid w:val="00430D49"/>
    <w:rsid w:val="00430DC1"/>
    <w:rsid w:val="00430ECB"/>
    <w:rsid w:val="00431701"/>
    <w:rsid w:val="00431A4B"/>
    <w:rsid w:val="00431CBA"/>
    <w:rsid w:val="00431CEA"/>
    <w:rsid w:val="00431DA7"/>
    <w:rsid w:val="004324CB"/>
    <w:rsid w:val="004327DE"/>
    <w:rsid w:val="004329BE"/>
    <w:rsid w:val="00432C03"/>
    <w:rsid w:val="00432E85"/>
    <w:rsid w:val="004330C9"/>
    <w:rsid w:val="00433301"/>
    <w:rsid w:val="00433491"/>
    <w:rsid w:val="004339E3"/>
    <w:rsid w:val="00434110"/>
    <w:rsid w:val="00434176"/>
    <w:rsid w:val="0043447F"/>
    <w:rsid w:val="00434769"/>
    <w:rsid w:val="00434BAE"/>
    <w:rsid w:val="00434C40"/>
    <w:rsid w:val="004356B1"/>
    <w:rsid w:val="00435974"/>
    <w:rsid w:val="0043599F"/>
    <w:rsid w:val="00436506"/>
    <w:rsid w:val="004366CA"/>
    <w:rsid w:val="00436A32"/>
    <w:rsid w:val="00437055"/>
    <w:rsid w:val="004370BC"/>
    <w:rsid w:val="004370FB"/>
    <w:rsid w:val="00437331"/>
    <w:rsid w:val="00437797"/>
    <w:rsid w:val="00437A53"/>
    <w:rsid w:val="004400B1"/>
    <w:rsid w:val="0044034D"/>
    <w:rsid w:val="00440418"/>
    <w:rsid w:val="0044091D"/>
    <w:rsid w:val="004411AD"/>
    <w:rsid w:val="004413E0"/>
    <w:rsid w:val="0044144B"/>
    <w:rsid w:val="00441769"/>
    <w:rsid w:val="00441A3C"/>
    <w:rsid w:val="00441A3F"/>
    <w:rsid w:val="00441D15"/>
    <w:rsid w:val="00441D28"/>
    <w:rsid w:val="004421BA"/>
    <w:rsid w:val="004421C5"/>
    <w:rsid w:val="00442731"/>
    <w:rsid w:val="00442734"/>
    <w:rsid w:val="004428FB"/>
    <w:rsid w:val="00442A81"/>
    <w:rsid w:val="00442C1B"/>
    <w:rsid w:val="00442CA1"/>
    <w:rsid w:val="004433B1"/>
    <w:rsid w:val="00443535"/>
    <w:rsid w:val="004436E2"/>
    <w:rsid w:val="0044394F"/>
    <w:rsid w:val="004439B3"/>
    <w:rsid w:val="00444016"/>
    <w:rsid w:val="0044440A"/>
    <w:rsid w:val="00445265"/>
    <w:rsid w:val="004452BB"/>
    <w:rsid w:val="00445444"/>
    <w:rsid w:val="00445554"/>
    <w:rsid w:val="00445796"/>
    <w:rsid w:val="00445882"/>
    <w:rsid w:val="004458E3"/>
    <w:rsid w:val="004458FF"/>
    <w:rsid w:val="00445A26"/>
    <w:rsid w:val="0044605A"/>
    <w:rsid w:val="00446185"/>
    <w:rsid w:val="0044664D"/>
    <w:rsid w:val="004468D5"/>
    <w:rsid w:val="00446F8C"/>
    <w:rsid w:val="00447464"/>
    <w:rsid w:val="00447767"/>
    <w:rsid w:val="00447800"/>
    <w:rsid w:val="0044794E"/>
    <w:rsid w:val="00450223"/>
    <w:rsid w:val="00450895"/>
    <w:rsid w:val="00450A6A"/>
    <w:rsid w:val="00450CD0"/>
    <w:rsid w:val="004510C9"/>
    <w:rsid w:val="0045144A"/>
    <w:rsid w:val="00451A26"/>
    <w:rsid w:val="00451B3D"/>
    <w:rsid w:val="00451B78"/>
    <w:rsid w:val="00451C52"/>
    <w:rsid w:val="00451DF7"/>
    <w:rsid w:val="00452545"/>
    <w:rsid w:val="004525F0"/>
    <w:rsid w:val="0045262A"/>
    <w:rsid w:val="0045264F"/>
    <w:rsid w:val="00452767"/>
    <w:rsid w:val="004527A0"/>
    <w:rsid w:val="0045281A"/>
    <w:rsid w:val="0045286B"/>
    <w:rsid w:val="00453275"/>
    <w:rsid w:val="00453396"/>
    <w:rsid w:val="00453488"/>
    <w:rsid w:val="004536AA"/>
    <w:rsid w:val="00453B3B"/>
    <w:rsid w:val="00453BCB"/>
    <w:rsid w:val="00453DBB"/>
    <w:rsid w:val="00454265"/>
    <w:rsid w:val="004544DD"/>
    <w:rsid w:val="0045450E"/>
    <w:rsid w:val="0045489B"/>
    <w:rsid w:val="004549C1"/>
    <w:rsid w:val="00454AC7"/>
    <w:rsid w:val="00454B1B"/>
    <w:rsid w:val="00454C6C"/>
    <w:rsid w:val="00454F77"/>
    <w:rsid w:val="00455125"/>
    <w:rsid w:val="004552CD"/>
    <w:rsid w:val="00455648"/>
    <w:rsid w:val="00455731"/>
    <w:rsid w:val="004559CE"/>
    <w:rsid w:val="00455AEA"/>
    <w:rsid w:val="00455E0B"/>
    <w:rsid w:val="00455F83"/>
    <w:rsid w:val="004561A8"/>
    <w:rsid w:val="004562CB"/>
    <w:rsid w:val="00456704"/>
    <w:rsid w:val="004569A7"/>
    <w:rsid w:val="004569D5"/>
    <w:rsid w:val="00456CAD"/>
    <w:rsid w:val="00456DD9"/>
    <w:rsid w:val="004570D5"/>
    <w:rsid w:val="0045723F"/>
    <w:rsid w:val="00457385"/>
    <w:rsid w:val="004574F9"/>
    <w:rsid w:val="0045757A"/>
    <w:rsid w:val="00457880"/>
    <w:rsid w:val="00457EF9"/>
    <w:rsid w:val="00457F57"/>
    <w:rsid w:val="004606C6"/>
    <w:rsid w:val="0046086E"/>
    <w:rsid w:val="00460C2B"/>
    <w:rsid w:val="00460DB4"/>
    <w:rsid w:val="00460DE5"/>
    <w:rsid w:val="00460E1A"/>
    <w:rsid w:val="00460E6C"/>
    <w:rsid w:val="00460FAF"/>
    <w:rsid w:val="00461155"/>
    <w:rsid w:val="0046134E"/>
    <w:rsid w:val="004615E8"/>
    <w:rsid w:val="00461AD1"/>
    <w:rsid w:val="004620EC"/>
    <w:rsid w:val="004621EA"/>
    <w:rsid w:val="0046245E"/>
    <w:rsid w:val="0046279F"/>
    <w:rsid w:val="0046308A"/>
    <w:rsid w:val="00463B29"/>
    <w:rsid w:val="00463BE4"/>
    <w:rsid w:val="00463C92"/>
    <w:rsid w:val="00463DF8"/>
    <w:rsid w:val="00463E35"/>
    <w:rsid w:val="00463FEE"/>
    <w:rsid w:val="00464121"/>
    <w:rsid w:val="004643B7"/>
    <w:rsid w:val="004647EB"/>
    <w:rsid w:val="0046491B"/>
    <w:rsid w:val="00464D63"/>
    <w:rsid w:val="00465163"/>
    <w:rsid w:val="004656B7"/>
    <w:rsid w:val="00465860"/>
    <w:rsid w:val="004659D8"/>
    <w:rsid w:val="00465BE7"/>
    <w:rsid w:val="0046612F"/>
    <w:rsid w:val="004661E5"/>
    <w:rsid w:val="004666D3"/>
    <w:rsid w:val="004669BF"/>
    <w:rsid w:val="00466B95"/>
    <w:rsid w:val="00466E7B"/>
    <w:rsid w:val="00466F5E"/>
    <w:rsid w:val="00467D83"/>
    <w:rsid w:val="00470316"/>
    <w:rsid w:val="004703DB"/>
    <w:rsid w:val="004704EA"/>
    <w:rsid w:val="00470663"/>
    <w:rsid w:val="00470AFD"/>
    <w:rsid w:val="00471331"/>
    <w:rsid w:val="004713BF"/>
    <w:rsid w:val="00471966"/>
    <w:rsid w:val="00471E47"/>
    <w:rsid w:val="00471FDD"/>
    <w:rsid w:val="00472272"/>
    <w:rsid w:val="00472672"/>
    <w:rsid w:val="00472F46"/>
    <w:rsid w:val="0047313B"/>
    <w:rsid w:val="004732EB"/>
    <w:rsid w:val="004733D3"/>
    <w:rsid w:val="0047360E"/>
    <w:rsid w:val="0047367C"/>
    <w:rsid w:val="00473CCD"/>
    <w:rsid w:val="00474545"/>
    <w:rsid w:val="00474E08"/>
    <w:rsid w:val="00474E2F"/>
    <w:rsid w:val="00475085"/>
    <w:rsid w:val="004752A3"/>
    <w:rsid w:val="0047533B"/>
    <w:rsid w:val="00475762"/>
    <w:rsid w:val="004757D7"/>
    <w:rsid w:val="004758A1"/>
    <w:rsid w:val="00476002"/>
    <w:rsid w:val="00476235"/>
    <w:rsid w:val="004763F1"/>
    <w:rsid w:val="0047650F"/>
    <w:rsid w:val="004765A2"/>
    <w:rsid w:val="004765DA"/>
    <w:rsid w:val="0047676A"/>
    <w:rsid w:val="004767FB"/>
    <w:rsid w:val="004768EF"/>
    <w:rsid w:val="004769EF"/>
    <w:rsid w:val="00476B4D"/>
    <w:rsid w:val="00476C60"/>
    <w:rsid w:val="00476CF6"/>
    <w:rsid w:val="00476D97"/>
    <w:rsid w:val="0047701B"/>
    <w:rsid w:val="0047784B"/>
    <w:rsid w:val="004778A9"/>
    <w:rsid w:val="00477AA8"/>
    <w:rsid w:val="00477CCB"/>
    <w:rsid w:val="00477CF7"/>
    <w:rsid w:val="004800B3"/>
    <w:rsid w:val="0048045F"/>
    <w:rsid w:val="004805BC"/>
    <w:rsid w:val="00480630"/>
    <w:rsid w:val="00481652"/>
    <w:rsid w:val="0048183A"/>
    <w:rsid w:val="00481BD9"/>
    <w:rsid w:val="00481DB7"/>
    <w:rsid w:val="00481EBA"/>
    <w:rsid w:val="00482411"/>
    <w:rsid w:val="004824F3"/>
    <w:rsid w:val="0048250D"/>
    <w:rsid w:val="00482868"/>
    <w:rsid w:val="00482FB3"/>
    <w:rsid w:val="00483068"/>
    <w:rsid w:val="004830BB"/>
    <w:rsid w:val="00483577"/>
    <w:rsid w:val="004837BA"/>
    <w:rsid w:val="00483C25"/>
    <w:rsid w:val="00483E6C"/>
    <w:rsid w:val="0048435C"/>
    <w:rsid w:val="00484595"/>
    <w:rsid w:val="004845E8"/>
    <w:rsid w:val="0048468E"/>
    <w:rsid w:val="00484742"/>
    <w:rsid w:val="00484AC3"/>
    <w:rsid w:val="00484B46"/>
    <w:rsid w:val="00484FB0"/>
    <w:rsid w:val="004857F9"/>
    <w:rsid w:val="00485C49"/>
    <w:rsid w:val="00485E96"/>
    <w:rsid w:val="00485EE1"/>
    <w:rsid w:val="00485F1C"/>
    <w:rsid w:val="00486569"/>
    <w:rsid w:val="004866D5"/>
    <w:rsid w:val="00486B85"/>
    <w:rsid w:val="004872D1"/>
    <w:rsid w:val="004875CB"/>
    <w:rsid w:val="00487829"/>
    <w:rsid w:val="00490695"/>
    <w:rsid w:val="004908D1"/>
    <w:rsid w:val="00490ACA"/>
    <w:rsid w:val="00490BA4"/>
    <w:rsid w:val="00490BDC"/>
    <w:rsid w:val="00490E22"/>
    <w:rsid w:val="004912D1"/>
    <w:rsid w:val="00491465"/>
    <w:rsid w:val="004914A5"/>
    <w:rsid w:val="00491AB3"/>
    <w:rsid w:val="00491BA4"/>
    <w:rsid w:val="00492342"/>
    <w:rsid w:val="00492355"/>
    <w:rsid w:val="00492529"/>
    <w:rsid w:val="00492FCB"/>
    <w:rsid w:val="00493025"/>
    <w:rsid w:val="0049319D"/>
    <w:rsid w:val="004932BE"/>
    <w:rsid w:val="004933F7"/>
    <w:rsid w:val="00493472"/>
    <w:rsid w:val="0049386B"/>
    <w:rsid w:val="00493E27"/>
    <w:rsid w:val="00494849"/>
    <w:rsid w:val="00494EAE"/>
    <w:rsid w:val="00494FC6"/>
    <w:rsid w:val="0049517E"/>
    <w:rsid w:val="0049532F"/>
    <w:rsid w:val="00495699"/>
    <w:rsid w:val="004957F4"/>
    <w:rsid w:val="0049583C"/>
    <w:rsid w:val="00495D25"/>
    <w:rsid w:val="004962A7"/>
    <w:rsid w:val="0049655D"/>
    <w:rsid w:val="00496810"/>
    <w:rsid w:val="00496AAD"/>
    <w:rsid w:val="004972AF"/>
    <w:rsid w:val="00497387"/>
    <w:rsid w:val="0049770F"/>
    <w:rsid w:val="00497B01"/>
    <w:rsid w:val="00497B0D"/>
    <w:rsid w:val="00497C90"/>
    <w:rsid w:val="00497CB1"/>
    <w:rsid w:val="00497CD4"/>
    <w:rsid w:val="00497CDC"/>
    <w:rsid w:val="004A02F4"/>
    <w:rsid w:val="004A0662"/>
    <w:rsid w:val="004A0F11"/>
    <w:rsid w:val="004A137D"/>
    <w:rsid w:val="004A1740"/>
    <w:rsid w:val="004A176D"/>
    <w:rsid w:val="004A1D4B"/>
    <w:rsid w:val="004A1E38"/>
    <w:rsid w:val="004A1E71"/>
    <w:rsid w:val="004A20CC"/>
    <w:rsid w:val="004A25BB"/>
    <w:rsid w:val="004A25D2"/>
    <w:rsid w:val="004A27BF"/>
    <w:rsid w:val="004A2D5A"/>
    <w:rsid w:val="004A2EA5"/>
    <w:rsid w:val="004A318E"/>
    <w:rsid w:val="004A3611"/>
    <w:rsid w:val="004A361E"/>
    <w:rsid w:val="004A3A0E"/>
    <w:rsid w:val="004A3D63"/>
    <w:rsid w:val="004A3EAA"/>
    <w:rsid w:val="004A3FFB"/>
    <w:rsid w:val="004A421A"/>
    <w:rsid w:val="004A42E9"/>
    <w:rsid w:val="004A48AB"/>
    <w:rsid w:val="004A5395"/>
    <w:rsid w:val="004A579F"/>
    <w:rsid w:val="004A6048"/>
    <w:rsid w:val="004A674B"/>
    <w:rsid w:val="004A6A90"/>
    <w:rsid w:val="004A6C86"/>
    <w:rsid w:val="004A7115"/>
    <w:rsid w:val="004A7872"/>
    <w:rsid w:val="004A7D97"/>
    <w:rsid w:val="004A7EC4"/>
    <w:rsid w:val="004A7EDB"/>
    <w:rsid w:val="004B0178"/>
    <w:rsid w:val="004B0512"/>
    <w:rsid w:val="004B0562"/>
    <w:rsid w:val="004B056D"/>
    <w:rsid w:val="004B087F"/>
    <w:rsid w:val="004B0E22"/>
    <w:rsid w:val="004B1076"/>
    <w:rsid w:val="004B13F1"/>
    <w:rsid w:val="004B17F0"/>
    <w:rsid w:val="004B21FF"/>
    <w:rsid w:val="004B25BB"/>
    <w:rsid w:val="004B25E3"/>
    <w:rsid w:val="004B3D37"/>
    <w:rsid w:val="004B3EDC"/>
    <w:rsid w:val="004B4395"/>
    <w:rsid w:val="004B5065"/>
    <w:rsid w:val="004B5133"/>
    <w:rsid w:val="004B51C9"/>
    <w:rsid w:val="004B55B9"/>
    <w:rsid w:val="004B55FE"/>
    <w:rsid w:val="004B5DF2"/>
    <w:rsid w:val="004B5E75"/>
    <w:rsid w:val="004B5EED"/>
    <w:rsid w:val="004B62E4"/>
    <w:rsid w:val="004B6486"/>
    <w:rsid w:val="004B64C5"/>
    <w:rsid w:val="004B64CE"/>
    <w:rsid w:val="004B67F7"/>
    <w:rsid w:val="004B6A7E"/>
    <w:rsid w:val="004B6B17"/>
    <w:rsid w:val="004B6B99"/>
    <w:rsid w:val="004B6C22"/>
    <w:rsid w:val="004B6F38"/>
    <w:rsid w:val="004B70B3"/>
    <w:rsid w:val="004B7113"/>
    <w:rsid w:val="004B753D"/>
    <w:rsid w:val="004B755E"/>
    <w:rsid w:val="004B7AFC"/>
    <w:rsid w:val="004B7E81"/>
    <w:rsid w:val="004B7FA7"/>
    <w:rsid w:val="004C02B3"/>
    <w:rsid w:val="004C08DD"/>
    <w:rsid w:val="004C0D93"/>
    <w:rsid w:val="004C0F3D"/>
    <w:rsid w:val="004C1063"/>
    <w:rsid w:val="004C18D4"/>
    <w:rsid w:val="004C19BD"/>
    <w:rsid w:val="004C1D0C"/>
    <w:rsid w:val="004C2034"/>
    <w:rsid w:val="004C251D"/>
    <w:rsid w:val="004C292D"/>
    <w:rsid w:val="004C296C"/>
    <w:rsid w:val="004C2AE8"/>
    <w:rsid w:val="004C2E61"/>
    <w:rsid w:val="004C2EB6"/>
    <w:rsid w:val="004C2F36"/>
    <w:rsid w:val="004C31C1"/>
    <w:rsid w:val="004C350D"/>
    <w:rsid w:val="004C38B6"/>
    <w:rsid w:val="004C38CF"/>
    <w:rsid w:val="004C39EE"/>
    <w:rsid w:val="004C3ABF"/>
    <w:rsid w:val="004C41B6"/>
    <w:rsid w:val="004C4CA6"/>
    <w:rsid w:val="004C4F1E"/>
    <w:rsid w:val="004C5020"/>
    <w:rsid w:val="004C507C"/>
    <w:rsid w:val="004C537C"/>
    <w:rsid w:val="004C5982"/>
    <w:rsid w:val="004C5A0E"/>
    <w:rsid w:val="004C5A3F"/>
    <w:rsid w:val="004C628C"/>
    <w:rsid w:val="004C6497"/>
    <w:rsid w:val="004C6907"/>
    <w:rsid w:val="004C6D97"/>
    <w:rsid w:val="004C7C9E"/>
    <w:rsid w:val="004C7EF5"/>
    <w:rsid w:val="004D0676"/>
    <w:rsid w:val="004D07CE"/>
    <w:rsid w:val="004D0A34"/>
    <w:rsid w:val="004D0DF1"/>
    <w:rsid w:val="004D10D7"/>
    <w:rsid w:val="004D1136"/>
    <w:rsid w:val="004D122F"/>
    <w:rsid w:val="004D140A"/>
    <w:rsid w:val="004D1952"/>
    <w:rsid w:val="004D1A97"/>
    <w:rsid w:val="004D1CA8"/>
    <w:rsid w:val="004D1DBE"/>
    <w:rsid w:val="004D24CB"/>
    <w:rsid w:val="004D2584"/>
    <w:rsid w:val="004D2721"/>
    <w:rsid w:val="004D2A39"/>
    <w:rsid w:val="004D2E64"/>
    <w:rsid w:val="004D333B"/>
    <w:rsid w:val="004D3389"/>
    <w:rsid w:val="004D33AD"/>
    <w:rsid w:val="004D385A"/>
    <w:rsid w:val="004D39D5"/>
    <w:rsid w:val="004D3BE6"/>
    <w:rsid w:val="004D3F7E"/>
    <w:rsid w:val="004D40FF"/>
    <w:rsid w:val="004D420D"/>
    <w:rsid w:val="004D42E9"/>
    <w:rsid w:val="004D42FB"/>
    <w:rsid w:val="004D460E"/>
    <w:rsid w:val="004D4927"/>
    <w:rsid w:val="004D4AF6"/>
    <w:rsid w:val="004D4C6C"/>
    <w:rsid w:val="004D51F4"/>
    <w:rsid w:val="004D5244"/>
    <w:rsid w:val="004D5502"/>
    <w:rsid w:val="004D570A"/>
    <w:rsid w:val="004D582F"/>
    <w:rsid w:val="004D5998"/>
    <w:rsid w:val="004D5A1A"/>
    <w:rsid w:val="004D5E74"/>
    <w:rsid w:val="004D68E7"/>
    <w:rsid w:val="004D6E37"/>
    <w:rsid w:val="004D6E84"/>
    <w:rsid w:val="004D6F9E"/>
    <w:rsid w:val="004D7792"/>
    <w:rsid w:val="004D7F69"/>
    <w:rsid w:val="004E00EA"/>
    <w:rsid w:val="004E0803"/>
    <w:rsid w:val="004E0884"/>
    <w:rsid w:val="004E0A72"/>
    <w:rsid w:val="004E0BC0"/>
    <w:rsid w:val="004E13B9"/>
    <w:rsid w:val="004E153A"/>
    <w:rsid w:val="004E1872"/>
    <w:rsid w:val="004E2C64"/>
    <w:rsid w:val="004E2CC6"/>
    <w:rsid w:val="004E2D53"/>
    <w:rsid w:val="004E2D63"/>
    <w:rsid w:val="004E3A55"/>
    <w:rsid w:val="004E3CEE"/>
    <w:rsid w:val="004E3EC4"/>
    <w:rsid w:val="004E4121"/>
    <w:rsid w:val="004E4254"/>
    <w:rsid w:val="004E5211"/>
    <w:rsid w:val="004E5488"/>
    <w:rsid w:val="004E59A8"/>
    <w:rsid w:val="004E5D2D"/>
    <w:rsid w:val="004E6933"/>
    <w:rsid w:val="004E69A0"/>
    <w:rsid w:val="004E6BB4"/>
    <w:rsid w:val="004E6D05"/>
    <w:rsid w:val="004E6D22"/>
    <w:rsid w:val="004E6E67"/>
    <w:rsid w:val="004E7034"/>
    <w:rsid w:val="004E738B"/>
    <w:rsid w:val="004E7449"/>
    <w:rsid w:val="004E7478"/>
    <w:rsid w:val="004E7620"/>
    <w:rsid w:val="004E7848"/>
    <w:rsid w:val="004E79CA"/>
    <w:rsid w:val="004E7B99"/>
    <w:rsid w:val="004E7E4E"/>
    <w:rsid w:val="004F0188"/>
    <w:rsid w:val="004F0398"/>
    <w:rsid w:val="004F039C"/>
    <w:rsid w:val="004F046F"/>
    <w:rsid w:val="004F0842"/>
    <w:rsid w:val="004F0C6B"/>
    <w:rsid w:val="004F0CCF"/>
    <w:rsid w:val="004F0D10"/>
    <w:rsid w:val="004F0F9F"/>
    <w:rsid w:val="004F14B2"/>
    <w:rsid w:val="004F232E"/>
    <w:rsid w:val="004F2A51"/>
    <w:rsid w:val="004F308B"/>
    <w:rsid w:val="004F357A"/>
    <w:rsid w:val="004F3590"/>
    <w:rsid w:val="004F3753"/>
    <w:rsid w:val="004F38F7"/>
    <w:rsid w:val="004F39B3"/>
    <w:rsid w:val="004F3B35"/>
    <w:rsid w:val="004F4350"/>
    <w:rsid w:val="004F44FC"/>
    <w:rsid w:val="004F489B"/>
    <w:rsid w:val="004F4B92"/>
    <w:rsid w:val="004F51E2"/>
    <w:rsid w:val="004F52E6"/>
    <w:rsid w:val="004F5724"/>
    <w:rsid w:val="004F596A"/>
    <w:rsid w:val="004F5C44"/>
    <w:rsid w:val="004F60DD"/>
    <w:rsid w:val="004F64AC"/>
    <w:rsid w:val="004F64B2"/>
    <w:rsid w:val="004F6722"/>
    <w:rsid w:val="004F6F3A"/>
    <w:rsid w:val="004F7296"/>
    <w:rsid w:val="004F72C0"/>
    <w:rsid w:val="004F73C0"/>
    <w:rsid w:val="004F7C14"/>
    <w:rsid w:val="004F7F5E"/>
    <w:rsid w:val="00500003"/>
    <w:rsid w:val="005008F0"/>
    <w:rsid w:val="005009A3"/>
    <w:rsid w:val="00500E73"/>
    <w:rsid w:val="00501343"/>
    <w:rsid w:val="005026A4"/>
    <w:rsid w:val="00502814"/>
    <w:rsid w:val="0050286A"/>
    <w:rsid w:val="005029BA"/>
    <w:rsid w:val="00503013"/>
    <w:rsid w:val="0050329D"/>
    <w:rsid w:val="005033A3"/>
    <w:rsid w:val="005035C2"/>
    <w:rsid w:val="005035EF"/>
    <w:rsid w:val="0050375C"/>
    <w:rsid w:val="00503C37"/>
    <w:rsid w:val="00504003"/>
    <w:rsid w:val="005043AD"/>
    <w:rsid w:val="0050462C"/>
    <w:rsid w:val="005046F0"/>
    <w:rsid w:val="005047A1"/>
    <w:rsid w:val="00504924"/>
    <w:rsid w:val="0050500E"/>
    <w:rsid w:val="00505051"/>
    <w:rsid w:val="00505601"/>
    <w:rsid w:val="00505A76"/>
    <w:rsid w:val="00505AAC"/>
    <w:rsid w:val="00506083"/>
    <w:rsid w:val="00506937"/>
    <w:rsid w:val="00506A86"/>
    <w:rsid w:val="00506BE9"/>
    <w:rsid w:val="00506DDA"/>
    <w:rsid w:val="00506E44"/>
    <w:rsid w:val="00507140"/>
    <w:rsid w:val="00510119"/>
    <w:rsid w:val="005103E4"/>
    <w:rsid w:val="00510964"/>
    <w:rsid w:val="00510F2A"/>
    <w:rsid w:val="00511130"/>
    <w:rsid w:val="0051117C"/>
    <w:rsid w:val="005118DA"/>
    <w:rsid w:val="00511B14"/>
    <w:rsid w:val="00511C02"/>
    <w:rsid w:val="00512102"/>
    <w:rsid w:val="0051211B"/>
    <w:rsid w:val="005122B8"/>
    <w:rsid w:val="00512357"/>
    <w:rsid w:val="005126A7"/>
    <w:rsid w:val="00512AE3"/>
    <w:rsid w:val="00512BDA"/>
    <w:rsid w:val="0051350D"/>
    <w:rsid w:val="00513709"/>
    <w:rsid w:val="005138E9"/>
    <w:rsid w:val="00513B30"/>
    <w:rsid w:val="00513D9B"/>
    <w:rsid w:val="00513F78"/>
    <w:rsid w:val="00514501"/>
    <w:rsid w:val="00514751"/>
    <w:rsid w:val="005147E1"/>
    <w:rsid w:val="00514CA0"/>
    <w:rsid w:val="00515022"/>
    <w:rsid w:val="0051508D"/>
    <w:rsid w:val="00515571"/>
    <w:rsid w:val="005156BB"/>
    <w:rsid w:val="005156FD"/>
    <w:rsid w:val="0051596D"/>
    <w:rsid w:val="00515CDF"/>
    <w:rsid w:val="00515CF9"/>
    <w:rsid w:val="00516082"/>
    <w:rsid w:val="00516320"/>
    <w:rsid w:val="0051644C"/>
    <w:rsid w:val="00516785"/>
    <w:rsid w:val="0051684C"/>
    <w:rsid w:val="00516BBB"/>
    <w:rsid w:val="00517018"/>
    <w:rsid w:val="005174EB"/>
    <w:rsid w:val="00517875"/>
    <w:rsid w:val="00517DC9"/>
    <w:rsid w:val="00517EB9"/>
    <w:rsid w:val="00517F52"/>
    <w:rsid w:val="00517F6D"/>
    <w:rsid w:val="00520746"/>
    <w:rsid w:val="00520E39"/>
    <w:rsid w:val="00520E75"/>
    <w:rsid w:val="00520EC8"/>
    <w:rsid w:val="00521095"/>
    <w:rsid w:val="0052127C"/>
    <w:rsid w:val="0052128C"/>
    <w:rsid w:val="005213EB"/>
    <w:rsid w:val="00521740"/>
    <w:rsid w:val="00521B9F"/>
    <w:rsid w:val="00521DD2"/>
    <w:rsid w:val="00521F5C"/>
    <w:rsid w:val="005222DD"/>
    <w:rsid w:val="00522718"/>
    <w:rsid w:val="00522C6A"/>
    <w:rsid w:val="00522FCA"/>
    <w:rsid w:val="00523330"/>
    <w:rsid w:val="00524001"/>
    <w:rsid w:val="0052419D"/>
    <w:rsid w:val="005245A8"/>
    <w:rsid w:val="00524701"/>
    <w:rsid w:val="005247EA"/>
    <w:rsid w:val="00524989"/>
    <w:rsid w:val="00524A35"/>
    <w:rsid w:val="00524A7F"/>
    <w:rsid w:val="00524FD5"/>
    <w:rsid w:val="005254F1"/>
    <w:rsid w:val="00525511"/>
    <w:rsid w:val="005255E7"/>
    <w:rsid w:val="00525C0F"/>
    <w:rsid w:val="00525C4D"/>
    <w:rsid w:val="005260CE"/>
    <w:rsid w:val="00526361"/>
    <w:rsid w:val="0052642C"/>
    <w:rsid w:val="00526491"/>
    <w:rsid w:val="00526756"/>
    <w:rsid w:val="00526886"/>
    <w:rsid w:val="00526B85"/>
    <w:rsid w:val="00526DA4"/>
    <w:rsid w:val="00526DE2"/>
    <w:rsid w:val="00526E57"/>
    <w:rsid w:val="00526ECD"/>
    <w:rsid w:val="00527059"/>
    <w:rsid w:val="00527109"/>
    <w:rsid w:val="0052713D"/>
    <w:rsid w:val="0052749E"/>
    <w:rsid w:val="005277E8"/>
    <w:rsid w:val="00527EE6"/>
    <w:rsid w:val="005301F8"/>
    <w:rsid w:val="00530487"/>
    <w:rsid w:val="005304C8"/>
    <w:rsid w:val="0053084E"/>
    <w:rsid w:val="00530868"/>
    <w:rsid w:val="00530C2C"/>
    <w:rsid w:val="00530CEF"/>
    <w:rsid w:val="00530D57"/>
    <w:rsid w:val="00530F2A"/>
    <w:rsid w:val="005312FC"/>
    <w:rsid w:val="005316CF"/>
    <w:rsid w:val="00531832"/>
    <w:rsid w:val="00531A67"/>
    <w:rsid w:val="00531BED"/>
    <w:rsid w:val="00531FBA"/>
    <w:rsid w:val="00532341"/>
    <w:rsid w:val="00532394"/>
    <w:rsid w:val="00532B59"/>
    <w:rsid w:val="00533205"/>
    <w:rsid w:val="00533543"/>
    <w:rsid w:val="00533578"/>
    <w:rsid w:val="00533787"/>
    <w:rsid w:val="0053391E"/>
    <w:rsid w:val="00534573"/>
    <w:rsid w:val="005345DC"/>
    <w:rsid w:val="005346AA"/>
    <w:rsid w:val="00534D54"/>
    <w:rsid w:val="00534ED8"/>
    <w:rsid w:val="00535064"/>
    <w:rsid w:val="0053569E"/>
    <w:rsid w:val="005358FB"/>
    <w:rsid w:val="005359DB"/>
    <w:rsid w:val="00535CB1"/>
    <w:rsid w:val="0053603D"/>
    <w:rsid w:val="005363BE"/>
    <w:rsid w:val="005365A7"/>
    <w:rsid w:val="005365B8"/>
    <w:rsid w:val="0053681B"/>
    <w:rsid w:val="00536C2D"/>
    <w:rsid w:val="00536CA5"/>
    <w:rsid w:val="00536FE5"/>
    <w:rsid w:val="005370E3"/>
    <w:rsid w:val="0053742A"/>
    <w:rsid w:val="00537464"/>
    <w:rsid w:val="0053752E"/>
    <w:rsid w:val="00537A93"/>
    <w:rsid w:val="00537C85"/>
    <w:rsid w:val="00537E89"/>
    <w:rsid w:val="00537F29"/>
    <w:rsid w:val="00537FA7"/>
    <w:rsid w:val="005404AB"/>
    <w:rsid w:val="00540E7A"/>
    <w:rsid w:val="00541014"/>
    <w:rsid w:val="0054111C"/>
    <w:rsid w:val="00541D29"/>
    <w:rsid w:val="00542250"/>
    <w:rsid w:val="005425BD"/>
    <w:rsid w:val="005429FA"/>
    <w:rsid w:val="00542E4E"/>
    <w:rsid w:val="00542E6E"/>
    <w:rsid w:val="0054338D"/>
    <w:rsid w:val="005437D5"/>
    <w:rsid w:val="005439B8"/>
    <w:rsid w:val="00543A4B"/>
    <w:rsid w:val="00543A51"/>
    <w:rsid w:val="00543AC6"/>
    <w:rsid w:val="00543BA1"/>
    <w:rsid w:val="00544180"/>
    <w:rsid w:val="00544E97"/>
    <w:rsid w:val="00545091"/>
    <w:rsid w:val="00545233"/>
    <w:rsid w:val="005452DC"/>
    <w:rsid w:val="0054542E"/>
    <w:rsid w:val="0054548E"/>
    <w:rsid w:val="005458CB"/>
    <w:rsid w:val="00545FCD"/>
    <w:rsid w:val="005460E1"/>
    <w:rsid w:val="005460EC"/>
    <w:rsid w:val="00546266"/>
    <w:rsid w:val="00546718"/>
    <w:rsid w:val="00546927"/>
    <w:rsid w:val="00546AAB"/>
    <w:rsid w:val="00546CF5"/>
    <w:rsid w:val="00546D3F"/>
    <w:rsid w:val="00547A0A"/>
    <w:rsid w:val="00547ECC"/>
    <w:rsid w:val="00550A3A"/>
    <w:rsid w:val="00550ED0"/>
    <w:rsid w:val="00551940"/>
    <w:rsid w:val="005526F8"/>
    <w:rsid w:val="00552CE4"/>
    <w:rsid w:val="00552D57"/>
    <w:rsid w:val="00552E6C"/>
    <w:rsid w:val="00552E6E"/>
    <w:rsid w:val="00553614"/>
    <w:rsid w:val="0055382C"/>
    <w:rsid w:val="005538D7"/>
    <w:rsid w:val="00553998"/>
    <w:rsid w:val="00553B42"/>
    <w:rsid w:val="00553DE7"/>
    <w:rsid w:val="005540EB"/>
    <w:rsid w:val="00554991"/>
    <w:rsid w:val="00555199"/>
    <w:rsid w:val="005559C3"/>
    <w:rsid w:val="0055657C"/>
    <w:rsid w:val="00556588"/>
    <w:rsid w:val="00556916"/>
    <w:rsid w:val="00556DDE"/>
    <w:rsid w:val="0055710E"/>
    <w:rsid w:val="00557CAA"/>
    <w:rsid w:val="00557EE6"/>
    <w:rsid w:val="00560052"/>
    <w:rsid w:val="005602FD"/>
    <w:rsid w:val="0056072F"/>
    <w:rsid w:val="00560922"/>
    <w:rsid w:val="00560BE0"/>
    <w:rsid w:val="00561A8B"/>
    <w:rsid w:val="00561B5B"/>
    <w:rsid w:val="00561B8B"/>
    <w:rsid w:val="00561EF6"/>
    <w:rsid w:val="00561FC5"/>
    <w:rsid w:val="0056208B"/>
    <w:rsid w:val="00562829"/>
    <w:rsid w:val="0056285E"/>
    <w:rsid w:val="005629EE"/>
    <w:rsid w:val="00562C28"/>
    <w:rsid w:val="00562F17"/>
    <w:rsid w:val="005630D3"/>
    <w:rsid w:val="0056311E"/>
    <w:rsid w:val="00563182"/>
    <w:rsid w:val="00563254"/>
    <w:rsid w:val="005633A5"/>
    <w:rsid w:val="0056360A"/>
    <w:rsid w:val="00563793"/>
    <w:rsid w:val="0056448D"/>
    <w:rsid w:val="0056452C"/>
    <w:rsid w:val="0056468D"/>
    <w:rsid w:val="00564962"/>
    <w:rsid w:val="00564DD9"/>
    <w:rsid w:val="00564FA9"/>
    <w:rsid w:val="00565185"/>
    <w:rsid w:val="0056520D"/>
    <w:rsid w:val="0056582C"/>
    <w:rsid w:val="00565E14"/>
    <w:rsid w:val="00565E98"/>
    <w:rsid w:val="0056637F"/>
    <w:rsid w:val="0056654E"/>
    <w:rsid w:val="00566558"/>
    <w:rsid w:val="00566FC1"/>
    <w:rsid w:val="00567724"/>
    <w:rsid w:val="00567BA7"/>
    <w:rsid w:val="00567F52"/>
    <w:rsid w:val="00570586"/>
    <w:rsid w:val="00570824"/>
    <w:rsid w:val="00570A30"/>
    <w:rsid w:val="00570DB2"/>
    <w:rsid w:val="00570E3F"/>
    <w:rsid w:val="00570EC9"/>
    <w:rsid w:val="00570F32"/>
    <w:rsid w:val="0057126D"/>
    <w:rsid w:val="005713D4"/>
    <w:rsid w:val="00571C63"/>
    <w:rsid w:val="00571E64"/>
    <w:rsid w:val="0057203C"/>
    <w:rsid w:val="00572053"/>
    <w:rsid w:val="005727B6"/>
    <w:rsid w:val="00572D18"/>
    <w:rsid w:val="00572E37"/>
    <w:rsid w:val="005730F6"/>
    <w:rsid w:val="00573340"/>
    <w:rsid w:val="00573492"/>
    <w:rsid w:val="00573533"/>
    <w:rsid w:val="00573955"/>
    <w:rsid w:val="005741EC"/>
    <w:rsid w:val="0057423B"/>
    <w:rsid w:val="00574667"/>
    <w:rsid w:val="00574845"/>
    <w:rsid w:val="00574A92"/>
    <w:rsid w:val="00574AC8"/>
    <w:rsid w:val="00574B0E"/>
    <w:rsid w:val="00575004"/>
    <w:rsid w:val="005750E8"/>
    <w:rsid w:val="00575474"/>
    <w:rsid w:val="0057548C"/>
    <w:rsid w:val="005754C3"/>
    <w:rsid w:val="0057575B"/>
    <w:rsid w:val="00575A5B"/>
    <w:rsid w:val="00575BE0"/>
    <w:rsid w:val="00576246"/>
    <w:rsid w:val="00576360"/>
    <w:rsid w:val="00576942"/>
    <w:rsid w:val="0057697F"/>
    <w:rsid w:val="00576A40"/>
    <w:rsid w:val="00576DC7"/>
    <w:rsid w:val="00576F6E"/>
    <w:rsid w:val="00576FDF"/>
    <w:rsid w:val="00577835"/>
    <w:rsid w:val="00580296"/>
    <w:rsid w:val="0058036C"/>
    <w:rsid w:val="005805EC"/>
    <w:rsid w:val="00580BC9"/>
    <w:rsid w:val="00580C96"/>
    <w:rsid w:val="00580EEF"/>
    <w:rsid w:val="005812DA"/>
    <w:rsid w:val="0058156D"/>
    <w:rsid w:val="005815BC"/>
    <w:rsid w:val="00581724"/>
    <w:rsid w:val="005819BB"/>
    <w:rsid w:val="005819E6"/>
    <w:rsid w:val="00581F8B"/>
    <w:rsid w:val="0058207A"/>
    <w:rsid w:val="005826F0"/>
    <w:rsid w:val="00582724"/>
    <w:rsid w:val="0058290E"/>
    <w:rsid w:val="00582B5E"/>
    <w:rsid w:val="00582D6C"/>
    <w:rsid w:val="0058327C"/>
    <w:rsid w:val="005832F4"/>
    <w:rsid w:val="00583559"/>
    <w:rsid w:val="005835EB"/>
    <w:rsid w:val="00583DBE"/>
    <w:rsid w:val="005842F9"/>
    <w:rsid w:val="005843A2"/>
    <w:rsid w:val="00584E37"/>
    <w:rsid w:val="0058551A"/>
    <w:rsid w:val="005857E7"/>
    <w:rsid w:val="005859D4"/>
    <w:rsid w:val="00585A6E"/>
    <w:rsid w:val="00585E9E"/>
    <w:rsid w:val="005860E1"/>
    <w:rsid w:val="0058648F"/>
    <w:rsid w:val="005866DD"/>
    <w:rsid w:val="00586779"/>
    <w:rsid w:val="005868DE"/>
    <w:rsid w:val="005868FF"/>
    <w:rsid w:val="00586D56"/>
    <w:rsid w:val="005871D2"/>
    <w:rsid w:val="005877AC"/>
    <w:rsid w:val="00587ADB"/>
    <w:rsid w:val="00587CC3"/>
    <w:rsid w:val="00587CD7"/>
    <w:rsid w:val="00587F4C"/>
    <w:rsid w:val="00587FCE"/>
    <w:rsid w:val="00590288"/>
    <w:rsid w:val="00590770"/>
    <w:rsid w:val="00590E2F"/>
    <w:rsid w:val="00590F61"/>
    <w:rsid w:val="00590F8D"/>
    <w:rsid w:val="00591248"/>
    <w:rsid w:val="005915A5"/>
    <w:rsid w:val="00591836"/>
    <w:rsid w:val="00591A3C"/>
    <w:rsid w:val="00591B49"/>
    <w:rsid w:val="00591C14"/>
    <w:rsid w:val="00591CDA"/>
    <w:rsid w:val="00591E8E"/>
    <w:rsid w:val="005923C5"/>
    <w:rsid w:val="00592A26"/>
    <w:rsid w:val="00592A77"/>
    <w:rsid w:val="00592BD0"/>
    <w:rsid w:val="00593111"/>
    <w:rsid w:val="00593486"/>
    <w:rsid w:val="005939B3"/>
    <w:rsid w:val="00593CD2"/>
    <w:rsid w:val="0059409D"/>
    <w:rsid w:val="0059437E"/>
    <w:rsid w:val="005946EA"/>
    <w:rsid w:val="00594770"/>
    <w:rsid w:val="005949A3"/>
    <w:rsid w:val="00594AE0"/>
    <w:rsid w:val="00594B2F"/>
    <w:rsid w:val="00594C0D"/>
    <w:rsid w:val="00594DEA"/>
    <w:rsid w:val="00595074"/>
    <w:rsid w:val="00595D1E"/>
    <w:rsid w:val="00595D45"/>
    <w:rsid w:val="00595E63"/>
    <w:rsid w:val="0059609F"/>
    <w:rsid w:val="005965EE"/>
    <w:rsid w:val="005966B7"/>
    <w:rsid w:val="00596E1F"/>
    <w:rsid w:val="00596ED9"/>
    <w:rsid w:val="005970F8"/>
    <w:rsid w:val="0059724A"/>
    <w:rsid w:val="005972DD"/>
    <w:rsid w:val="00597442"/>
    <w:rsid w:val="00597769"/>
    <w:rsid w:val="00597785"/>
    <w:rsid w:val="005977D5"/>
    <w:rsid w:val="00597F9C"/>
    <w:rsid w:val="005A04BB"/>
    <w:rsid w:val="005A0855"/>
    <w:rsid w:val="005A0E14"/>
    <w:rsid w:val="005A1124"/>
    <w:rsid w:val="005A123D"/>
    <w:rsid w:val="005A12CE"/>
    <w:rsid w:val="005A140C"/>
    <w:rsid w:val="005A155F"/>
    <w:rsid w:val="005A18C2"/>
    <w:rsid w:val="005A1A36"/>
    <w:rsid w:val="005A1C9C"/>
    <w:rsid w:val="005A269F"/>
    <w:rsid w:val="005A286F"/>
    <w:rsid w:val="005A2F9D"/>
    <w:rsid w:val="005A3191"/>
    <w:rsid w:val="005A3574"/>
    <w:rsid w:val="005A3855"/>
    <w:rsid w:val="005A3896"/>
    <w:rsid w:val="005A3AA7"/>
    <w:rsid w:val="005A3CDA"/>
    <w:rsid w:val="005A4204"/>
    <w:rsid w:val="005A48B8"/>
    <w:rsid w:val="005A4E7C"/>
    <w:rsid w:val="005A4F29"/>
    <w:rsid w:val="005A56D2"/>
    <w:rsid w:val="005A6487"/>
    <w:rsid w:val="005A69EC"/>
    <w:rsid w:val="005A6C05"/>
    <w:rsid w:val="005A6DCD"/>
    <w:rsid w:val="005A6E66"/>
    <w:rsid w:val="005A70FA"/>
    <w:rsid w:val="005A7261"/>
    <w:rsid w:val="005A7DC3"/>
    <w:rsid w:val="005B01D3"/>
    <w:rsid w:val="005B0330"/>
    <w:rsid w:val="005B0775"/>
    <w:rsid w:val="005B085E"/>
    <w:rsid w:val="005B0B40"/>
    <w:rsid w:val="005B14A9"/>
    <w:rsid w:val="005B1562"/>
    <w:rsid w:val="005B1698"/>
    <w:rsid w:val="005B1C1B"/>
    <w:rsid w:val="005B22B6"/>
    <w:rsid w:val="005B2334"/>
    <w:rsid w:val="005B2724"/>
    <w:rsid w:val="005B275E"/>
    <w:rsid w:val="005B2766"/>
    <w:rsid w:val="005B2A2D"/>
    <w:rsid w:val="005B2E79"/>
    <w:rsid w:val="005B2FAA"/>
    <w:rsid w:val="005B30BD"/>
    <w:rsid w:val="005B339B"/>
    <w:rsid w:val="005B38B5"/>
    <w:rsid w:val="005B3AA2"/>
    <w:rsid w:val="005B3E7E"/>
    <w:rsid w:val="005B3EF8"/>
    <w:rsid w:val="005B402D"/>
    <w:rsid w:val="005B431C"/>
    <w:rsid w:val="005B4713"/>
    <w:rsid w:val="005B49BB"/>
    <w:rsid w:val="005B4D5F"/>
    <w:rsid w:val="005B4F4A"/>
    <w:rsid w:val="005B4F97"/>
    <w:rsid w:val="005B57BC"/>
    <w:rsid w:val="005B5E2A"/>
    <w:rsid w:val="005B5FA0"/>
    <w:rsid w:val="005B61BA"/>
    <w:rsid w:val="005B6961"/>
    <w:rsid w:val="005B6C29"/>
    <w:rsid w:val="005B6DC6"/>
    <w:rsid w:val="005B6E26"/>
    <w:rsid w:val="005B72FE"/>
    <w:rsid w:val="005B7576"/>
    <w:rsid w:val="005B775B"/>
    <w:rsid w:val="005B7853"/>
    <w:rsid w:val="005B7ABB"/>
    <w:rsid w:val="005B7EAE"/>
    <w:rsid w:val="005C02A4"/>
    <w:rsid w:val="005C02C0"/>
    <w:rsid w:val="005C08AB"/>
    <w:rsid w:val="005C0F00"/>
    <w:rsid w:val="005C11EE"/>
    <w:rsid w:val="005C1C2E"/>
    <w:rsid w:val="005C1E76"/>
    <w:rsid w:val="005C1FD0"/>
    <w:rsid w:val="005C202B"/>
    <w:rsid w:val="005C20D2"/>
    <w:rsid w:val="005C20EA"/>
    <w:rsid w:val="005C230A"/>
    <w:rsid w:val="005C2BF8"/>
    <w:rsid w:val="005C32FE"/>
    <w:rsid w:val="005C35DE"/>
    <w:rsid w:val="005C382C"/>
    <w:rsid w:val="005C39F6"/>
    <w:rsid w:val="005C3AD2"/>
    <w:rsid w:val="005C4386"/>
    <w:rsid w:val="005C4CCB"/>
    <w:rsid w:val="005C4D5E"/>
    <w:rsid w:val="005C4E78"/>
    <w:rsid w:val="005C503A"/>
    <w:rsid w:val="005C50A3"/>
    <w:rsid w:val="005C5FCC"/>
    <w:rsid w:val="005C6344"/>
    <w:rsid w:val="005C68B9"/>
    <w:rsid w:val="005C690A"/>
    <w:rsid w:val="005C6F45"/>
    <w:rsid w:val="005C74C4"/>
    <w:rsid w:val="005C7ABC"/>
    <w:rsid w:val="005C7D35"/>
    <w:rsid w:val="005D024A"/>
    <w:rsid w:val="005D02E4"/>
    <w:rsid w:val="005D0780"/>
    <w:rsid w:val="005D082C"/>
    <w:rsid w:val="005D0AE8"/>
    <w:rsid w:val="005D0F5C"/>
    <w:rsid w:val="005D16EC"/>
    <w:rsid w:val="005D17AA"/>
    <w:rsid w:val="005D1BD8"/>
    <w:rsid w:val="005D1BF1"/>
    <w:rsid w:val="005D201E"/>
    <w:rsid w:val="005D2526"/>
    <w:rsid w:val="005D31C3"/>
    <w:rsid w:val="005D3255"/>
    <w:rsid w:val="005D359D"/>
    <w:rsid w:val="005D39C1"/>
    <w:rsid w:val="005D3E7C"/>
    <w:rsid w:val="005D3FE6"/>
    <w:rsid w:val="005D4055"/>
    <w:rsid w:val="005D419E"/>
    <w:rsid w:val="005D4452"/>
    <w:rsid w:val="005D4745"/>
    <w:rsid w:val="005D489B"/>
    <w:rsid w:val="005D4D4B"/>
    <w:rsid w:val="005D4EB8"/>
    <w:rsid w:val="005D4FD4"/>
    <w:rsid w:val="005D5149"/>
    <w:rsid w:val="005D5AB3"/>
    <w:rsid w:val="005D5DD3"/>
    <w:rsid w:val="005D6D64"/>
    <w:rsid w:val="005D7051"/>
    <w:rsid w:val="005D7123"/>
    <w:rsid w:val="005D7317"/>
    <w:rsid w:val="005D74C0"/>
    <w:rsid w:val="005D7761"/>
    <w:rsid w:val="005D7B68"/>
    <w:rsid w:val="005D7B88"/>
    <w:rsid w:val="005D7E95"/>
    <w:rsid w:val="005D7E9E"/>
    <w:rsid w:val="005E007B"/>
    <w:rsid w:val="005E01FF"/>
    <w:rsid w:val="005E0281"/>
    <w:rsid w:val="005E067F"/>
    <w:rsid w:val="005E06D6"/>
    <w:rsid w:val="005E0CCC"/>
    <w:rsid w:val="005E0FAA"/>
    <w:rsid w:val="005E10D3"/>
    <w:rsid w:val="005E1158"/>
    <w:rsid w:val="005E116A"/>
    <w:rsid w:val="005E136E"/>
    <w:rsid w:val="005E1703"/>
    <w:rsid w:val="005E2FF1"/>
    <w:rsid w:val="005E3327"/>
    <w:rsid w:val="005E3461"/>
    <w:rsid w:val="005E36FC"/>
    <w:rsid w:val="005E3962"/>
    <w:rsid w:val="005E4537"/>
    <w:rsid w:val="005E4A7C"/>
    <w:rsid w:val="005E4ED3"/>
    <w:rsid w:val="005E520E"/>
    <w:rsid w:val="005E54D5"/>
    <w:rsid w:val="005E5691"/>
    <w:rsid w:val="005E5A71"/>
    <w:rsid w:val="005E5B99"/>
    <w:rsid w:val="005E605B"/>
    <w:rsid w:val="005E6523"/>
    <w:rsid w:val="005E653B"/>
    <w:rsid w:val="005E6FD8"/>
    <w:rsid w:val="005E7093"/>
    <w:rsid w:val="005E725F"/>
    <w:rsid w:val="005E7684"/>
    <w:rsid w:val="005E794B"/>
    <w:rsid w:val="005E7B61"/>
    <w:rsid w:val="005F0016"/>
    <w:rsid w:val="005F00CB"/>
    <w:rsid w:val="005F011D"/>
    <w:rsid w:val="005F0358"/>
    <w:rsid w:val="005F04F5"/>
    <w:rsid w:val="005F058D"/>
    <w:rsid w:val="005F1270"/>
    <w:rsid w:val="005F1846"/>
    <w:rsid w:val="005F1A99"/>
    <w:rsid w:val="005F1C20"/>
    <w:rsid w:val="005F22B4"/>
    <w:rsid w:val="005F2951"/>
    <w:rsid w:val="005F2992"/>
    <w:rsid w:val="005F2C00"/>
    <w:rsid w:val="005F33D6"/>
    <w:rsid w:val="005F3A05"/>
    <w:rsid w:val="005F3CCC"/>
    <w:rsid w:val="005F3D66"/>
    <w:rsid w:val="005F3EB0"/>
    <w:rsid w:val="005F42ED"/>
    <w:rsid w:val="005F43E6"/>
    <w:rsid w:val="005F481F"/>
    <w:rsid w:val="005F4F1F"/>
    <w:rsid w:val="005F5206"/>
    <w:rsid w:val="005F5727"/>
    <w:rsid w:val="005F6023"/>
    <w:rsid w:val="005F64D2"/>
    <w:rsid w:val="005F6745"/>
    <w:rsid w:val="005F679F"/>
    <w:rsid w:val="005F69B4"/>
    <w:rsid w:val="005F6A1A"/>
    <w:rsid w:val="005F6B0F"/>
    <w:rsid w:val="005F6C87"/>
    <w:rsid w:val="005F6EC1"/>
    <w:rsid w:val="005F6F5D"/>
    <w:rsid w:val="005F7418"/>
    <w:rsid w:val="005F7505"/>
    <w:rsid w:val="005F7514"/>
    <w:rsid w:val="005F7646"/>
    <w:rsid w:val="005F7B3E"/>
    <w:rsid w:val="006002CA"/>
    <w:rsid w:val="00600549"/>
    <w:rsid w:val="006007F4"/>
    <w:rsid w:val="00600CBC"/>
    <w:rsid w:val="00600D48"/>
    <w:rsid w:val="006013B7"/>
    <w:rsid w:val="00601650"/>
    <w:rsid w:val="00601AB8"/>
    <w:rsid w:val="00601FF8"/>
    <w:rsid w:val="006020E6"/>
    <w:rsid w:val="0060236A"/>
    <w:rsid w:val="00602403"/>
    <w:rsid w:val="006029D1"/>
    <w:rsid w:val="00603252"/>
    <w:rsid w:val="006036E4"/>
    <w:rsid w:val="006037F7"/>
    <w:rsid w:val="00603E1D"/>
    <w:rsid w:val="00603ED9"/>
    <w:rsid w:val="00604058"/>
    <w:rsid w:val="00604117"/>
    <w:rsid w:val="0060442D"/>
    <w:rsid w:val="00604593"/>
    <w:rsid w:val="00604745"/>
    <w:rsid w:val="00604843"/>
    <w:rsid w:val="00604907"/>
    <w:rsid w:val="00604BB4"/>
    <w:rsid w:val="00604EEF"/>
    <w:rsid w:val="00604F65"/>
    <w:rsid w:val="006050C1"/>
    <w:rsid w:val="00605500"/>
    <w:rsid w:val="00605A5A"/>
    <w:rsid w:val="00605AFD"/>
    <w:rsid w:val="00605CCA"/>
    <w:rsid w:val="006060BE"/>
    <w:rsid w:val="006061BE"/>
    <w:rsid w:val="006065E1"/>
    <w:rsid w:val="00606782"/>
    <w:rsid w:val="00606793"/>
    <w:rsid w:val="00606AAE"/>
    <w:rsid w:val="00606D33"/>
    <w:rsid w:val="00606EC8"/>
    <w:rsid w:val="00607170"/>
    <w:rsid w:val="006071FE"/>
    <w:rsid w:val="00607679"/>
    <w:rsid w:val="00607D92"/>
    <w:rsid w:val="00610147"/>
    <w:rsid w:val="006103FD"/>
    <w:rsid w:val="006108F0"/>
    <w:rsid w:val="00610A16"/>
    <w:rsid w:val="00610BCB"/>
    <w:rsid w:val="00610C34"/>
    <w:rsid w:val="00610F6C"/>
    <w:rsid w:val="006118EE"/>
    <w:rsid w:val="00611970"/>
    <w:rsid w:val="00611B1C"/>
    <w:rsid w:val="00611B32"/>
    <w:rsid w:val="00611E67"/>
    <w:rsid w:val="00611F92"/>
    <w:rsid w:val="0061228A"/>
    <w:rsid w:val="006123D4"/>
    <w:rsid w:val="00612491"/>
    <w:rsid w:val="00612DED"/>
    <w:rsid w:val="00613094"/>
    <w:rsid w:val="006131D3"/>
    <w:rsid w:val="006132DA"/>
    <w:rsid w:val="0061361A"/>
    <w:rsid w:val="00613D26"/>
    <w:rsid w:val="00613F47"/>
    <w:rsid w:val="0061445B"/>
    <w:rsid w:val="00614D87"/>
    <w:rsid w:val="00614DE2"/>
    <w:rsid w:val="00614E76"/>
    <w:rsid w:val="0061547E"/>
    <w:rsid w:val="00615564"/>
    <w:rsid w:val="00615684"/>
    <w:rsid w:val="006158B1"/>
    <w:rsid w:val="006158B3"/>
    <w:rsid w:val="00615CAC"/>
    <w:rsid w:val="00615F29"/>
    <w:rsid w:val="006165B5"/>
    <w:rsid w:val="00616615"/>
    <w:rsid w:val="00617057"/>
    <w:rsid w:val="00617253"/>
    <w:rsid w:val="00617563"/>
    <w:rsid w:val="006175AB"/>
    <w:rsid w:val="006179C4"/>
    <w:rsid w:val="00617B86"/>
    <w:rsid w:val="00617F15"/>
    <w:rsid w:val="00617F6E"/>
    <w:rsid w:val="00620001"/>
    <w:rsid w:val="006201C5"/>
    <w:rsid w:val="006203A4"/>
    <w:rsid w:val="00620BA7"/>
    <w:rsid w:val="0062112B"/>
    <w:rsid w:val="0062174D"/>
    <w:rsid w:val="00621862"/>
    <w:rsid w:val="00621FA8"/>
    <w:rsid w:val="0062247A"/>
    <w:rsid w:val="0062297A"/>
    <w:rsid w:val="00622BB0"/>
    <w:rsid w:val="00622F36"/>
    <w:rsid w:val="00623069"/>
    <w:rsid w:val="00623116"/>
    <w:rsid w:val="0062316E"/>
    <w:rsid w:val="00623749"/>
    <w:rsid w:val="00623A34"/>
    <w:rsid w:val="00623FF0"/>
    <w:rsid w:val="00624052"/>
    <w:rsid w:val="006241B5"/>
    <w:rsid w:val="00624409"/>
    <w:rsid w:val="006246F0"/>
    <w:rsid w:val="00624C4B"/>
    <w:rsid w:val="00624D2F"/>
    <w:rsid w:val="00624DA1"/>
    <w:rsid w:val="00624DAE"/>
    <w:rsid w:val="00625002"/>
    <w:rsid w:val="00625420"/>
    <w:rsid w:val="0062571F"/>
    <w:rsid w:val="00626167"/>
    <w:rsid w:val="006262FF"/>
    <w:rsid w:val="0062631C"/>
    <w:rsid w:val="006263BC"/>
    <w:rsid w:val="006263C4"/>
    <w:rsid w:val="006263DC"/>
    <w:rsid w:val="00626F68"/>
    <w:rsid w:val="00627AF7"/>
    <w:rsid w:val="00627B05"/>
    <w:rsid w:val="00627C7C"/>
    <w:rsid w:val="00627F75"/>
    <w:rsid w:val="00630323"/>
    <w:rsid w:val="006305D8"/>
    <w:rsid w:val="0063075D"/>
    <w:rsid w:val="0063088F"/>
    <w:rsid w:val="00630B5B"/>
    <w:rsid w:val="00630C4A"/>
    <w:rsid w:val="00631163"/>
    <w:rsid w:val="00631341"/>
    <w:rsid w:val="0063153E"/>
    <w:rsid w:val="0063166E"/>
    <w:rsid w:val="006318F8"/>
    <w:rsid w:val="00631C74"/>
    <w:rsid w:val="00631DE3"/>
    <w:rsid w:val="00631F4E"/>
    <w:rsid w:val="006322B8"/>
    <w:rsid w:val="00632457"/>
    <w:rsid w:val="0063269B"/>
    <w:rsid w:val="006326D0"/>
    <w:rsid w:val="00632B1A"/>
    <w:rsid w:val="00632FB5"/>
    <w:rsid w:val="006330D6"/>
    <w:rsid w:val="00633164"/>
    <w:rsid w:val="0063375F"/>
    <w:rsid w:val="00633B89"/>
    <w:rsid w:val="00633D13"/>
    <w:rsid w:val="0063404B"/>
    <w:rsid w:val="006345D4"/>
    <w:rsid w:val="00634AFE"/>
    <w:rsid w:val="00634E37"/>
    <w:rsid w:val="00634F96"/>
    <w:rsid w:val="006350FA"/>
    <w:rsid w:val="00635121"/>
    <w:rsid w:val="00635544"/>
    <w:rsid w:val="006356C1"/>
    <w:rsid w:val="0063584D"/>
    <w:rsid w:val="00635CA5"/>
    <w:rsid w:val="00635D89"/>
    <w:rsid w:val="00635E74"/>
    <w:rsid w:val="00635F34"/>
    <w:rsid w:val="006365F0"/>
    <w:rsid w:val="0063684C"/>
    <w:rsid w:val="00636855"/>
    <w:rsid w:val="006369D9"/>
    <w:rsid w:val="00637223"/>
    <w:rsid w:val="006372D8"/>
    <w:rsid w:val="00637705"/>
    <w:rsid w:val="00637827"/>
    <w:rsid w:val="006378E3"/>
    <w:rsid w:val="00637915"/>
    <w:rsid w:val="00637B6D"/>
    <w:rsid w:val="00637F4F"/>
    <w:rsid w:val="006400F6"/>
    <w:rsid w:val="0064026D"/>
    <w:rsid w:val="006407E2"/>
    <w:rsid w:val="00640890"/>
    <w:rsid w:val="00640DCD"/>
    <w:rsid w:val="00640E88"/>
    <w:rsid w:val="006412F7"/>
    <w:rsid w:val="006413E9"/>
    <w:rsid w:val="00641843"/>
    <w:rsid w:val="00641A84"/>
    <w:rsid w:val="00641EC6"/>
    <w:rsid w:val="00642467"/>
    <w:rsid w:val="00642BC7"/>
    <w:rsid w:val="006430E5"/>
    <w:rsid w:val="00643701"/>
    <w:rsid w:val="00643816"/>
    <w:rsid w:val="006442A1"/>
    <w:rsid w:val="00644379"/>
    <w:rsid w:val="006444A7"/>
    <w:rsid w:val="00644794"/>
    <w:rsid w:val="00644D7E"/>
    <w:rsid w:val="00644F37"/>
    <w:rsid w:val="006453F5"/>
    <w:rsid w:val="006457B5"/>
    <w:rsid w:val="006457FB"/>
    <w:rsid w:val="00645855"/>
    <w:rsid w:val="00645D03"/>
    <w:rsid w:val="00645D46"/>
    <w:rsid w:val="00646A37"/>
    <w:rsid w:val="006475AF"/>
    <w:rsid w:val="00647B8C"/>
    <w:rsid w:val="00647BB8"/>
    <w:rsid w:val="00650538"/>
    <w:rsid w:val="00650658"/>
    <w:rsid w:val="006509E5"/>
    <w:rsid w:val="00650A40"/>
    <w:rsid w:val="00650A80"/>
    <w:rsid w:val="00650C17"/>
    <w:rsid w:val="00650F72"/>
    <w:rsid w:val="00651366"/>
    <w:rsid w:val="00651491"/>
    <w:rsid w:val="006514A4"/>
    <w:rsid w:val="0065199E"/>
    <w:rsid w:val="00651F16"/>
    <w:rsid w:val="00651F66"/>
    <w:rsid w:val="00651FB3"/>
    <w:rsid w:val="006522A3"/>
    <w:rsid w:val="0065265E"/>
    <w:rsid w:val="00652756"/>
    <w:rsid w:val="00652C70"/>
    <w:rsid w:val="00652CF2"/>
    <w:rsid w:val="006531A2"/>
    <w:rsid w:val="006536E6"/>
    <w:rsid w:val="00653C47"/>
    <w:rsid w:val="00653DFD"/>
    <w:rsid w:val="006546F3"/>
    <w:rsid w:val="00654AA9"/>
    <w:rsid w:val="00654FE3"/>
    <w:rsid w:val="0065525C"/>
    <w:rsid w:val="00655C63"/>
    <w:rsid w:val="006564D3"/>
    <w:rsid w:val="00656558"/>
    <w:rsid w:val="00656937"/>
    <w:rsid w:val="00656A4C"/>
    <w:rsid w:val="006570BA"/>
    <w:rsid w:val="00657126"/>
    <w:rsid w:val="006574CA"/>
    <w:rsid w:val="00657DF8"/>
    <w:rsid w:val="00657E0E"/>
    <w:rsid w:val="00660480"/>
    <w:rsid w:val="0066062A"/>
    <w:rsid w:val="0066071B"/>
    <w:rsid w:val="00660C79"/>
    <w:rsid w:val="00660C97"/>
    <w:rsid w:val="00660F5C"/>
    <w:rsid w:val="00660F71"/>
    <w:rsid w:val="00661071"/>
    <w:rsid w:val="006610AE"/>
    <w:rsid w:val="006616CE"/>
    <w:rsid w:val="00661891"/>
    <w:rsid w:val="00661CC6"/>
    <w:rsid w:val="00662980"/>
    <w:rsid w:val="00662B6A"/>
    <w:rsid w:val="00662F4A"/>
    <w:rsid w:val="006630C5"/>
    <w:rsid w:val="0066311B"/>
    <w:rsid w:val="0066327B"/>
    <w:rsid w:val="006638CB"/>
    <w:rsid w:val="006639D4"/>
    <w:rsid w:val="00664257"/>
    <w:rsid w:val="006644A3"/>
    <w:rsid w:val="0066463C"/>
    <w:rsid w:val="006648E4"/>
    <w:rsid w:val="00664C45"/>
    <w:rsid w:val="00665448"/>
    <w:rsid w:val="0066599B"/>
    <w:rsid w:val="00665CB2"/>
    <w:rsid w:val="00666076"/>
    <w:rsid w:val="00666891"/>
    <w:rsid w:val="00666BEE"/>
    <w:rsid w:val="00666D3F"/>
    <w:rsid w:val="00667067"/>
    <w:rsid w:val="006677C8"/>
    <w:rsid w:val="0066781C"/>
    <w:rsid w:val="00667866"/>
    <w:rsid w:val="006702A7"/>
    <w:rsid w:val="00670308"/>
    <w:rsid w:val="00670682"/>
    <w:rsid w:val="0067070D"/>
    <w:rsid w:val="00670755"/>
    <w:rsid w:val="00670BC7"/>
    <w:rsid w:val="00670D1D"/>
    <w:rsid w:val="00670D34"/>
    <w:rsid w:val="006714DF"/>
    <w:rsid w:val="00671793"/>
    <w:rsid w:val="00671AAE"/>
    <w:rsid w:val="00671C3D"/>
    <w:rsid w:val="00671D50"/>
    <w:rsid w:val="0067208D"/>
    <w:rsid w:val="0067235A"/>
    <w:rsid w:val="00672445"/>
    <w:rsid w:val="00672C0F"/>
    <w:rsid w:val="006734F6"/>
    <w:rsid w:val="00673D2E"/>
    <w:rsid w:val="0067458D"/>
    <w:rsid w:val="00674898"/>
    <w:rsid w:val="00674BE1"/>
    <w:rsid w:val="0067504B"/>
    <w:rsid w:val="00675592"/>
    <w:rsid w:val="006758C0"/>
    <w:rsid w:val="00675E6B"/>
    <w:rsid w:val="00675E6C"/>
    <w:rsid w:val="0067611B"/>
    <w:rsid w:val="0067622C"/>
    <w:rsid w:val="00676296"/>
    <w:rsid w:val="006765D2"/>
    <w:rsid w:val="00676623"/>
    <w:rsid w:val="006768BE"/>
    <w:rsid w:val="00676A58"/>
    <w:rsid w:val="00676B3F"/>
    <w:rsid w:val="00676F83"/>
    <w:rsid w:val="00677DE3"/>
    <w:rsid w:val="00680386"/>
    <w:rsid w:val="0068040E"/>
    <w:rsid w:val="0068072A"/>
    <w:rsid w:val="00680F38"/>
    <w:rsid w:val="00681344"/>
    <w:rsid w:val="006815FD"/>
    <w:rsid w:val="00681789"/>
    <w:rsid w:val="00681790"/>
    <w:rsid w:val="00681A13"/>
    <w:rsid w:val="00681B5C"/>
    <w:rsid w:val="00681BB2"/>
    <w:rsid w:val="00681FEC"/>
    <w:rsid w:val="00682B8C"/>
    <w:rsid w:val="00682EC3"/>
    <w:rsid w:val="00683957"/>
    <w:rsid w:val="006839DA"/>
    <w:rsid w:val="00683B0D"/>
    <w:rsid w:val="00683B3D"/>
    <w:rsid w:val="00683BDF"/>
    <w:rsid w:val="00683F9E"/>
    <w:rsid w:val="006849D3"/>
    <w:rsid w:val="00684EEC"/>
    <w:rsid w:val="00685333"/>
    <w:rsid w:val="00685CF7"/>
    <w:rsid w:val="00686114"/>
    <w:rsid w:val="00686165"/>
    <w:rsid w:val="00686936"/>
    <w:rsid w:val="00686A11"/>
    <w:rsid w:val="0068732F"/>
    <w:rsid w:val="006877C7"/>
    <w:rsid w:val="00687835"/>
    <w:rsid w:val="00687A18"/>
    <w:rsid w:val="006901E1"/>
    <w:rsid w:val="00690AD7"/>
    <w:rsid w:val="00690E2E"/>
    <w:rsid w:val="00691010"/>
    <w:rsid w:val="00691065"/>
    <w:rsid w:val="00691673"/>
    <w:rsid w:val="00691827"/>
    <w:rsid w:val="00691829"/>
    <w:rsid w:val="006919F3"/>
    <w:rsid w:val="00691CB5"/>
    <w:rsid w:val="00691D1A"/>
    <w:rsid w:val="00691DF2"/>
    <w:rsid w:val="006920BD"/>
    <w:rsid w:val="006922DB"/>
    <w:rsid w:val="006923DF"/>
    <w:rsid w:val="00692667"/>
    <w:rsid w:val="00692975"/>
    <w:rsid w:val="00692B76"/>
    <w:rsid w:val="00692C94"/>
    <w:rsid w:val="00692D67"/>
    <w:rsid w:val="00692D83"/>
    <w:rsid w:val="00692FD6"/>
    <w:rsid w:val="0069369D"/>
    <w:rsid w:val="00693E0B"/>
    <w:rsid w:val="00694062"/>
    <w:rsid w:val="00694492"/>
    <w:rsid w:val="00694586"/>
    <w:rsid w:val="0069485B"/>
    <w:rsid w:val="00694C44"/>
    <w:rsid w:val="00695406"/>
    <w:rsid w:val="006957CF"/>
    <w:rsid w:val="00695E31"/>
    <w:rsid w:val="00695E9F"/>
    <w:rsid w:val="006967D9"/>
    <w:rsid w:val="00696806"/>
    <w:rsid w:val="00696A2E"/>
    <w:rsid w:val="0069725E"/>
    <w:rsid w:val="006973BC"/>
    <w:rsid w:val="006979B2"/>
    <w:rsid w:val="00697ED8"/>
    <w:rsid w:val="00697F2D"/>
    <w:rsid w:val="006A0422"/>
    <w:rsid w:val="006A04FB"/>
    <w:rsid w:val="006A0747"/>
    <w:rsid w:val="006A0A0B"/>
    <w:rsid w:val="006A0CCE"/>
    <w:rsid w:val="006A0CF0"/>
    <w:rsid w:val="006A0CFF"/>
    <w:rsid w:val="006A0DD7"/>
    <w:rsid w:val="006A0E4A"/>
    <w:rsid w:val="006A0E70"/>
    <w:rsid w:val="006A0EE9"/>
    <w:rsid w:val="006A1C4A"/>
    <w:rsid w:val="006A1FAF"/>
    <w:rsid w:val="006A2195"/>
    <w:rsid w:val="006A2244"/>
    <w:rsid w:val="006A246F"/>
    <w:rsid w:val="006A2906"/>
    <w:rsid w:val="006A3243"/>
    <w:rsid w:val="006A351A"/>
    <w:rsid w:val="006A37F5"/>
    <w:rsid w:val="006A3886"/>
    <w:rsid w:val="006A38EE"/>
    <w:rsid w:val="006A3FA2"/>
    <w:rsid w:val="006A4194"/>
    <w:rsid w:val="006A4C7A"/>
    <w:rsid w:val="006A4E20"/>
    <w:rsid w:val="006A4E4B"/>
    <w:rsid w:val="006A4F05"/>
    <w:rsid w:val="006A4F42"/>
    <w:rsid w:val="006A55BB"/>
    <w:rsid w:val="006A5830"/>
    <w:rsid w:val="006A5A1B"/>
    <w:rsid w:val="006A5AAB"/>
    <w:rsid w:val="006A6042"/>
    <w:rsid w:val="006A6075"/>
    <w:rsid w:val="006A63ED"/>
    <w:rsid w:val="006A6544"/>
    <w:rsid w:val="006A6664"/>
    <w:rsid w:val="006A67CA"/>
    <w:rsid w:val="006A6C35"/>
    <w:rsid w:val="006A6DD7"/>
    <w:rsid w:val="006A6E90"/>
    <w:rsid w:val="006A710C"/>
    <w:rsid w:val="006A74D5"/>
    <w:rsid w:val="006A779C"/>
    <w:rsid w:val="006A79DC"/>
    <w:rsid w:val="006B0155"/>
    <w:rsid w:val="006B04A9"/>
    <w:rsid w:val="006B0899"/>
    <w:rsid w:val="006B0DC9"/>
    <w:rsid w:val="006B1021"/>
    <w:rsid w:val="006B13CE"/>
    <w:rsid w:val="006B141A"/>
    <w:rsid w:val="006B1802"/>
    <w:rsid w:val="006B1925"/>
    <w:rsid w:val="006B1995"/>
    <w:rsid w:val="006B1CAE"/>
    <w:rsid w:val="006B1EAC"/>
    <w:rsid w:val="006B29C2"/>
    <w:rsid w:val="006B2CD6"/>
    <w:rsid w:val="006B30F8"/>
    <w:rsid w:val="006B3160"/>
    <w:rsid w:val="006B37BC"/>
    <w:rsid w:val="006B37DC"/>
    <w:rsid w:val="006B38FF"/>
    <w:rsid w:val="006B3A39"/>
    <w:rsid w:val="006B3D59"/>
    <w:rsid w:val="006B3DDA"/>
    <w:rsid w:val="006B41DB"/>
    <w:rsid w:val="006B4254"/>
    <w:rsid w:val="006B4ABD"/>
    <w:rsid w:val="006B5459"/>
    <w:rsid w:val="006B54CE"/>
    <w:rsid w:val="006B562A"/>
    <w:rsid w:val="006B591A"/>
    <w:rsid w:val="006B5E76"/>
    <w:rsid w:val="006B5E8A"/>
    <w:rsid w:val="006B6049"/>
    <w:rsid w:val="006B63E4"/>
    <w:rsid w:val="006B677D"/>
    <w:rsid w:val="006B6ADB"/>
    <w:rsid w:val="006B6AFA"/>
    <w:rsid w:val="006B6E2B"/>
    <w:rsid w:val="006B6FBB"/>
    <w:rsid w:val="006B7064"/>
    <w:rsid w:val="006B7251"/>
    <w:rsid w:val="006B72BA"/>
    <w:rsid w:val="006B7397"/>
    <w:rsid w:val="006B7442"/>
    <w:rsid w:val="006B7AF2"/>
    <w:rsid w:val="006B7D7B"/>
    <w:rsid w:val="006C0365"/>
    <w:rsid w:val="006C071C"/>
    <w:rsid w:val="006C0B20"/>
    <w:rsid w:val="006C0E11"/>
    <w:rsid w:val="006C11D2"/>
    <w:rsid w:val="006C1250"/>
    <w:rsid w:val="006C139F"/>
    <w:rsid w:val="006C153F"/>
    <w:rsid w:val="006C1892"/>
    <w:rsid w:val="006C1F5E"/>
    <w:rsid w:val="006C21A7"/>
    <w:rsid w:val="006C233A"/>
    <w:rsid w:val="006C238D"/>
    <w:rsid w:val="006C2599"/>
    <w:rsid w:val="006C3379"/>
    <w:rsid w:val="006C3494"/>
    <w:rsid w:val="006C3DC9"/>
    <w:rsid w:val="006C3E12"/>
    <w:rsid w:val="006C400B"/>
    <w:rsid w:val="006C4070"/>
    <w:rsid w:val="006C407B"/>
    <w:rsid w:val="006C45E6"/>
    <w:rsid w:val="006C4616"/>
    <w:rsid w:val="006C474C"/>
    <w:rsid w:val="006C4905"/>
    <w:rsid w:val="006C4958"/>
    <w:rsid w:val="006C52D9"/>
    <w:rsid w:val="006C5440"/>
    <w:rsid w:val="006C5472"/>
    <w:rsid w:val="006C56C0"/>
    <w:rsid w:val="006C5B73"/>
    <w:rsid w:val="006C62B1"/>
    <w:rsid w:val="006C645D"/>
    <w:rsid w:val="006C67D3"/>
    <w:rsid w:val="006C6AD2"/>
    <w:rsid w:val="006C7165"/>
    <w:rsid w:val="006C7184"/>
    <w:rsid w:val="006C71C1"/>
    <w:rsid w:val="006C727D"/>
    <w:rsid w:val="006C7368"/>
    <w:rsid w:val="006C7470"/>
    <w:rsid w:val="006C74B0"/>
    <w:rsid w:val="006C7961"/>
    <w:rsid w:val="006C7DEC"/>
    <w:rsid w:val="006D0420"/>
    <w:rsid w:val="006D07E9"/>
    <w:rsid w:val="006D0BE7"/>
    <w:rsid w:val="006D153A"/>
    <w:rsid w:val="006D15A6"/>
    <w:rsid w:val="006D1737"/>
    <w:rsid w:val="006D1C26"/>
    <w:rsid w:val="006D1CF8"/>
    <w:rsid w:val="006D1F7A"/>
    <w:rsid w:val="006D337C"/>
    <w:rsid w:val="006D37B0"/>
    <w:rsid w:val="006D3CA9"/>
    <w:rsid w:val="006D3D52"/>
    <w:rsid w:val="006D3FDA"/>
    <w:rsid w:val="006D46A3"/>
    <w:rsid w:val="006D4D1B"/>
    <w:rsid w:val="006D4DF8"/>
    <w:rsid w:val="006D4FF2"/>
    <w:rsid w:val="006D543A"/>
    <w:rsid w:val="006D555C"/>
    <w:rsid w:val="006D55B5"/>
    <w:rsid w:val="006D56EF"/>
    <w:rsid w:val="006D5809"/>
    <w:rsid w:val="006D5B85"/>
    <w:rsid w:val="006D5D67"/>
    <w:rsid w:val="006D5E1F"/>
    <w:rsid w:val="006D628D"/>
    <w:rsid w:val="006D6484"/>
    <w:rsid w:val="006D71F8"/>
    <w:rsid w:val="006D766C"/>
    <w:rsid w:val="006D7897"/>
    <w:rsid w:val="006D7A05"/>
    <w:rsid w:val="006E0466"/>
    <w:rsid w:val="006E072A"/>
    <w:rsid w:val="006E0A40"/>
    <w:rsid w:val="006E0B17"/>
    <w:rsid w:val="006E0BC2"/>
    <w:rsid w:val="006E0E01"/>
    <w:rsid w:val="006E0ED2"/>
    <w:rsid w:val="006E126E"/>
    <w:rsid w:val="006E134C"/>
    <w:rsid w:val="006E19B0"/>
    <w:rsid w:val="006E1AFD"/>
    <w:rsid w:val="006E1CF7"/>
    <w:rsid w:val="006E1E15"/>
    <w:rsid w:val="006E1E89"/>
    <w:rsid w:val="006E20A2"/>
    <w:rsid w:val="006E21C5"/>
    <w:rsid w:val="006E2C18"/>
    <w:rsid w:val="006E2CF7"/>
    <w:rsid w:val="006E2D2A"/>
    <w:rsid w:val="006E2E92"/>
    <w:rsid w:val="006E2EC1"/>
    <w:rsid w:val="006E31C8"/>
    <w:rsid w:val="006E325F"/>
    <w:rsid w:val="006E3869"/>
    <w:rsid w:val="006E392C"/>
    <w:rsid w:val="006E3CC3"/>
    <w:rsid w:val="006E3D91"/>
    <w:rsid w:val="006E4168"/>
    <w:rsid w:val="006E46CA"/>
    <w:rsid w:val="006E470C"/>
    <w:rsid w:val="006E4FBB"/>
    <w:rsid w:val="006E5247"/>
    <w:rsid w:val="006E539E"/>
    <w:rsid w:val="006E5523"/>
    <w:rsid w:val="006E5802"/>
    <w:rsid w:val="006E5821"/>
    <w:rsid w:val="006E5A5B"/>
    <w:rsid w:val="006E5A87"/>
    <w:rsid w:val="006E5AA8"/>
    <w:rsid w:val="006E5E4C"/>
    <w:rsid w:val="006E653E"/>
    <w:rsid w:val="006E6696"/>
    <w:rsid w:val="006E67D4"/>
    <w:rsid w:val="006E68A7"/>
    <w:rsid w:val="006E6A4B"/>
    <w:rsid w:val="006E6E5E"/>
    <w:rsid w:val="006E717A"/>
    <w:rsid w:val="006E73BF"/>
    <w:rsid w:val="006E766F"/>
    <w:rsid w:val="006E7720"/>
    <w:rsid w:val="006E7C43"/>
    <w:rsid w:val="006F0429"/>
    <w:rsid w:val="006F05E7"/>
    <w:rsid w:val="006F0995"/>
    <w:rsid w:val="006F0F17"/>
    <w:rsid w:val="006F12A7"/>
    <w:rsid w:val="006F13EE"/>
    <w:rsid w:val="006F17C4"/>
    <w:rsid w:val="006F19CC"/>
    <w:rsid w:val="006F1B2A"/>
    <w:rsid w:val="006F1B72"/>
    <w:rsid w:val="006F1EF5"/>
    <w:rsid w:val="006F209D"/>
    <w:rsid w:val="006F20BE"/>
    <w:rsid w:val="006F283F"/>
    <w:rsid w:val="006F2C47"/>
    <w:rsid w:val="006F2DEB"/>
    <w:rsid w:val="006F3314"/>
    <w:rsid w:val="006F3502"/>
    <w:rsid w:val="006F3638"/>
    <w:rsid w:val="006F3CD3"/>
    <w:rsid w:val="006F3F97"/>
    <w:rsid w:val="006F46A4"/>
    <w:rsid w:val="006F4955"/>
    <w:rsid w:val="006F5067"/>
    <w:rsid w:val="006F51CC"/>
    <w:rsid w:val="006F5E4B"/>
    <w:rsid w:val="006F5FA1"/>
    <w:rsid w:val="006F60D6"/>
    <w:rsid w:val="006F688D"/>
    <w:rsid w:val="006F7197"/>
    <w:rsid w:val="006F7213"/>
    <w:rsid w:val="006F7219"/>
    <w:rsid w:val="006F7232"/>
    <w:rsid w:val="006F76D0"/>
    <w:rsid w:val="006F7941"/>
    <w:rsid w:val="006F7CFE"/>
    <w:rsid w:val="00700204"/>
    <w:rsid w:val="0070053C"/>
    <w:rsid w:val="00700940"/>
    <w:rsid w:val="00700F80"/>
    <w:rsid w:val="00701425"/>
    <w:rsid w:val="0070149E"/>
    <w:rsid w:val="00701E2E"/>
    <w:rsid w:val="00701FF5"/>
    <w:rsid w:val="007020B5"/>
    <w:rsid w:val="007026B4"/>
    <w:rsid w:val="0070284C"/>
    <w:rsid w:val="00702914"/>
    <w:rsid w:val="00702AF9"/>
    <w:rsid w:val="00702AFF"/>
    <w:rsid w:val="00702B4F"/>
    <w:rsid w:val="00702D40"/>
    <w:rsid w:val="0070301F"/>
    <w:rsid w:val="00703B92"/>
    <w:rsid w:val="00703BD3"/>
    <w:rsid w:val="00703D99"/>
    <w:rsid w:val="00703FB9"/>
    <w:rsid w:val="00704434"/>
    <w:rsid w:val="007047D6"/>
    <w:rsid w:val="00704DA6"/>
    <w:rsid w:val="00705109"/>
    <w:rsid w:val="0070534F"/>
    <w:rsid w:val="00705999"/>
    <w:rsid w:val="007059C1"/>
    <w:rsid w:val="00705DD6"/>
    <w:rsid w:val="00705E32"/>
    <w:rsid w:val="007060D8"/>
    <w:rsid w:val="00706115"/>
    <w:rsid w:val="007062E7"/>
    <w:rsid w:val="007063C3"/>
    <w:rsid w:val="007067AB"/>
    <w:rsid w:val="00706A14"/>
    <w:rsid w:val="00706E8E"/>
    <w:rsid w:val="00707115"/>
    <w:rsid w:val="00707364"/>
    <w:rsid w:val="00707639"/>
    <w:rsid w:val="007078E3"/>
    <w:rsid w:val="0071082D"/>
    <w:rsid w:val="00710D1F"/>
    <w:rsid w:val="00710E9C"/>
    <w:rsid w:val="00710FC7"/>
    <w:rsid w:val="007115D4"/>
    <w:rsid w:val="00711997"/>
    <w:rsid w:val="00711ED8"/>
    <w:rsid w:val="00712146"/>
    <w:rsid w:val="007121D6"/>
    <w:rsid w:val="007121F7"/>
    <w:rsid w:val="00712265"/>
    <w:rsid w:val="007124CD"/>
    <w:rsid w:val="00712527"/>
    <w:rsid w:val="00712553"/>
    <w:rsid w:val="007125B7"/>
    <w:rsid w:val="007127AE"/>
    <w:rsid w:val="00712C63"/>
    <w:rsid w:val="0071356F"/>
    <w:rsid w:val="00713A28"/>
    <w:rsid w:val="00713BAA"/>
    <w:rsid w:val="00713FFB"/>
    <w:rsid w:val="007141DA"/>
    <w:rsid w:val="00714210"/>
    <w:rsid w:val="00714367"/>
    <w:rsid w:val="007147B9"/>
    <w:rsid w:val="00714DA4"/>
    <w:rsid w:val="00715570"/>
    <w:rsid w:val="00715637"/>
    <w:rsid w:val="00715640"/>
    <w:rsid w:val="00715747"/>
    <w:rsid w:val="00715D9A"/>
    <w:rsid w:val="00715E33"/>
    <w:rsid w:val="00715F43"/>
    <w:rsid w:val="007161CC"/>
    <w:rsid w:val="00716266"/>
    <w:rsid w:val="007163E0"/>
    <w:rsid w:val="00716636"/>
    <w:rsid w:val="00716A37"/>
    <w:rsid w:val="00716C48"/>
    <w:rsid w:val="00716FC4"/>
    <w:rsid w:val="00717383"/>
    <w:rsid w:val="0072032F"/>
    <w:rsid w:val="00720A14"/>
    <w:rsid w:val="00720A4B"/>
    <w:rsid w:val="007218CA"/>
    <w:rsid w:val="007219A2"/>
    <w:rsid w:val="007219D9"/>
    <w:rsid w:val="00721A91"/>
    <w:rsid w:val="00721BEC"/>
    <w:rsid w:val="0072200D"/>
    <w:rsid w:val="007222C2"/>
    <w:rsid w:val="007224A7"/>
    <w:rsid w:val="00722584"/>
    <w:rsid w:val="00722595"/>
    <w:rsid w:val="007226F9"/>
    <w:rsid w:val="00722B53"/>
    <w:rsid w:val="00722BAF"/>
    <w:rsid w:val="00722C18"/>
    <w:rsid w:val="0072311D"/>
    <w:rsid w:val="007233BA"/>
    <w:rsid w:val="007236AD"/>
    <w:rsid w:val="007238D7"/>
    <w:rsid w:val="00723F10"/>
    <w:rsid w:val="00724187"/>
    <w:rsid w:val="007241DD"/>
    <w:rsid w:val="00724720"/>
    <w:rsid w:val="007249F4"/>
    <w:rsid w:val="00724AB5"/>
    <w:rsid w:val="0072507C"/>
    <w:rsid w:val="007255A3"/>
    <w:rsid w:val="007255E5"/>
    <w:rsid w:val="007255F7"/>
    <w:rsid w:val="0072567A"/>
    <w:rsid w:val="00725C9D"/>
    <w:rsid w:val="00725F4C"/>
    <w:rsid w:val="007263E0"/>
    <w:rsid w:val="00726609"/>
    <w:rsid w:val="007266B0"/>
    <w:rsid w:val="007267D5"/>
    <w:rsid w:val="00726837"/>
    <w:rsid w:val="00726B94"/>
    <w:rsid w:val="00726DB9"/>
    <w:rsid w:val="00726EA4"/>
    <w:rsid w:val="00727029"/>
    <w:rsid w:val="00727216"/>
    <w:rsid w:val="0072748B"/>
    <w:rsid w:val="00727A03"/>
    <w:rsid w:val="00727C68"/>
    <w:rsid w:val="00727D86"/>
    <w:rsid w:val="00727DEC"/>
    <w:rsid w:val="00727E8F"/>
    <w:rsid w:val="00727EB4"/>
    <w:rsid w:val="00730083"/>
    <w:rsid w:val="00730158"/>
    <w:rsid w:val="00730841"/>
    <w:rsid w:val="00730D15"/>
    <w:rsid w:val="00731357"/>
    <w:rsid w:val="007314CA"/>
    <w:rsid w:val="00731779"/>
    <w:rsid w:val="0073184A"/>
    <w:rsid w:val="00731BB0"/>
    <w:rsid w:val="00731C4D"/>
    <w:rsid w:val="0073206C"/>
    <w:rsid w:val="0073233A"/>
    <w:rsid w:val="00733042"/>
    <w:rsid w:val="007331C0"/>
    <w:rsid w:val="00733285"/>
    <w:rsid w:val="00733426"/>
    <w:rsid w:val="00733470"/>
    <w:rsid w:val="007335A8"/>
    <w:rsid w:val="00733B0B"/>
    <w:rsid w:val="0073456D"/>
    <w:rsid w:val="00734936"/>
    <w:rsid w:val="00734A32"/>
    <w:rsid w:val="00734BEF"/>
    <w:rsid w:val="00734F18"/>
    <w:rsid w:val="0073514E"/>
    <w:rsid w:val="00735361"/>
    <w:rsid w:val="007354DA"/>
    <w:rsid w:val="0073598E"/>
    <w:rsid w:val="007359E5"/>
    <w:rsid w:val="00735B2E"/>
    <w:rsid w:val="00735C55"/>
    <w:rsid w:val="00736019"/>
    <w:rsid w:val="00736529"/>
    <w:rsid w:val="00736577"/>
    <w:rsid w:val="00736788"/>
    <w:rsid w:val="0073680F"/>
    <w:rsid w:val="00736F6A"/>
    <w:rsid w:val="00737294"/>
    <w:rsid w:val="007373E2"/>
    <w:rsid w:val="007378D7"/>
    <w:rsid w:val="0073799C"/>
    <w:rsid w:val="00737AAF"/>
    <w:rsid w:val="00737CCE"/>
    <w:rsid w:val="007402ED"/>
    <w:rsid w:val="0074032F"/>
    <w:rsid w:val="00740538"/>
    <w:rsid w:val="0074074C"/>
    <w:rsid w:val="00740B87"/>
    <w:rsid w:val="00740C99"/>
    <w:rsid w:val="00741280"/>
    <w:rsid w:val="007418E3"/>
    <w:rsid w:val="0074190D"/>
    <w:rsid w:val="00741DEE"/>
    <w:rsid w:val="0074266A"/>
    <w:rsid w:val="00742A2A"/>
    <w:rsid w:val="00742B75"/>
    <w:rsid w:val="007431BE"/>
    <w:rsid w:val="007432B4"/>
    <w:rsid w:val="0074396A"/>
    <w:rsid w:val="00743A9B"/>
    <w:rsid w:val="00743DB6"/>
    <w:rsid w:val="00744136"/>
    <w:rsid w:val="0074419D"/>
    <w:rsid w:val="0074424C"/>
    <w:rsid w:val="0074439A"/>
    <w:rsid w:val="007449D9"/>
    <w:rsid w:val="00744CEB"/>
    <w:rsid w:val="00744E2C"/>
    <w:rsid w:val="00744EEA"/>
    <w:rsid w:val="00744EF2"/>
    <w:rsid w:val="00744F38"/>
    <w:rsid w:val="007453FB"/>
    <w:rsid w:val="0074559E"/>
    <w:rsid w:val="0074570C"/>
    <w:rsid w:val="007457F6"/>
    <w:rsid w:val="00745A2C"/>
    <w:rsid w:val="00745E95"/>
    <w:rsid w:val="00746113"/>
    <w:rsid w:val="0074644A"/>
    <w:rsid w:val="00746486"/>
    <w:rsid w:val="00746582"/>
    <w:rsid w:val="007468F7"/>
    <w:rsid w:val="00746D52"/>
    <w:rsid w:val="00746E59"/>
    <w:rsid w:val="00746FBF"/>
    <w:rsid w:val="00747509"/>
    <w:rsid w:val="007475BB"/>
    <w:rsid w:val="007475E1"/>
    <w:rsid w:val="0074777C"/>
    <w:rsid w:val="00747BF6"/>
    <w:rsid w:val="00747FA2"/>
    <w:rsid w:val="00750088"/>
    <w:rsid w:val="007500CD"/>
    <w:rsid w:val="00750332"/>
    <w:rsid w:val="007503B7"/>
    <w:rsid w:val="00750558"/>
    <w:rsid w:val="0075057B"/>
    <w:rsid w:val="007508DB"/>
    <w:rsid w:val="0075092F"/>
    <w:rsid w:val="0075098F"/>
    <w:rsid w:val="007509DD"/>
    <w:rsid w:val="00750B70"/>
    <w:rsid w:val="007514AE"/>
    <w:rsid w:val="007514DE"/>
    <w:rsid w:val="007517BC"/>
    <w:rsid w:val="00751B49"/>
    <w:rsid w:val="00751DCE"/>
    <w:rsid w:val="00751E63"/>
    <w:rsid w:val="00752016"/>
    <w:rsid w:val="0075227D"/>
    <w:rsid w:val="00752640"/>
    <w:rsid w:val="00752931"/>
    <w:rsid w:val="00752AFF"/>
    <w:rsid w:val="00752F7B"/>
    <w:rsid w:val="0075311D"/>
    <w:rsid w:val="00753269"/>
    <w:rsid w:val="0075362A"/>
    <w:rsid w:val="007536B3"/>
    <w:rsid w:val="00753722"/>
    <w:rsid w:val="0075381D"/>
    <w:rsid w:val="00753955"/>
    <w:rsid w:val="007539A0"/>
    <w:rsid w:val="00753D21"/>
    <w:rsid w:val="00754303"/>
    <w:rsid w:val="0075499E"/>
    <w:rsid w:val="00754C9A"/>
    <w:rsid w:val="00754EE0"/>
    <w:rsid w:val="00754F45"/>
    <w:rsid w:val="00754FB4"/>
    <w:rsid w:val="0075508C"/>
    <w:rsid w:val="00755131"/>
    <w:rsid w:val="0075526C"/>
    <w:rsid w:val="00755D45"/>
    <w:rsid w:val="00755E57"/>
    <w:rsid w:val="00756263"/>
    <w:rsid w:val="0075715A"/>
    <w:rsid w:val="007574E5"/>
    <w:rsid w:val="0075755D"/>
    <w:rsid w:val="00757861"/>
    <w:rsid w:val="00757957"/>
    <w:rsid w:val="00757F49"/>
    <w:rsid w:val="00760460"/>
    <w:rsid w:val="007606CF"/>
    <w:rsid w:val="00760870"/>
    <w:rsid w:val="00760FCF"/>
    <w:rsid w:val="00761BE6"/>
    <w:rsid w:val="0076251A"/>
    <w:rsid w:val="0076255D"/>
    <w:rsid w:val="00762676"/>
    <w:rsid w:val="00762B90"/>
    <w:rsid w:val="00762E69"/>
    <w:rsid w:val="00762FF6"/>
    <w:rsid w:val="0076333D"/>
    <w:rsid w:val="00763474"/>
    <w:rsid w:val="00763515"/>
    <w:rsid w:val="0076382A"/>
    <w:rsid w:val="00763976"/>
    <w:rsid w:val="00763A38"/>
    <w:rsid w:val="00763B12"/>
    <w:rsid w:val="00764153"/>
    <w:rsid w:val="00764179"/>
    <w:rsid w:val="007646F2"/>
    <w:rsid w:val="007648E0"/>
    <w:rsid w:val="00764907"/>
    <w:rsid w:val="00764B62"/>
    <w:rsid w:val="00764D7D"/>
    <w:rsid w:val="007652A9"/>
    <w:rsid w:val="007652E6"/>
    <w:rsid w:val="00765391"/>
    <w:rsid w:val="00765571"/>
    <w:rsid w:val="007657DF"/>
    <w:rsid w:val="0076580A"/>
    <w:rsid w:val="00765994"/>
    <w:rsid w:val="007662E3"/>
    <w:rsid w:val="007668B1"/>
    <w:rsid w:val="00766AAE"/>
    <w:rsid w:val="00766FC3"/>
    <w:rsid w:val="00767330"/>
    <w:rsid w:val="007673C1"/>
    <w:rsid w:val="007674CD"/>
    <w:rsid w:val="0076784A"/>
    <w:rsid w:val="0076795F"/>
    <w:rsid w:val="00767A62"/>
    <w:rsid w:val="00767C74"/>
    <w:rsid w:val="007700B5"/>
    <w:rsid w:val="00770308"/>
    <w:rsid w:val="00770532"/>
    <w:rsid w:val="0077071B"/>
    <w:rsid w:val="00770B10"/>
    <w:rsid w:val="00770BAD"/>
    <w:rsid w:val="007710C7"/>
    <w:rsid w:val="0077168C"/>
    <w:rsid w:val="00771756"/>
    <w:rsid w:val="00771BE0"/>
    <w:rsid w:val="00771F3C"/>
    <w:rsid w:val="007723DC"/>
    <w:rsid w:val="00772869"/>
    <w:rsid w:val="0077326D"/>
    <w:rsid w:val="00773485"/>
    <w:rsid w:val="007737BC"/>
    <w:rsid w:val="007739D3"/>
    <w:rsid w:val="00773A35"/>
    <w:rsid w:val="00773B60"/>
    <w:rsid w:val="007746B5"/>
    <w:rsid w:val="00774C6D"/>
    <w:rsid w:val="00774FBA"/>
    <w:rsid w:val="007755DE"/>
    <w:rsid w:val="007757D0"/>
    <w:rsid w:val="00775874"/>
    <w:rsid w:val="00775956"/>
    <w:rsid w:val="00775C38"/>
    <w:rsid w:val="00776076"/>
    <w:rsid w:val="007763CE"/>
    <w:rsid w:val="00776428"/>
    <w:rsid w:val="0077643F"/>
    <w:rsid w:val="00776CA3"/>
    <w:rsid w:val="00776F7B"/>
    <w:rsid w:val="00776F85"/>
    <w:rsid w:val="007771E6"/>
    <w:rsid w:val="0077737D"/>
    <w:rsid w:val="0077740E"/>
    <w:rsid w:val="00777972"/>
    <w:rsid w:val="00777CB8"/>
    <w:rsid w:val="00777F37"/>
    <w:rsid w:val="0078000D"/>
    <w:rsid w:val="007803EB"/>
    <w:rsid w:val="00780414"/>
    <w:rsid w:val="00780771"/>
    <w:rsid w:val="00780D6E"/>
    <w:rsid w:val="00781079"/>
    <w:rsid w:val="007811A8"/>
    <w:rsid w:val="00781280"/>
    <w:rsid w:val="00781409"/>
    <w:rsid w:val="0078145C"/>
    <w:rsid w:val="00781525"/>
    <w:rsid w:val="007819DB"/>
    <w:rsid w:val="00781F35"/>
    <w:rsid w:val="0078247A"/>
    <w:rsid w:val="00782738"/>
    <w:rsid w:val="00782982"/>
    <w:rsid w:val="00782DEE"/>
    <w:rsid w:val="007835F4"/>
    <w:rsid w:val="00783DF2"/>
    <w:rsid w:val="0078417D"/>
    <w:rsid w:val="007844BD"/>
    <w:rsid w:val="00784671"/>
    <w:rsid w:val="00784860"/>
    <w:rsid w:val="00784A1C"/>
    <w:rsid w:val="00784C0A"/>
    <w:rsid w:val="00784C29"/>
    <w:rsid w:val="00784DCB"/>
    <w:rsid w:val="00784EF4"/>
    <w:rsid w:val="00784FED"/>
    <w:rsid w:val="0078521D"/>
    <w:rsid w:val="00785505"/>
    <w:rsid w:val="00785748"/>
    <w:rsid w:val="00785CF7"/>
    <w:rsid w:val="00786372"/>
    <w:rsid w:val="007864CB"/>
    <w:rsid w:val="007865CB"/>
    <w:rsid w:val="007866A1"/>
    <w:rsid w:val="00786809"/>
    <w:rsid w:val="0078727A"/>
    <w:rsid w:val="007873AB"/>
    <w:rsid w:val="00787C06"/>
    <w:rsid w:val="00787EE6"/>
    <w:rsid w:val="007902D6"/>
    <w:rsid w:val="00790434"/>
    <w:rsid w:val="0079060F"/>
    <w:rsid w:val="00790714"/>
    <w:rsid w:val="00790A67"/>
    <w:rsid w:val="00791346"/>
    <w:rsid w:val="007916ED"/>
    <w:rsid w:val="007919BC"/>
    <w:rsid w:val="00792032"/>
    <w:rsid w:val="007923CF"/>
    <w:rsid w:val="00792661"/>
    <w:rsid w:val="007929C4"/>
    <w:rsid w:val="00792EAF"/>
    <w:rsid w:val="00793027"/>
    <w:rsid w:val="007934AF"/>
    <w:rsid w:val="0079381F"/>
    <w:rsid w:val="007939A3"/>
    <w:rsid w:val="00793F59"/>
    <w:rsid w:val="00794713"/>
    <w:rsid w:val="00794A5F"/>
    <w:rsid w:val="00794B29"/>
    <w:rsid w:val="00794B40"/>
    <w:rsid w:val="00794D3F"/>
    <w:rsid w:val="00794E2F"/>
    <w:rsid w:val="00794F83"/>
    <w:rsid w:val="00794FE8"/>
    <w:rsid w:val="007951BC"/>
    <w:rsid w:val="00795444"/>
    <w:rsid w:val="00795494"/>
    <w:rsid w:val="0079569E"/>
    <w:rsid w:val="007956B5"/>
    <w:rsid w:val="00795B56"/>
    <w:rsid w:val="007961C3"/>
    <w:rsid w:val="007968F7"/>
    <w:rsid w:val="00796D95"/>
    <w:rsid w:val="00796E2E"/>
    <w:rsid w:val="00796ECA"/>
    <w:rsid w:val="00796F73"/>
    <w:rsid w:val="00796FC3"/>
    <w:rsid w:val="00797170"/>
    <w:rsid w:val="00797A88"/>
    <w:rsid w:val="00797C4A"/>
    <w:rsid w:val="00797DA6"/>
    <w:rsid w:val="00797EA3"/>
    <w:rsid w:val="00797FAA"/>
    <w:rsid w:val="007A063C"/>
    <w:rsid w:val="007A07E7"/>
    <w:rsid w:val="007A0A16"/>
    <w:rsid w:val="007A0BF6"/>
    <w:rsid w:val="007A0BFC"/>
    <w:rsid w:val="007A1079"/>
    <w:rsid w:val="007A1836"/>
    <w:rsid w:val="007A1A15"/>
    <w:rsid w:val="007A1B6C"/>
    <w:rsid w:val="007A1E8A"/>
    <w:rsid w:val="007A2429"/>
    <w:rsid w:val="007A24B5"/>
    <w:rsid w:val="007A25C1"/>
    <w:rsid w:val="007A26AA"/>
    <w:rsid w:val="007A28A3"/>
    <w:rsid w:val="007A32D9"/>
    <w:rsid w:val="007A3897"/>
    <w:rsid w:val="007A3F5D"/>
    <w:rsid w:val="007A432A"/>
    <w:rsid w:val="007A5245"/>
    <w:rsid w:val="007A53A3"/>
    <w:rsid w:val="007A566E"/>
    <w:rsid w:val="007A5842"/>
    <w:rsid w:val="007A59F4"/>
    <w:rsid w:val="007A622B"/>
    <w:rsid w:val="007A623F"/>
    <w:rsid w:val="007A629A"/>
    <w:rsid w:val="007A62CC"/>
    <w:rsid w:val="007A62FA"/>
    <w:rsid w:val="007A67D9"/>
    <w:rsid w:val="007A71CB"/>
    <w:rsid w:val="007A71DB"/>
    <w:rsid w:val="007A7595"/>
    <w:rsid w:val="007A7C27"/>
    <w:rsid w:val="007B0113"/>
    <w:rsid w:val="007B06AA"/>
    <w:rsid w:val="007B089E"/>
    <w:rsid w:val="007B08A1"/>
    <w:rsid w:val="007B1018"/>
    <w:rsid w:val="007B163F"/>
    <w:rsid w:val="007B178A"/>
    <w:rsid w:val="007B193A"/>
    <w:rsid w:val="007B19FB"/>
    <w:rsid w:val="007B1A91"/>
    <w:rsid w:val="007B1AAB"/>
    <w:rsid w:val="007B1FA5"/>
    <w:rsid w:val="007B206C"/>
    <w:rsid w:val="007B2276"/>
    <w:rsid w:val="007B2524"/>
    <w:rsid w:val="007B2677"/>
    <w:rsid w:val="007B2C12"/>
    <w:rsid w:val="007B324E"/>
    <w:rsid w:val="007B3769"/>
    <w:rsid w:val="007B3C89"/>
    <w:rsid w:val="007B3D0B"/>
    <w:rsid w:val="007B3D9E"/>
    <w:rsid w:val="007B3EAC"/>
    <w:rsid w:val="007B3FDE"/>
    <w:rsid w:val="007B4A8B"/>
    <w:rsid w:val="007B4BC4"/>
    <w:rsid w:val="007B4E80"/>
    <w:rsid w:val="007B531C"/>
    <w:rsid w:val="007B54F6"/>
    <w:rsid w:val="007B5592"/>
    <w:rsid w:val="007B5653"/>
    <w:rsid w:val="007B5CF8"/>
    <w:rsid w:val="007B5E39"/>
    <w:rsid w:val="007B623E"/>
    <w:rsid w:val="007B633E"/>
    <w:rsid w:val="007B6708"/>
    <w:rsid w:val="007B68D5"/>
    <w:rsid w:val="007B6D0E"/>
    <w:rsid w:val="007B6D7E"/>
    <w:rsid w:val="007B700E"/>
    <w:rsid w:val="007B7226"/>
    <w:rsid w:val="007B722F"/>
    <w:rsid w:val="007B731A"/>
    <w:rsid w:val="007B737F"/>
    <w:rsid w:val="007B76AB"/>
    <w:rsid w:val="007B76DA"/>
    <w:rsid w:val="007B7941"/>
    <w:rsid w:val="007B7C53"/>
    <w:rsid w:val="007B7D81"/>
    <w:rsid w:val="007B7F83"/>
    <w:rsid w:val="007C03FE"/>
    <w:rsid w:val="007C0423"/>
    <w:rsid w:val="007C053A"/>
    <w:rsid w:val="007C0652"/>
    <w:rsid w:val="007C06C7"/>
    <w:rsid w:val="007C0FEC"/>
    <w:rsid w:val="007C1234"/>
    <w:rsid w:val="007C176B"/>
    <w:rsid w:val="007C18E4"/>
    <w:rsid w:val="007C18F7"/>
    <w:rsid w:val="007C1E6A"/>
    <w:rsid w:val="007C2533"/>
    <w:rsid w:val="007C2604"/>
    <w:rsid w:val="007C2608"/>
    <w:rsid w:val="007C336E"/>
    <w:rsid w:val="007C366B"/>
    <w:rsid w:val="007C408D"/>
    <w:rsid w:val="007C4ED0"/>
    <w:rsid w:val="007C508E"/>
    <w:rsid w:val="007C5635"/>
    <w:rsid w:val="007C575B"/>
    <w:rsid w:val="007C583C"/>
    <w:rsid w:val="007C5CAD"/>
    <w:rsid w:val="007C634F"/>
    <w:rsid w:val="007C6F6C"/>
    <w:rsid w:val="007C6F75"/>
    <w:rsid w:val="007C7061"/>
    <w:rsid w:val="007C75CB"/>
    <w:rsid w:val="007C7B17"/>
    <w:rsid w:val="007D0335"/>
    <w:rsid w:val="007D0396"/>
    <w:rsid w:val="007D0674"/>
    <w:rsid w:val="007D18C0"/>
    <w:rsid w:val="007D1B81"/>
    <w:rsid w:val="007D1B98"/>
    <w:rsid w:val="007D1E1C"/>
    <w:rsid w:val="007D27E3"/>
    <w:rsid w:val="007D28C4"/>
    <w:rsid w:val="007D2AFE"/>
    <w:rsid w:val="007D2F98"/>
    <w:rsid w:val="007D3281"/>
    <w:rsid w:val="007D3402"/>
    <w:rsid w:val="007D3870"/>
    <w:rsid w:val="007D398C"/>
    <w:rsid w:val="007D39BB"/>
    <w:rsid w:val="007D40B7"/>
    <w:rsid w:val="007D4948"/>
    <w:rsid w:val="007D4BD0"/>
    <w:rsid w:val="007D4C80"/>
    <w:rsid w:val="007D4D1C"/>
    <w:rsid w:val="007D4D42"/>
    <w:rsid w:val="007D4F40"/>
    <w:rsid w:val="007D5540"/>
    <w:rsid w:val="007D5745"/>
    <w:rsid w:val="007D592B"/>
    <w:rsid w:val="007D5AA6"/>
    <w:rsid w:val="007D5B3F"/>
    <w:rsid w:val="007D5FFD"/>
    <w:rsid w:val="007D6500"/>
    <w:rsid w:val="007D6BBF"/>
    <w:rsid w:val="007D6C70"/>
    <w:rsid w:val="007D7040"/>
    <w:rsid w:val="007D704C"/>
    <w:rsid w:val="007D73A7"/>
    <w:rsid w:val="007D7A91"/>
    <w:rsid w:val="007D7C1A"/>
    <w:rsid w:val="007D7F2E"/>
    <w:rsid w:val="007E00D6"/>
    <w:rsid w:val="007E011C"/>
    <w:rsid w:val="007E01B7"/>
    <w:rsid w:val="007E025E"/>
    <w:rsid w:val="007E06BF"/>
    <w:rsid w:val="007E06EB"/>
    <w:rsid w:val="007E0BB6"/>
    <w:rsid w:val="007E108B"/>
    <w:rsid w:val="007E19D9"/>
    <w:rsid w:val="007E1B99"/>
    <w:rsid w:val="007E2157"/>
    <w:rsid w:val="007E21ED"/>
    <w:rsid w:val="007E2992"/>
    <w:rsid w:val="007E3057"/>
    <w:rsid w:val="007E383D"/>
    <w:rsid w:val="007E3BF0"/>
    <w:rsid w:val="007E3DDE"/>
    <w:rsid w:val="007E4094"/>
    <w:rsid w:val="007E42CD"/>
    <w:rsid w:val="007E43BC"/>
    <w:rsid w:val="007E48F2"/>
    <w:rsid w:val="007E4CEC"/>
    <w:rsid w:val="007E5551"/>
    <w:rsid w:val="007E55C8"/>
    <w:rsid w:val="007E56B8"/>
    <w:rsid w:val="007E59F9"/>
    <w:rsid w:val="007E5A95"/>
    <w:rsid w:val="007E5B46"/>
    <w:rsid w:val="007E5DFF"/>
    <w:rsid w:val="007E6456"/>
    <w:rsid w:val="007E645B"/>
    <w:rsid w:val="007E671C"/>
    <w:rsid w:val="007E6ABE"/>
    <w:rsid w:val="007E6E22"/>
    <w:rsid w:val="007E6E41"/>
    <w:rsid w:val="007E72C2"/>
    <w:rsid w:val="007E76A3"/>
    <w:rsid w:val="007E7841"/>
    <w:rsid w:val="007E7A2C"/>
    <w:rsid w:val="007E7A32"/>
    <w:rsid w:val="007E7F25"/>
    <w:rsid w:val="007F03C3"/>
    <w:rsid w:val="007F05C2"/>
    <w:rsid w:val="007F0818"/>
    <w:rsid w:val="007F09B3"/>
    <w:rsid w:val="007F1580"/>
    <w:rsid w:val="007F189E"/>
    <w:rsid w:val="007F19D7"/>
    <w:rsid w:val="007F1C6D"/>
    <w:rsid w:val="007F1F7E"/>
    <w:rsid w:val="007F22C8"/>
    <w:rsid w:val="007F2548"/>
    <w:rsid w:val="007F29FD"/>
    <w:rsid w:val="007F2C7E"/>
    <w:rsid w:val="007F38A0"/>
    <w:rsid w:val="007F3ADE"/>
    <w:rsid w:val="007F3FA0"/>
    <w:rsid w:val="007F4021"/>
    <w:rsid w:val="007F46B4"/>
    <w:rsid w:val="007F47D9"/>
    <w:rsid w:val="007F4B15"/>
    <w:rsid w:val="007F53A8"/>
    <w:rsid w:val="007F59A2"/>
    <w:rsid w:val="007F59F6"/>
    <w:rsid w:val="007F5E12"/>
    <w:rsid w:val="007F5F68"/>
    <w:rsid w:val="007F6477"/>
    <w:rsid w:val="007F664B"/>
    <w:rsid w:val="007F680A"/>
    <w:rsid w:val="007F6F08"/>
    <w:rsid w:val="007F6F6D"/>
    <w:rsid w:val="007F7203"/>
    <w:rsid w:val="007F7268"/>
    <w:rsid w:val="007F7666"/>
    <w:rsid w:val="007F779D"/>
    <w:rsid w:val="007F77EA"/>
    <w:rsid w:val="007F79F6"/>
    <w:rsid w:val="007F7E83"/>
    <w:rsid w:val="007F7F65"/>
    <w:rsid w:val="00800219"/>
    <w:rsid w:val="00801028"/>
    <w:rsid w:val="0080167B"/>
    <w:rsid w:val="00801DFB"/>
    <w:rsid w:val="00802171"/>
    <w:rsid w:val="008025FC"/>
    <w:rsid w:val="00802CA1"/>
    <w:rsid w:val="00802D90"/>
    <w:rsid w:val="00803052"/>
    <w:rsid w:val="00803F73"/>
    <w:rsid w:val="00804E86"/>
    <w:rsid w:val="0080525A"/>
    <w:rsid w:val="0080529D"/>
    <w:rsid w:val="008054E3"/>
    <w:rsid w:val="008059F2"/>
    <w:rsid w:val="00805F7D"/>
    <w:rsid w:val="00805FF6"/>
    <w:rsid w:val="0080613C"/>
    <w:rsid w:val="008062A8"/>
    <w:rsid w:val="008064DB"/>
    <w:rsid w:val="0080651A"/>
    <w:rsid w:val="008065A4"/>
    <w:rsid w:val="00806646"/>
    <w:rsid w:val="008066E2"/>
    <w:rsid w:val="008066F1"/>
    <w:rsid w:val="00806B95"/>
    <w:rsid w:val="00806DD9"/>
    <w:rsid w:val="008075C7"/>
    <w:rsid w:val="00807628"/>
    <w:rsid w:val="00810111"/>
    <w:rsid w:val="00810180"/>
    <w:rsid w:val="008102AA"/>
    <w:rsid w:val="008106F9"/>
    <w:rsid w:val="0081072F"/>
    <w:rsid w:val="00810951"/>
    <w:rsid w:val="008109DC"/>
    <w:rsid w:val="00810B53"/>
    <w:rsid w:val="00810B57"/>
    <w:rsid w:val="00811353"/>
    <w:rsid w:val="0081153A"/>
    <w:rsid w:val="00811662"/>
    <w:rsid w:val="00811943"/>
    <w:rsid w:val="00811A3D"/>
    <w:rsid w:val="00811C01"/>
    <w:rsid w:val="00811D1E"/>
    <w:rsid w:val="00811D54"/>
    <w:rsid w:val="00811E0C"/>
    <w:rsid w:val="00811E8D"/>
    <w:rsid w:val="00812061"/>
    <w:rsid w:val="008121EB"/>
    <w:rsid w:val="00812716"/>
    <w:rsid w:val="00812A2C"/>
    <w:rsid w:val="00812D12"/>
    <w:rsid w:val="00812E0E"/>
    <w:rsid w:val="008134BE"/>
    <w:rsid w:val="00813752"/>
    <w:rsid w:val="00814588"/>
    <w:rsid w:val="00814655"/>
    <w:rsid w:val="00814A26"/>
    <w:rsid w:val="00814BB1"/>
    <w:rsid w:val="00814EC9"/>
    <w:rsid w:val="008158CD"/>
    <w:rsid w:val="00815940"/>
    <w:rsid w:val="00815A49"/>
    <w:rsid w:val="00815AE3"/>
    <w:rsid w:val="00815B65"/>
    <w:rsid w:val="00815BFF"/>
    <w:rsid w:val="00815E5F"/>
    <w:rsid w:val="00816022"/>
    <w:rsid w:val="008160FA"/>
    <w:rsid w:val="0081614F"/>
    <w:rsid w:val="00816AF8"/>
    <w:rsid w:val="008172D9"/>
    <w:rsid w:val="00817F2A"/>
    <w:rsid w:val="00820280"/>
    <w:rsid w:val="0082107E"/>
    <w:rsid w:val="008216F1"/>
    <w:rsid w:val="00822046"/>
    <w:rsid w:val="00822079"/>
    <w:rsid w:val="00822A46"/>
    <w:rsid w:val="00822B03"/>
    <w:rsid w:val="00823468"/>
    <w:rsid w:val="008235BF"/>
    <w:rsid w:val="00823771"/>
    <w:rsid w:val="00823C60"/>
    <w:rsid w:val="00823D4A"/>
    <w:rsid w:val="008244EB"/>
    <w:rsid w:val="008247D0"/>
    <w:rsid w:val="00824A9D"/>
    <w:rsid w:val="00824CA4"/>
    <w:rsid w:val="00824F19"/>
    <w:rsid w:val="008253BD"/>
    <w:rsid w:val="0082564A"/>
    <w:rsid w:val="008261E0"/>
    <w:rsid w:val="00826CE9"/>
    <w:rsid w:val="00826F27"/>
    <w:rsid w:val="00826FB6"/>
    <w:rsid w:val="00827009"/>
    <w:rsid w:val="008272E2"/>
    <w:rsid w:val="00827877"/>
    <w:rsid w:val="008278D3"/>
    <w:rsid w:val="00827B74"/>
    <w:rsid w:val="00827BFF"/>
    <w:rsid w:val="00827F23"/>
    <w:rsid w:val="008305E8"/>
    <w:rsid w:val="00830F7B"/>
    <w:rsid w:val="008311B8"/>
    <w:rsid w:val="008314EC"/>
    <w:rsid w:val="008316B3"/>
    <w:rsid w:val="008328C3"/>
    <w:rsid w:val="00832BB6"/>
    <w:rsid w:val="00832E94"/>
    <w:rsid w:val="008331EA"/>
    <w:rsid w:val="0083327D"/>
    <w:rsid w:val="008333DF"/>
    <w:rsid w:val="008333E8"/>
    <w:rsid w:val="00833558"/>
    <w:rsid w:val="00833A60"/>
    <w:rsid w:val="00833D07"/>
    <w:rsid w:val="00834102"/>
    <w:rsid w:val="00834243"/>
    <w:rsid w:val="008342F1"/>
    <w:rsid w:val="00834368"/>
    <w:rsid w:val="008346D7"/>
    <w:rsid w:val="00834792"/>
    <w:rsid w:val="008347EC"/>
    <w:rsid w:val="00834954"/>
    <w:rsid w:val="008349F1"/>
    <w:rsid w:val="00834F44"/>
    <w:rsid w:val="008351B9"/>
    <w:rsid w:val="008352AD"/>
    <w:rsid w:val="00835350"/>
    <w:rsid w:val="00835666"/>
    <w:rsid w:val="00835695"/>
    <w:rsid w:val="00835AA9"/>
    <w:rsid w:val="00835D5E"/>
    <w:rsid w:val="00835D7A"/>
    <w:rsid w:val="00836BFB"/>
    <w:rsid w:val="008378E4"/>
    <w:rsid w:val="00837C58"/>
    <w:rsid w:val="00837DBA"/>
    <w:rsid w:val="00837F44"/>
    <w:rsid w:val="0084044E"/>
    <w:rsid w:val="00840776"/>
    <w:rsid w:val="008408DF"/>
    <w:rsid w:val="00840907"/>
    <w:rsid w:val="008409A0"/>
    <w:rsid w:val="00840AF4"/>
    <w:rsid w:val="00840C3E"/>
    <w:rsid w:val="00840DC0"/>
    <w:rsid w:val="00840E0D"/>
    <w:rsid w:val="00840E6E"/>
    <w:rsid w:val="00840E81"/>
    <w:rsid w:val="00840F81"/>
    <w:rsid w:val="00840FBF"/>
    <w:rsid w:val="00841081"/>
    <w:rsid w:val="0084196A"/>
    <w:rsid w:val="00841B98"/>
    <w:rsid w:val="00841C0D"/>
    <w:rsid w:val="00841CE4"/>
    <w:rsid w:val="00841E5F"/>
    <w:rsid w:val="0084224F"/>
    <w:rsid w:val="00842A6E"/>
    <w:rsid w:val="00842A95"/>
    <w:rsid w:val="00842B27"/>
    <w:rsid w:val="00842D33"/>
    <w:rsid w:val="008433B1"/>
    <w:rsid w:val="00843496"/>
    <w:rsid w:val="0084389D"/>
    <w:rsid w:val="00843F7D"/>
    <w:rsid w:val="00844212"/>
    <w:rsid w:val="0084483F"/>
    <w:rsid w:val="00844C98"/>
    <w:rsid w:val="00844CEF"/>
    <w:rsid w:val="00844F8F"/>
    <w:rsid w:val="00844FB6"/>
    <w:rsid w:val="008451A6"/>
    <w:rsid w:val="008452EF"/>
    <w:rsid w:val="0084553E"/>
    <w:rsid w:val="0084559E"/>
    <w:rsid w:val="00845AE0"/>
    <w:rsid w:val="00845EA1"/>
    <w:rsid w:val="008464C3"/>
    <w:rsid w:val="008465ED"/>
    <w:rsid w:val="00846624"/>
    <w:rsid w:val="0084669E"/>
    <w:rsid w:val="0084675A"/>
    <w:rsid w:val="008469D4"/>
    <w:rsid w:val="00846A15"/>
    <w:rsid w:val="00846B34"/>
    <w:rsid w:val="00846B35"/>
    <w:rsid w:val="00846E68"/>
    <w:rsid w:val="008471B6"/>
    <w:rsid w:val="0084765F"/>
    <w:rsid w:val="008477FE"/>
    <w:rsid w:val="0084783A"/>
    <w:rsid w:val="00847895"/>
    <w:rsid w:val="008479DF"/>
    <w:rsid w:val="00847C24"/>
    <w:rsid w:val="0085092F"/>
    <w:rsid w:val="00850964"/>
    <w:rsid w:val="00850E7E"/>
    <w:rsid w:val="00851165"/>
    <w:rsid w:val="0085127D"/>
    <w:rsid w:val="008516B5"/>
    <w:rsid w:val="008517A2"/>
    <w:rsid w:val="00851B03"/>
    <w:rsid w:val="00851C05"/>
    <w:rsid w:val="008520DF"/>
    <w:rsid w:val="00852417"/>
    <w:rsid w:val="008524C5"/>
    <w:rsid w:val="0085272F"/>
    <w:rsid w:val="00852E1F"/>
    <w:rsid w:val="00852E3C"/>
    <w:rsid w:val="008533F1"/>
    <w:rsid w:val="0085352B"/>
    <w:rsid w:val="00853589"/>
    <w:rsid w:val="00853599"/>
    <w:rsid w:val="00853653"/>
    <w:rsid w:val="0085385C"/>
    <w:rsid w:val="008538B3"/>
    <w:rsid w:val="008539BA"/>
    <w:rsid w:val="00853E03"/>
    <w:rsid w:val="00853F27"/>
    <w:rsid w:val="008540E1"/>
    <w:rsid w:val="008540FD"/>
    <w:rsid w:val="0085457B"/>
    <w:rsid w:val="008547D2"/>
    <w:rsid w:val="00854FE3"/>
    <w:rsid w:val="0085549A"/>
    <w:rsid w:val="00855742"/>
    <w:rsid w:val="00855A2F"/>
    <w:rsid w:val="00855BBC"/>
    <w:rsid w:val="00855D2E"/>
    <w:rsid w:val="0085622D"/>
    <w:rsid w:val="008566DB"/>
    <w:rsid w:val="00856EF9"/>
    <w:rsid w:val="00856FB1"/>
    <w:rsid w:val="008576F1"/>
    <w:rsid w:val="008578B9"/>
    <w:rsid w:val="00857969"/>
    <w:rsid w:val="00857A60"/>
    <w:rsid w:val="008600CC"/>
    <w:rsid w:val="00860560"/>
    <w:rsid w:val="00860661"/>
    <w:rsid w:val="00860A2F"/>
    <w:rsid w:val="00860EA6"/>
    <w:rsid w:val="00860F75"/>
    <w:rsid w:val="00861439"/>
    <w:rsid w:val="0086164F"/>
    <w:rsid w:val="008618A8"/>
    <w:rsid w:val="0086195C"/>
    <w:rsid w:val="008619C2"/>
    <w:rsid w:val="00861A9D"/>
    <w:rsid w:val="00861E0F"/>
    <w:rsid w:val="008620B0"/>
    <w:rsid w:val="008620F7"/>
    <w:rsid w:val="00862263"/>
    <w:rsid w:val="00862960"/>
    <w:rsid w:val="00862B9A"/>
    <w:rsid w:val="00862CC0"/>
    <w:rsid w:val="00863479"/>
    <w:rsid w:val="00863843"/>
    <w:rsid w:val="00863A23"/>
    <w:rsid w:val="00863CF2"/>
    <w:rsid w:val="00864178"/>
    <w:rsid w:val="00864754"/>
    <w:rsid w:val="008647B9"/>
    <w:rsid w:val="00864949"/>
    <w:rsid w:val="00864A6A"/>
    <w:rsid w:val="0086590B"/>
    <w:rsid w:val="00865DAE"/>
    <w:rsid w:val="00866025"/>
    <w:rsid w:val="00866307"/>
    <w:rsid w:val="00866374"/>
    <w:rsid w:val="00866612"/>
    <w:rsid w:val="00866E3B"/>
    <w:rsid w:val="008673D0"/>
    <w:rsid w:val="008673E3"/>
    <w:rsid w:val="008679DF"/>
    <w:rsid w:val="00867A21"/>
    <w:rsid w:val="00867A4B"/>
    <w:rsid w:val="00867A78"/>
    <w:rsid w:val="00867B2F"/>
    <w:rsid w:val="00867E94"/>
    <w:rsid w:val="00867F83"/>
    <w:rsid w:val="00870037"/>
    <w:rsid w:val="008701BA"/>
    <w:rsid w:val="008702CF"/>
    <w:rsid w:val="00870398"/>
    <w:rsid w:val="008703D7"/>
    <w:rsid w:val="00870D88"/>
    <w:rsid w:val="00870FCE"/>
    <w:rsid w:val="00871871"/>
    <w:rsid w:val="00871BF1"/>
    <w:rsid w:val="008721F8"/>
    <w:rsid w:val="008726DE"/>
    <w:rsid w:val="00872B6A"/>
    <w:rsid w:val="00872E55"/>
    <w:rsid w:val="00873217"/>
    <w:rsid w:val="00873223"/>
    <w:rsid w:val="00873D5B"/>
    <w:rsid w:val="00873DA4"/>
    <w:rsid w:val="00873DAA"/>
    <w:rsid w:val="00873E5E"/>
    <w:rsid w:val="00874CC7"/>
    <w:rsid w:val="00875202"/>
    <w:rsid w:val="00875822"/>
    <w:rsid w:val="00875908"/>
    <w:rsid w:val="00875AD3"/>
    <w:rsid w:val="00875FC5"/>
    <w:rsid w:val="008762DC"/>
    <w:rsid w:val="00876550"/>
    <w:rsid w:val="00876942"/>
    <w:rsid w:val="00876E10"/>
    <w:rsid w:val="00876EF6"/>
    <w:rsid w:val="00877061"/>
    <w:rsid w:val="008770A8"/>
    <w:rsid w:val="00877153"/>
    <w:rsid w:val="00877310"/>
    <w:rsid w:val="00877495"/>
    <w:rsid w:val="008774D0"/>
    <w:rsid w:val="008776E1"/>
    <w:rsid w:val="00880182"/>
    <w:rsid w:val="0088023A"/>
    <w:rsid w:val="0088025D"/>
    <w:rsid w:val="008805C6"/>
    <w:rsid w:val="008809C0"/>
    <w:rsid w:val="00880FE9"/>
    <w:rsid w:val="008815DD"/>
    <w:rsid w:val="008817AD"/>
    <w:rsid w:val="00881831"/>
    <w:rsid w:val="00881BC3"/>
    <w:rsid w:val="00882605"/>
    <w:rsid w:val="008829B4"/>
    <w:rsid w:val="00882AFC"/>
    <w:rsid w:val="00882B01"/>
    <w:rsid w:val="00882BBF"/>
    <w:rsid w:val="00882CC4"/>
    <w:rsid w:val="00883035"/>
    <w:rsid w:val="0088359A"/>
    <w:rsid w:val="008835C3"/>
    <w:rsid w:val="008839C0"/>
    <w:rsid w:val="00883D19"/>
    <w:rsid w:val="00883D1C"/>
    <w:rsid w:val="0088417C"/>
    <w:rsid w:val="008842A2"/>
    <w:rsid w:val="008844AC"/>
    <w:rsid w:val="00884A6B"/>
    <w:rsid w:val="00884A96"/>
    <w:rsid w:val="00884B29"/>
    <w:rsid w:val="00884C19"/>
    <w:rsid w:val="00884E06"/>
    <w:rsid w:val="00884E72"/>
    <w:rsid w:val="0088513F"/>
    <w:rsid w:val="008853E6"/>
    <w:rsid w:val="00885A44"/>
    <w:rsid w:val="00885D02"/>
    <w:rsid w:val="00885F41"/>
    <w:rsid w:val="0088661F"/>
    <w:rsid w:val="008869C3"/>
    <w:rsid w:val="0088757B"/>
    <w:rsid w:val="00887C5A"/>
    <w:rsid w:val="00887EDC"/>
    <w:rsid w:val="008901D5"/>
    <w:rsid w:val="008901E4"/>
    <w:rsid w:val="008904AF"/>
    <w:rsid w:val="00890B27"/>
    <w:rsid w:val="00890BFF"/>
    <w:rsid w:val="00890E70"/>
    <w:rsid w:val="00890F9E"/>
    <w:rsid w:val="0089127A"/>
    <w:rsid w:val="008915A4"/>
    <w:rsid w:val="008915C2"/>
    <w:rsid w:val="00891A82"/>
    <w:rsid w:val="00891B00"/>
    <w:rsid w:val="00891DBA"/>
    <w:rsid w:val="00891E2C"/>
    <w:rsid w:val="008924A3"/>
    <w:rsid w:val="008925F1"/>
    <w:rsid w:val="00892882"/>
    <w:rsid w:val="00892E6F"/>
    <w:rsid w:val="008932B8"/>
    <w:rsid w:val="0089335A"/>
    <w:rsid w:val="00893465"/>
    <w:rsid w:val="008934EF"/>
    <w:rsid w:val="00893584"/>
    <w:rsid w:val="0089376C"/>
    <w:rsid w:val="0089406D"/>
    <w:rsid w:val="00894186"/>
    <w:rsid w:val="00894196"/>
    <w:rsid w:val="0089427E"/>
    <w:rsid w:val="0089462A"/>
    <w:rsid w:val="00894AD6"/>
    <w:rsid w:val="00894BB5"/>
    <w:rsid w:val="00895070"/>
    <w:rsid w:val="008956DC"/>
    <w:rsid w:val="00895824"/>
    <w:rsid w:val="00895981"/>
    <w:rsid w:val="00896497"/>
    <w:rsid w:val="00896565"/>
    <w:rsid w:val="008965EC"/>
    <w:rsid w:val="008965FD"/>
    <w:rsid w:val="0089685E"/>
    <w:rsid w:val="00896C2F"/>
    <w:rsid w:val="00896C71"/>
    <w:rsid w:val="0089716C"/>
    <w:rsid w:val="008972DE"/>
    <w:rsid w:val="0089753D"/>
    <w:rsid w:val="00897C44"/>
    <w:rsid w:val="00897FB3"/>
    <w:rsid w:val="008A0846"/>
    <w:rsid w:val="008A0959"/>
    <w:rsid w:val="008A09B9"/>
    <w:rsid w:val="008A0A8D"/>
    <w:rsid w:val="008A0E97"/>
    <w:rsid w:val="008A12A6"/>
    <w:rsid w:val="008A1554"/>
    <w:rsid w:val="008A15FA"/>
    <w:rsid w:val="008A16C8"/>
    <w:rsid w:val="008A1EA7"/>
    <w:rsid w:val="008A23DB"/>
    <w:rsid w:val="008A2464"/>
    <w:rsid w:val="008A2843"/>
    <w:rsid w:val="008A2B2C"/>
    <w:rsid w:val="008A2CFD"/>
    <w:rsid w:val="008A2EA0"/>
    <w:rsid w:val="008A3471"/>
    <w:rsid w:val="008A3738"/>
    <w:rsid w:val="008A382B"/>
    <w:rsid w:val="008A39C4"/>
    <w:rsid w:val="008A3C0B"/>
    <w:rsid w:val="008A3CCF"/>
    <w:rsid w:val="008A4376"/>
    <w:rsid w:val="008A45CA"/>
    <w:rsid w:val="008A504B"/>
    <w:rsid w:val="008A5BEF"/>
    <w:rsid w:val="008A5D22"/>
    <w:rsid w:val="008A5D9C"/>
    <w:rsid w:val="008A5FE8"/>
    <w:rsid w:val="008A63E0"/>
    <w:rsid w:val="008A6484"/>
    <w:rsid w:val="008A6C86"/>
    <w:rsid w:val="008A6FDD"/>
    <w:rsid w:val="008A71FC"/>
    <w:rsid w:val="008A73F5"/>
    <w:rsid w:val="008A76A2"/>
    <w:rsid w:val="008A7E39"/>
    <w:rsid w:val="008B05EB"/>
    <w:rsid w:val="008B062D"/>
    <w:rsid w:val="008B07F7"/>
    <w:rsid w:val="008B0822"/>
    <w:rsid w:val="008B086D"/>
    <w:rsid w:val="008B1205"/>
    <w:rsid w:val="008B121A"/>
    <w:rsid w:val="008B1782"/>
    <w:rsid w:val="008B197B"/>
    <w:rsid w:val="008B223C"/>
    <w:rsid w:val="008B29DD"/>
    <w:rsid w:val="008B2F29"/>
    <w:rsid w:val="008B2FD4"/>
    <w:rsid w:val="008B3709"/>
    <w:rsid w:val="008B3E2E"/>
    <w:rsid w:val="008B4009"/>
    <w:rsid w:val="008B44F2"/>
    <w:rsid w:val="008B4504"/>
    <w:rsid w:val="008B4A33"/>
    <w:rsid w:val="008B4AD5"/>
    <w:rsid w:val="008B4C50"/>
    <w:rsid w:val="008B4D9B"/>
    <w:rsid w:val="008B4E36"/>
    <w:rsid w:val="008B504B"/>
    <w:rsid w:val="008B58F5"/>
    <w:rsid w:val="008B5E2C"/>
    <w:rsid w:val="008B6392"/>
    <w:rsid w:val="008B6684"/>
    <w:rsid w:val="008B673F"/>
    <w:rsid w:val="008B675B"/>
    <w:rsid w:val="008B685F"/>
    <w:rsid w:val="008B698F"/>
    <w:rsid w:val="008B6B75"/>
    <w:rsid w:val="008B732B"/>
    <w:rsid w:val="008B7831"/>
    <w:rsid w:val="008B79F4"/>
    <w:rsid w:val="008B7CA7"/>
    <w:rsid w:val="008B7DB3"/>
    <w:rsid w:val="008B7DC0"/>
    <w:rsid w:val="008B7FE8"/>
    <w:rsid w:val="008C027C"/>
    <w:rsid w:val="008C02DF"/>
    <w:rsid w:val="008C091F"/>
    <w:rsid w:val="008C0C41"/>
    <w:rsid w:val="008C10F2"/>
    <w:rsid w:val="008C17BF"/>
    <w:rsid w:val="008C1A77"/>
    <w:rsid w:val="008C1CBA"/>
    <w:rsid w:val="008C1D05"/>
    <w:rsid w:val="008C2350"/>
    <w:rsid w:val="008C2430"/>
    <w:rsid w:val="008C24A4"/>
    <w:rsid w:val="008C2CB0"/>
    <w:rsid w:val="008C2D05"/>
    <w:rsid w:val="008C2D83"/>
    <w:rsid w:val="008C2EDE"/>
    <w:rsid w:val="008C2F2B"/>
    <w:rsid w:val="008C2F85"/>
    <w:rsid w:val="008C2FBB"/>
    <w:rsid w:val="008C3165"/>
    <w:rsid w:val="008C33D6"/>
    <w:rsid w:val="008C3506"/>
    <w:rsid w:val="008C3A5D"/>
    <w:rsid w:val="008C4125"/>
    <w:rsid w:val="008C4130"/>
    <w:rsid w:val="008C4618"/>
    <w:rsid w:val="008C5481"/>
    <w:rsid w:val="008C552D"/>
    <w:rsid w:val="008C5759"/>
    <w:rsid w:val="008C5A7F"/>
    <w:rsid w:val="008C6948"/>
    <w:rsid w:val="008C6AE3"/>
    <w:rsid w:val="008C6F5B"/>
    <w:rsid w:val="008C73D0"/>
    <w:rsid w:val="008C75A1"/>
    <w:rsid w:val="008C7781"/>
    <w:rsid w:val="008C7C2F"/>
    <w:rsid w:val="008C7E47"/>
    <w:rsid w:val="008C7F1C"/>
    <w:rsid w:val="008C7F71"/>
    <w:rsid w:val="008D0A2F"/>
    <w:rsid w:val="008D0AA2"/>
    <w:rsid w:val="008D12DF"/>
    <w:rsid w:val="008D1E80"/>
    <w:rsid w:val="008D267F"/>
    <w:rsid w:val="008D279E"/>
    <w:rsid w:val="008D2B56"/>
    <w:rsid w:val="008D2C62"/>
    <w:rsid w:val="008D2E93"/>
    <w:rsid w:val="008D2EC5"/>
    <w:rsid w:val="008D2F63"/>
    <w:rsid w:val="008D339F"/>
    <w:rsid w:val="008D3A8D"/>
    <w:rsid w:val="008D3D27"/>
    <w:rsid w:val="008D3DB1"/>
    <w:rsid w:val="008D3FA2"/>
    <w:rsid w:val="008D46F2"/>
    <w:rsid w:val="008D4A9C"/>
    <w:rsid w:val="008D4D3D"/>
    <w:rsid w:val="008D4D98"/>
    <w:rsid w:val="008D5412"/>
    <w:rsid w:val="008D587A"/>
    <w:rsid w:val="008D5D76"/>
    <w:rsid w:val="008D6613"/>
    <w:rsid w:val="008D6778"/>
    <w:rsid w:val="008D6A33"/>
    <w:rsid w:val="008D6AA5"/>
    <w:rsid w:val="008D74DD"/>
    <w:rsid w:val="008D76A3"/>
    <w:rsid w:val="008D76CB"/>
    <w:rsid w:val="008D7A37"/>
    <w:rsid w:val="008D7B99"/>
    <w:rsid w:val="008E0173"/>
    <w:rsid w:val="008E043B"/>
    <w:rsid w:val="008E084E"/>
    <w:rsid w:val="008E0999"/>
    <w:rsid w:val="008E0E56"/>
    <w:rsid w:val="008E0FD9"/>
    <w:rsid w:val="008E1307"/>
    <w:rsid w:val="008E1476"/>
    <w:rsid w:val="008E16E6"/>
    <w:rsid w:val="008E17E3"/>
    <w:rsid w:val="008E235F"/>
    <w:rsid w:val="008E2D5C"/>
    <w:rsid w:val="008E2F4F"/>
    <w:rsid w:val="008E2FFD"/>
    <w:rsid w:val="008E3050"/>
    <w:rsid w:val="008E3A02"/>
    <w:rsid w:val="008E3A1E"/>
    <w:rsid w:val="008E3C68"/>
    <w:rsid w:val="008E40B1"/>
    <w:rsid w:val="008E43CB"/>
    <w:rsid w:val="008E44E6"/>
    <w:rsid w:val="008E4C27"/>
    <w:rsid w:val="008E5145"/>
    <w:rsid w:val="008E549A"/>
    <w:rsid w:val="008E5C8C"/>
    <w:rsid w:val="008E6292"/>
    <w:rsid w:val="008E643B"/>
    <w:rsid w:val="008E6BDB"/>
    <w:rsid w:val="008E6EA2"/>
    <w:rsid w:val="008E70CF"/>
    <w:rsid w:val="008E7456"/>
    <w:rsid w:val="008E746E"/>
    <w:rsid w:val="008E7712"/>
    <w:rsid w:val="008E7779"/>
    <w:rsid w:val="008F00C7"/>
    <w:rsid w:val="008F02B3"/>
    <w:rsid w:val="008F0356"/>
    <w:rsid w:val="008F0899"/>
    <w:rsid w:val="008F0E3A"/>
    <w:rsid w:val="008F1019"/>
    <w:rsid w:val="008F1B72"/>
    <w:rsid w:val="008F1E16"/>
    <w:rsid w:val="008F1E4F"/>
    <w:rsid w:val="008F1EB0"/>
    <w:rsid w:val="008F1FA0"/>
    <w:rsid w:val="008F23A0"/>
    <w:rsid w:val="008F23EB"/>
    <w:rsid w:val="008F289B"/>
    <w:rsid w:val="008F2A4C"/>
    <w:rsid w:val="008F2D4F"/>
    <w:rsid w:val="008F2EB2"/>
    <w:rsid w:val="008F4774"/>
    <w:rsid w:val="008F48D5"/>
    <w:rsid w:val="008F48F2"/>
    <w:rsid w:val="008F4908"/>
    <w:rsid w:val="008F4AE9"/>
    <w:rsid w:val="008F4DFA"/>
    <w:rsid w:val="008F54C0"/>
    <w:rsid w:val="008F55C1"/>
    <w:rsid w:val="008F5832"/>
    <w:rsid w:val="008F58AD"/>
    <w:rsid w:val="008F5A7D"/>
    <w:rsid w:val="008F5AB6"/>
    <w:rsid w:val="008F5DDD"/>
    <w:rsid w:val="008F6075"/>
    <w:rsid w:val="008F660C"/>
    <w:rsid w:val="008F6889"/>
    <w:rsid w:val="008F692F"/>
    <w:rsid w:val="008F6A1A"/>
    <w:rsid w:val="008F7240"/>
    <w:rsid w:val="008F7514"/>
    <w:rsid w:val="008F7978"/>
    <w:rsid w:val="008F7A8F"/>
    <w:rsid w:val="008F7AAA"/>
    <w:rsid w:val="008F7F68"/>
    <w:rsid w:val="0090032A"/>
    <w:rsid w:val="0090040B"/>
    <w:rsid w:val="0090060F"/>
    <w:rsid w:val="00900E1C"/>
    <w:rsid w:val="009015BD"/>
    <w:rsid w:val="00901AEB"/>
    <w:rsid w:val="009030BF"/>
    <w:rsid w:val="00903398"/>
    <w:rsid w:val="009036B7"/>
    <w:rsid w:val="009039D5"/>
    <w:rsid w:val="00903A73"/>
    <w:rsid w:val="00903B47"/>
    <w:rsid w:val="00903B77"/>
    <w:rsid w:val="00904061"/>
    <w:rsid w:val="009040C4"/>
    <w:rsid w:val="009043DA"/>
    <w:rsid w:val="0090462A"/>
    <w:rsid w:val="009058C1"/>
    <w:rsid w:val="00905976"/>
    <w:rsid w:val="00905C02"/>
    <w:rsid w:val="009064B3"/>
    <w:rsid w:val="00906F37"/>
    <w:rsid w:val="00907096"/>
    <w:rsid w:val="0090714B"/>
    <w:rsid w:val="009074BA"/>
    <w:rsid w:val="009076E4"/>
    <w:rsid w:val="00907906"/>
    <w:rsid w:val="00907B8E"/>
    <w:rsid w:val="00907DE4"/>
    <w:rsid w:val="00907EE4"/>
    <w:rsid w:val="009101A8"/>
    <w:rsid w:val="00910F09"/>
    <w:rsid w:val="0091119B"/>
    <w:rsid w:val="009113E6"/>
    <w:rsid w:val="00911586"/>
    <w:rsid w:val="00911EAC"/>
    <w:rsid w:val="00912738"/>
    <w:rsid w:val="00912749"/>
    <w:rsid w:val="009129D4"/>
    <w:rsid w:val="009129F0"/>
    <w:rsid w:val="00912CBF"/>
    <w:rsid w:val="00912D36"/>
    <w:rsid w:val="00912E7A"/>
    <w:rsid w:val="00912E86"/>
    <w:rsid w:val="0091309A"/>
    <w:rsid w:val="009131E3"/>
    <w:rsid w:val="009138E5"/>
    <w:rsid w:val="00913919"/>
    <w:rsid w:val="009143A1"/>
    <w:rsid w:val="00914668"/>
    <w:rsid w:val="00915248"/>
    <w:rsid w:val="00915399"/>
    <w:rsid w:val="00915901"/>
    <w:rsid w:val="00915F7C"/>
    <w:rsid w:val="0091633C"/>
    <w:rsid w:val="00916353"/>
    <w:rsid w:val="009167AF"/>
    <w:rsid w:val="00916B44"/>
    <w:rsid w:val="00916BB6"/>
    <w:rsid w:val="00916BC9"/>
    <w:rsid w:val="00916FCA"/>
    <w:rsid w:val="00916FEF"/>
    <w:rsid w:val="00917832"/>
    <w:rsid w:val="00917C0F"/>
    <w:rsid w:val="00917E28"/>
    <w:rsid w:val="00920060"/>
    <w:rsid w:val="00920ECB"/>
    <w:rsid w:val="00920F6F"/>
    <w:rsid w:val="00921085"/>
    <w:rsid w:val="0092156F"/>
    <w:rsid w:val="00921803"/>
    <w:rsid w:val="00921942"/>
    <w:rsid w:val="00921CF9"/>
    <w:rsid w:val="00923168"/>
    <w:rsid w:val="00923254"/>
    <w:rsid w:val="0092344F"/>
    <w:rsid w:val="009244C2"/>
    <w:rsid w:val="00924C10"/>
    <w:rsid w:val="00924F7F"/>
    <w:rsid w:val="00924FE9"/>
    <w:rsid w:val="00925017"/>
    <w:rsid w:val="00925024"/>
    <w:rsid w:val="0092512E"/>
    <w:rsid w:val="00925739"/>
    <w:rsid w:val="00925807"/>
    <w:rsid w:val="00925A3A"/>
    <w:rsid w:val="00925AA5"/>
    <w:rsid w:val="00925D99"/>
    <w:rsid w:val="00925FF4"/>
    <w:rsid w:val="00926393"/>
    <w:rsid w:val="009264A3"/>
    <w:rsid w:val="00926654"/>
    <w:rsid w:val="009267A9"/>
    <w:rsid w:val="009268FF"/>
    <w:rsid w:val="00926EA2"/>
    <w:rsid w:val="00927031"/>
    <w:rsid w:val="00927242"/>
    <w:rsid w:val="009278AE"/>
    <w:rsid w:val="009279B7"/>
    <w:rsid w:val="00927AAD"/>
    <w:rsid w:val="009304BE"/>
    <w:rsid w:val="00930844"/>
    <w:rsid w:val="00930A26"/>
    <w:rsid w:val="00930ACA"/>
    <w:rsid w:val="00931054"/>
    <w:rsid w:val="00931240"/>
    <w:rsid w:val="00931311"/>
    <w:rsid w:val="00931323"/>
    <w:rsid w:val="00931518"/>
    <w:rsid w:val="0093179E"/>
    <w:rsid w:val="009319B1"/>
    <w:rsid w:val="00931A2B"/>
    <w:rsid w:val="00931B18"/>
    <w:rsid w:val="00931C0A"/>
    <w:rsid w:val="00931CED"/>
    <w:rsid w:val="00931F0E"/>
    <w:rsid w:val="009330F7"/>
    <w:rsid w:val="00933318"/>
    <w:rsid w:val="00933962"/>
    <w:rsid w:val="00933C14"/>
    <w:rsid w:val="00933C71"/>
    <w:rsid w:val="00933DF1"/>
    <w:rsid w:val="00933EC1"/>
    <w:rsid w:val="00934196"/>
    <w:rsid w:val="00934BDA"/>
    <w:rsid w:val="00934C8C"/>
    <w:rsid w:val="00934DBC"/>
    <w:rsid w:val="00935291"/>
    <w:rsid w:val="009352FC"/>
    <w:rsid w:val="0093540D"/>
    <w:rsid w:val="00935877"/>
    <w:rsid w:val="00935AAE"/>
    <w:rsid w:val="009361AE"/>
    <w:rsid w:val="009365EC"/>
    <w:rsid w:val="00936CC9"/>
    <w:rsid w:val="00936F99"/>
    <w:rsid w:val="00937315"/>
    <w:rsid w:val="00937888"/>
    <w:rsid w:val="009379D4"/>
    <w:rsid w:val="0094019D"/>
    <w:rsid w:val="009402E6"/>
    <w:rsid w:val="00940313"/>
    <w:rsid w:val="00940CCB"/>
    <w:rsid w:val="009414F6"/>
    <w:rsid w:val="009417C4"/>
    <w:rsid w:val="0094184A"/>
    <w:rsid w:val="00941A20"/>
    <w:rsid w:val="00941E64"/>
    <w:rsid w:val="00941F61"/>
    <w:rsid w:val="00942113"/>
    <w:rsid w:val="0094221C"/>
    <w:rsid w:val="00942C11"/>
    <w:rsid w:val="00942F94"/>
    <w:rsid w:val="0094351F"/>
    <w:rsid w:val="009435C6"/>
    <w:rsid w:val="00943667"/>
    <w:rsid w:val="009437F0"/>
    <w:rsid w:val="0094384F"/>
    <w:rsid w:val="009438A9"/>
    <w:rsid w:val="009442C2"/>
    <w:rsid w:val="009444C3"/>
    <w:rsid w:val="00944680"/>
    <w:rsid w:val="00944791"/>
    <w:rsid w:val="00944960"/>
    <w:rsid w:val="0094497B"/>
    <w:rsid w:val="00944F93"/>
    <w:rsid w:val="009450E5"/>
    <w:rsid w:val="0094587D"/>
    <w:rsid w:val="00945FE4"/>
    <w:rsid w:val="00946086"/>
    <w:rsid w:val="00946402"/>
    <w:rsid w:val="0094643C"/>
    <w:rsid w:val="0094677A"/>
    <w:rsid w:val="00946B06"/>
    <w:rsid w:val="00947008"/>
    <w:rsid w:val="009470A2"/>
    <w:rsid w:val="009472EA"/>
    <w:rsid w:val="009473EA"/>
    <w:rsid w:val="00947472"/>
    <w:rsid w:val="009474B8"/>
    <w:rsid w:val="00947601"/>
    <w:rsid w:val="009476C2"/>
    <w:rsid w:val="00947DDE"/>
    <w:rsid w:val="00947F54"/>
    <w:rsid w:val="009500FE"/>
    <w:rsid w:val="009508C1"/>
    <w:rsid w:val="00950B0D"/>
    <w:rsid w:val="00951014"/>
    <w:rsid w:val="00951078"/>
    <w:rsid w:val="00951373"/>
    <w:rsid w:val="00951506"/>
    <w:rsid w:val="0095160D"/>
    <w:rsid w:val="00951768"/>
    <w:rsid w:val="00952044"/>
    <w:rsid w:val="00952114"/>
    <w:rsid w:val="009521AA"/>
    <w:rsid w:val="00952C3D"/>
    <w:rsid w:val="00952D6E"/>
    <w:rsid w:val="00953214"/>
    <w:rsid w:val="009538B8"/>
    <w:rsid w:val="00953BE2"/>
    <w:rsid w:val="00953ED0"/>
    <w:rsid w:val="009540F1"/>
    <w:rsid w:val="00954416"/>
    <w:rsid w:val="009545CE"/>
    <w:rsid w:val="009547F8"/>
    <w:rsid w:val="009549F4"/>
    <w:rsid w:val="0095543C"/>
    <w:rsid w:val="00955ED2"/>
    <w:rsid w:val="009560B9"/>
    <w:rsid w:val="009563D1"/>
    <w:rsid w:val="009565C3"/>
    <w:rsid w:val="00956634"/>
    <w:rsid w:val="009567F1"/>
    <w:rsid w:val="00956C94"/>
    <w:rsid w:val="00956EB4"/>
    <w:rsid w:val="0095716F"/>
    <w:rsid w:val="0095734B"/>
    <w:rsid w:val="009575BA"/>
    <w:rsid w:val="009577C1"/>
    <w:rsid w:val="009577CE"/>
    <w:rsid w:val="00957854"/>
    <w:rsid w:val="00957B70"/>
    <w:rsid w:val="00957D3F"/>
    <w:rsid w:val="00957FBB"/>
    <w:rsid w:val="00960271"/>
    <w:rsid w:val="00960E6A"/>
    <w:rsid w:val="00960F9F"/>
    <w:rsid w:val="009611F9"/>
    <w:rsid w:val="00961F5A"/>
    <w:rsid w:val="00962091"/>
    <w:rsid w:val="009620F7"/>
    <w:rsid w:val="009629AB"/>
    <w:rsid w:val="00963714"/>
    <w:rsid w:val="0096374C"/>
    <w:rsid w:val="00963BC0"/>
    <w:rsid w:val="00963C8D"/>
    <w:rsid w:val="00964022"/>
    <w:rsid w:val="00964A99"/>
    <w:rsid w:val="00964C77"/>
    <w:rsid w:val="00964D6C"/>
    <w:rsid w:val="00965257"/>
    <w:rsid w:val="009657AF"/>
    <w:rsid w:val="00965B32"/>
    <w:rsid w:val="00965CE0"/>
    <w:rsid w:val="00965E27"/>
    <w:rsid w:val="0096600F"/>
    <w:rsid w:val="009664BF"/>
    <w:rsid w:val="00966E54"/>
    <w:rsid w:val="00967000"/>
    <w:rsid w:val="009672DB"/>
    <w:rsid w:val="00967B17"/>
    <w:rsid w:val="00970117"/>
    <w:rsid w:val="00970494"/>
    <w:rsid w:val="00970796"/>
    <w:rsid w:val="009709A8"/>
    <w:rsid w:val="0097143B"/>
    <w:rsid w:val="00971A16"/>
    <w:rsid w:val="00971BBF"/>
    <w:rsid w:val="00971D5A"/>
    <w:rsid w:val="0097202C"/>
    <w:rsid w:val="0097289C"/>
    <w:rsid w:val="009729D4"/>
    <w:rsid w:val="00972C0C"/>
    <w:rsid w:val="009730A2"/>
    <w:rsid w:val="00973307"/>
    <w:rsid w:val="0097335B"/>
    <w:rsid w:val="009738F1"/>
    <w:rsid w:val="00973C4D"/>
    <w:rsid w:val="00973D51"/>
    <w:rsid w:val="00973DA3"/>
    <w:rsid w:val="00973E75"/>
    <w:rsid w:val="009740C9"/>
    <w:rsid w:val="00974345"/>
    <w:rsid w:val="009743D8"/>
    <w:rsid w:val="00974571"/>
    <w:rsid w:val="009746AD"/>
    <w:rsid w:val="00974B9A"/>
    <w:rsid w:val="00974DED"/>
    <w:rsid w:val="00975056"/>
    <w:rsid w:val="00975216"/>
    <w:rsid w:val="00975234"/>
    <w:rsid w:val="009753F2"/>
    <w:rsid w:val="00975440"/>
    <w:rsid w:val="00975764"/>
    <w:rsid w:val="009760EB"/>
    <w:rsid w:val="00976173"/>
    <w:rsid w:val="009763AF"/>
    <w:rsid w:val="00976949"/>
    <w:rsid w:val="00976977"/>
    <w:rsid w:val="00976B57"/>
    <w:rsid w:val="00976FAD"/>
    <w:rsid w:val="00976FBD"/>
    <w:rsid w:val="009773DC"/>
    <w:rsid w:val="00977479"/>
    <w:rsid w:val="00977489"/>
    <w:rsid w:val="00977688"/>
    <w:rsid w:val="00977E54"/>
    <w:rsid w:val="00977EC7"/>
    <w:rsid w:val="00980295"/>
    <w:rsid w:val="009803D2"/>
    <w:rsid w:val="00980759"/>
    <w:rsid w:val="009808EB"/>
    <w:rsid w:val="009809C6"/>
    <w:rsid w:val="00980EB4"/>
    <w:rsid w:val="00980EE1"/>
    <w:rsid w:val="009810F5"/>
    <w:rsid w:val="009810FA"/>
    <w:rsid w:val="00981515"/>
    <w:rsid w:val="009817B0"/>
    <w:rsid w:val="00981828"/>
    <w:rsid w:val="009818CF"/>
    <w:rsid w:val="00981A62"/>
    <w:rsid w:val="00981CD4"/>
    <w:rsid w:val="00981CE7"/>
    <w:rsid w:val="009821CE"/>
    <w:rsid w:val="00982409"/>
    <w:rsid w:val="009824B4"/>
    <w:rsid w:val="0098334F"/>
    <w:rsid w:val="00983CB9"/>
    <w:rsid w:val="00983E69"/>
    <w:rsid w:val="0098410A"/>
    <w:rsid w:val="00984269"/>
    <w:rsid w:val="0098434D"/>
    <w:rsid w:val="0098441D"/>
    <w:rsid w:val="009845CD"/>
    <w:rsid w:val="009848F0"/>
    <w:rsid w:val="00984A5D"/>
    <w:rsid w:val="00984AFD"/>
    <w:rsid w:val="00984D23"/>
    <w:rsid w:val="00984FC8"/>
    <w:rsid w:val="00984FDC"/>
    <w:rsid w:val="009856D7"/>
    <w:rsid w:val="0098577F"/>
    <w:rsid w:val="00985923"/>
    <w:rsid w:val="00985957"/>
    <w:rsid w:val="00985BFC"/>
    <w:rsid w:val="00985D0E"/>
    <w:rsid w:val="00985EC8"/>
    <w:rsid w:val="009863C4"/>
    <w:rsid w:val="0098674E"/>
    <w:rsid w:val="00986758"/>
    <w:rsid w:val="00986A48"/>
    <w:rsid w:val="00986BC5"/>
    <w:rsid w:val="009870B3"/>
    <w:rsid w:val="009877BE"/>
    <w:rsid w:val="00987C7A"/>
    <w:rsid w:val="00987D91"/>
    <w:rsid w:val="00987F34"/>
    <w:rsid w:val="009903FC"/>
    <w:rsid w:val="00990B85"/>
    <w:rsid w:val="00990C61"/>
    <w:rsid w:val="00991154"/>
    <w:rsid w:val="0099167D"/>
    <w:rsid w:val="00991871"/>
    <w:rsid w:val="009921AC"/>
    <w:rsid w:val="009922D5"/>
    <w:rsid w:val="0099259F"/>
    <w:rsid w:val="009927AE"/>
    <w:rsid w:val="0099295B"/>
    <w:rsid w:val="0099297A"/>
    <w:rsid w:val="00992DAF"/>
    <w:rsid w:val="00993F4B"/>
    <w:rsid w:val="00994407"/>
    <w:rsid w:val="009944C6"/>
    <w:rsid w:val="00994617"/>
    <w:rsid w:val="00994BFA"/>
    <w:rsid w:val="00994E30"/>
    <w:rsid w:val="00994E98"/>
    <w:rsid w:val="00994F34"/>
    <w:rsid w:val="0099542E"/>
    <w:rsid w:val="009954D9"/>
    <w:rsid w:val="00995669"/>
    <w:rsid w:val="009957B0"/>
    <w:rsid w:val="0099586B"/>
    <w:rsid w:val="00995A99"/>
    <w:rsid w:val="00995C7F"/>
    <w:rsid w:val="0099645F"/>
    <w:rsid w:val="009967C5"/>
    <w:rsid w:val="0099695D"/>
    <w:rsid w:val="00996993"/>
    <w:rsid w:val="00996E23"/>
    <w:rsid w:val="00996FA4"/>
    <w:rsid w:val="0099706C"/>
    <w:rsid w:val="00997860"/>
    <w:rsid w:val="00997B9F"/>
    <w:rsid w:val="00997DD8"/>
    <w:rsid w:val="00997E7B"/>
    <w:rsid w:val="009A02D5"/>
    <w:rsid w:val="009A0455"/>
    <w:rsid w:val="009A0745"/>
    <w:rsid w:val="009A099E"/>
    <w:rsid w:val="009A0E23"/>
    <w:rsid w:val="009A0F89"/>
    <w:rsid w:val="009A15CA"/>
    <w:rsid w:val="009A1865"/>
    <w:rsid w:val="009A20C0"/>
    <w:rsid w:val="009A21C8"/>
    <w:rsid w:val="009A277C"/>
    <w:rsid w:val="009A29C1"/>
    <w:rsid w:val="009A2A21"/>
    <w:rsid w:val="009A2E72"/>
    <w:rsid w:val="009A2F28"/>
    <w:rsid w:val="009A3552"/>
    <w:rsid w:val="009A3D42"/>
    <w:rsid w:val="009A3E9C"/>
    <w:rsid w:val="009A4550"/>
    <w:rsid w:val="009A4D35"/>
    <w:rsid w:val="009A4EDD"/>
    <w:rsid w:val="009A51D6"/>
    <w:rsid w:val="009A53DC"/>
    <w:rsid w:val="009A556D"/>
    <w:rsid w:val="009A5986"/>
    <w:rsid w:val="009A5CAF"/>
    <w:rsid w:val="009A64EA"/>
    <w:rsid w:val="009A658D"/>
    <w:rsid w:val="009A658F"/>
    <w:rsid w:val="009A6AF4"/>
    <w:rsid w:val="009A6AF8"/>
    <w:rsid w:val="009A6B34"/>
    <w:rsid w:val="009A6CDD"/>
    <w:rsid w:val="009A74CA"/>
    <w:rsid w:val="009A75C3"/>
    <w:rsid w:val="009A7724"/>
    <w:rsid w:val="009A7805"/>
    <w:rsid w:val="009A7B80"/>
    <w:rsid w:val="009A7F17"/>
    <w:rsid w:val="009B006C"/>
    <w:rsid w:val="009B01A0"/>
    <w:rsid w:val="009B0286"/>
    <w:rsid w:val="009B052E"/>
    <w:rsid w:val="009B05FB"/>
    <w:rsid w:val="009B0C44"/>
    <w:rsid w:val="009B0CD1"/>
    <w:rsid w:val="009B0D81"/>
    <w:rsid w:val="009B1217"/>
    <w:rsid w:val="009B12A1"/>
    <w:rsid w:val="009B1377"/>
    <w:rsid w:val="009B1525"/>
    <w:rsid w:val="009B1D25"/>
    <w:rsid w:val="009B219F"/>
    <w:rsid w:val="009B2255"/>
    <w:rsid w:val="009B2275"/>
    <w:rsid w:val="009B2677"/>
    <w:rsid w:val="009B293A"/>
    <w:rsid w:val="009B29CB"/>
    <w:rsid w:val="009B2BBC"/>
    <w:rsid w:val="009B2C27"/>
    <w:rsid w:val="009B2CC3"/>
    <w:rsid w:val="009B2D46"/>
    <w:rsid w:val="009B2D9E"/>
    <w:rsid w:val="009B31F8"/>
    <w:rsid w:val="009B3408"/>
    <w:rsid w:val="009B3661"/>
    <w:rsid w:val="009B37F1"/>
    <w:rsid w:val="009B39F5"/>
    <w:rsid w:val="009B3BDE"/>
    <w:rsid w:val="009B4463"/>
    <w:rsid w:val="009B481D"/>
    <w:rsid w:val="009B497C"/>
    <w:rsid w:val="009B5AA8"/>
    <w:rsid w:val="009B5E17"/>
    <w:rsid w:val="009B5E84"/>
    <w:rsid w:val="009B6045"/>
    <w:rsid w:val="009B63FC"/>
    <w:rsid w:val="009B6D26"/>
    <w:rsid w:val="009B70A9"/>
    <w:rsid w:val="009B71EE"/>
    <w:rsid w:val="009B75B7"/>
    <w:rsid w:val="009B7AF8"/>
    <w:rsid w:val="009C0779"/>
    <w:rsid w:val="009C0820"/>
    <w:rsid w:val="009C0A3D"/>
    <w:rsid w:val="009C0DAA"/>
    <w:rsid w:val="009C0E77"/>
    <w:rsid w:val="009C126C"/>
    <w:rsid w:val="009C1568"/>
    <w:rsid w:val="009C15EA"/>
    <w:rsid w:val="009C1B1C"/>
    <w:rsid w:val="009C1F15"/>
    <w:rsid w:val="009C23C3"/>
    <w:rsid w:val="009C29FD"/>
    <w:rsid w:val="009C2CAF"/>
    <w:rsid w:val="009C2D3F"/>
    <w:rsid w:val="009C2E06"/>
    <w:rsid w:val="009C3367"/>
    <w:rsid w:val="009C33D5"/>
    <w:rsid w:val="009C3E78"/>
    <w:rsid w:val="009C45D2"/>
    <w:rsid w:val="009C47D4"/>
    <w:rsid w:val="009C4AA7"/>
    <w:rsid w:val="009C4CCF"/>
    <w:rsid w:val="009C4DBE"/>
    <w:rsid w:val="009C4F3C"/>
    <w:rsid w:val="009C51E4"/>
    <w:rsid w:val="009C528B"/>
    <w:rsid w:val="009C5310"/>
    <w:rsid w:val="009C534B"/>
    <w:rsid w:val="009C537C"/>
    <w:rsid w:val="009C5603"/>
    <w:rsid w:val="009C5D91"/>
    <w:rsid w:val="009C6329"/>
    <w:rsid w:val="009C632A"/>
    <w:rsid w:val="009C6574"/>
    <w:rsid w:val="009C6587"/>
    <w:rsid w:val="009C6615"/>
    <w:rsid w:val="009C6AAA"/>
    <w:rsid w:val="009C6AC6"/>
    <w:rsid w:val="009C6B01"/>
    <w:rsid w:val="009C6B0E"/>
    <w:rsid w:val="009C6C27"/>
    <w:rsid w:val="009C6D42"/>
    <w:rsid w:val="009C6D7C"/>
    <w:rsid w:val="009C7523"/>
    <w:rsid w:val="009C769C"/>
    <w:rsid w:val="009C7F7B"/>
    <w:rsid w:val="009C7F9C"/>
    <w:rsid w:val="009D03DE"/>
    <w:rsid w:val="009D0400"/>
    <w:rsid w:val="009D0431"/>
    <w:rsid w:val="009D0460"/>
    <w:rsid w:val="009D0B22"/>
    <w:rsid w:val="009D133E"/>
    <w:rsid w:val="009D143F"/>
    <w:rsid w:val="009D1480"/>
    <w:rsid w:val="009D15A2"/>
    <w:rsid w:val="009D15F2"/>
    <w:rsid w:val="009D1A26"/>
    <w:rsid w:val="009D1E05"/>
    <w:rsid w:val="009D1F4C"/>
    <w:rsid w:val="009D256C"/>
    <w:rsid w:val="009D2687"/>
    <w:rsid w:val="009D27CE"/>
    <w:rsid w:val="009D2986"/>
    <w:rsid w:val="009D2DA1"/>
    <w:rsid w:val="009D34B5"/>
    <w:rsid w:val="009D3516"/>
    <w:rsid w:val="009D45EC"/>
    <w:rsid w:val="009D4828"/>
    <w:rsid w:val="009D4988"/>
    <w:rsid w:val="009D498A"/>
    <w:rsid w:val="009D4A94"/>
    <w:rsid w:val="009D4B0C"/>
    <w:rsid w:val="009D4E82"/>
    <w:rsid w:val="009D51BD"/>
    <w:rsid w:val="009D5476"/>
    <w:rsid w:val="009D5A01"/>
    <w:rsid w:val="009D5D7A"/>
    <w:rsid w:val="009D62C5"/>
    <w:rsid w:val="009D6A37"/>
    <w:rsid w:val="009D6B98"/>
    <w:rsid w:val="009D6CD1"/>
    <w:rsid w:val="009D6D3F"/>
    <w:rsid w:val="009D75A7"/>
    <w:rsid w:val="009D76CD"/>
    <w:rsid w:val="009D796D"/>
    <w:rsid w:val="009D7CF0"/>
    <w:rsid w:val="009E000D"/>
    <w:rsid w:val="009E01BA"/>
    <w:rsid w:val="009E0D99"/>
    <w:rsid w:val="009E0E44"/>
    <w:rsid w:val="009E0EE9"/>
    <w:rsid w:val="009E13BA"/>
    <w:rsid w:val="009E171B"/>
    <w:rsid w:val="009E17A3"/>
    <w:rsid w:val="009E1835"/>
    <w:rsid w:val="009E1A9C"/>
    <w:rsid w:val="009E1AF6"/>
    <w:rsid w:val="009E1BAB"/>
    <w:rsid w:val="009E1E73"/>
    <w:rsid w:val="009E218A"/>
    <w:rsid w:val="009E293A"/>
    <w:rsid w:val="009E2A7A"/>
    <w:rsid w:val="009E2BAA"/>
    <w:rsid w:val="009E2E0D"/>
    <w:rsid w:val="009E3356"/>
    <w:rsid w:val="009E33F3"/>
    <w:rsid w:val="009E3700"/>
    <w:rsid w:val="009E3BF9"/>
    <w:rsid w:val="009E3FBA"/>
    <w:rsid w:val="009E3FFB"/>
    <w:rsid w:val="009E421B"/>
    <w:rsid w:val="009E45BD"/>
    <w:rsid w:val="009E4E13"/>
    <w:rsid w:val="009E4E5B"/>
    <w:rsid w:val="009E53DD"/>
    <w:rsid w:val="009E58D4"/>
    <w:rsid w:val="009E59C4"/>
    <w:rsid w:val="009E5A08"/>
    <w:rsid w:val="009E5DC3"/>
    <w:rsid w:val="009E5E48"/>
    <w:rsid w:val="009E629A"/>
    <w:rsid w:val="009E642D"/>
    <w:rsid w:val="009E68E3"/>
    <w:rsid w:val="009E6B3E"/>
    <w:rsid w:val="009E6BE3"/>
    <w:rsid w:val="009E6D40"/>
    <w:rsid w:val="009E6FD1"/>
    <w:rsid w:val="009E733E"/>
    <w:rsid w:val="009E7756"/>
    <w:rsid w:val="009E77BA"/>
    <w:rsid w:val="009E787F"/>
    <w:rsid w:val="009E7A01"/>
    <w:rsid w:val="009E7A28"/>
    <w:rsid w:val="009E7B1C"/>
    <w:rsid w:val="009E7C85"/>
    <w:rsid w:val="009F0775"/>
    <w:rsid w:val="009F0951"/>
    <w:rsid w:val="009F0B30"/>
    <w:rsid w:val="009F0D8D"/>
    <w:rsid w:val="009F1092"/>
    <w:rsid w:val="009F11CF"/>
    <w:rsid w:val="009F1551"/>
    <w:rsid w:val="009F172B"/>
    <w:rsid w:val="009F2155"/>
    <w:rsid w:val="009F301F"/>
    <w:rsid w:val="009F37B0"/>
    <w:rsid w:val="009F3B44"/>
    <w:rsid w:val="009F3D31"/>
    <w:rsid w:val="009F3FBE"/>
    <w:rsid w:val="009F40BC"/>
    <w:rsid w:val="009F422E"/>
    <w:rsid w:val="009F4479"/>
    <w:rsid w:val="009F47C0"/>
    <w:rsid w:val="009F4A0C"/>
    <w:rsid w:val="009F4BDB"/>
    <w:rsid w:val="009F50D5"/>
    <w:rsid w:val="009F53CE"/>
    <w:rsid w:val="009F5978"/>
    <w:rsid w:val="009F598D"/>
    <w:rsid w:val="009F59B6"/>
    <w:rsid w:val="009F5A01"/>
    <w:rsid w:val="009F5BF2"/>
    <w:rsid w:val="009F6828"/>
    <w:rsid w:val="009F6A2B"/>
    <w:rsid w:val="009F6B50"/>
    <w:rsid w:val="009F7084"/>
    <w:rsid w:val="009F7E04"/>
    <w:rsid w:val="00A00525"/>
    <w:rsid w:val="00A00896"/>
    <w:rsid w:val="00A0097C"/>
    <w:rsid w:val="00A010BB"/>
    <w:rsid w:val="00A015E8"/>
    <w:rsid w:val="00A01944"/>
    <w:rsid w:val="00A01BA9"/>
    <w:rsid w:val="00A01ED8"/>
    <w:rsid w:val="00A01FA9"/>
    <w:rsid w:val="00A0228E"/>
    <w:rsid w:val="00A029E3"/>
    <w:rsid w:val="00A02BA2"/>
    <w:rsid w:val="00A02CBA"/>
    <w:rsid w:val="00A02E81"/>
    <w:rsid w:val="00A03A43"/>
    <w:rsid w:val="00A03CE6"/>
    <w:rsid w:val="00A04A3A"/>
    <w:rsid w:val="00A04AF0"/>
    <w:rsid w:val="00A050F8"/>
    <w:rsid w:val="00A051E6"/>
    <w:rsid w:val="00A0521A"/>
    <w:rsid w:val="00A05E1E"/>
    <w:rsid w:val="00A060C7"/>
    <w:rsid w:val="00A0612D"/>
    <w:rsid w:val="00A064FE"/>
    <w:rsid w:val="00A06873"/>
    <w:rsid w:val="00A06894"/>
    <w:rsid w:val="00A069AD"/>
    <w:rsid w:val="00A06AA4"/>
    <w:rsid w:val="00A06AAC"/>
    <w:rsid w:val="00A06F0A"/>
    <w:rsid w:val="00A073F5"/>
    <w:rsid w:val="00A07529"/>
    <w:rsid w:val="00A07598"/>
    <w:rsid w:val="00A077B4"/>
    <w:rsid w:val="00A07A46"/>
    <w:rsid w:val="00A07B25"/>
    <w:rsid w:val="00A07D47"/>
    <w:rsid w:val="00A1011C"/>
    <w:rsid w:val="00A107AB"/>
    <w:rsid w:val="00A10931"/>
    <w:rsid w:val="00A109F6"/>
    <w:rsid w:val="00A10DB9"/>
    <w:rsid w:val="00A1119B"/>
    <w:rsid w:val="00A11495"/>
    <w:rsid w:val="00A1150E"/>
    <w:rsid w:val="00A11548"/>
    <w:rsid w:val="00A11A4C"/>
    <w:rsid w:val="00A12418"/>
    <w:rsid w:val="00A12632"/>
    <w:rsid w:val="00A1264E"/>
    <w:rsid w:val="00A12F20"/>
    <w:rsid w:val="00A12F62"/>
    <w:rsid w:val="00A130AB"/>
    <w:rsid w:val="00A131B8"/>
    <w:rsid w:val="00A1329B"/>
    <w:rsid w:val="00A132ED"/>
    <w:rsid w:val="00A136D7"/>
    <w:rsid w:val="00A136FD"/>
    <w:rsid w:val="00A139C7"/>
    <w:rsid w:val="00A13B81"/>
    <w:rsid w:val="00A13CF0"/>
    <w:rsid w:val="00A1413A"/>
    <w:rsid w:val="00A14954"/>
    <w:rsid w:val="00A14C57"/>
    <w:rsid w:val="00A14FE9"/>
    <w:rsid w:val="00A15172"/>
    <w:rsid w:val="00A15662"/>
    <w:rsid w:val="00A15ADD"/>
    <w:rsid w:val="00A15B97"/>
    <w:rsid w:val="00A162EC"/>
    <w:rsid w:val="00A16487"/>
    <w:rsid w:val="00A1649A"/>
    <w:rsid w:val="00A1658A"/>
    <w:rsid w:val="00A16689"/>
    <w:rsid w:val="00A16997"/>
    <w:rsid w:val="00A16C01"/>
    <w:rsid w:val="00A16D52"/>
    <w:rsid w:val="00A16FAD"/>
    <w:rsid w:val="00A17021"/>
    <w:rsid w:val="00A171F6"/>
    <w:rsid w:val="00A1724E"/>
    <w:rsid w:val="00A17551"/>
    <w:rsid w:val="00A177DC"/>
    <w:rsid w:val="00A17874"/>
    <w:rsid w:val="00A178C0"/>
    <w:rsid w:val="00A1799E"/>
    <w:rsid w:val="00A17B6A"/>
    <w:rsid w:val="00A17E9A"/>
    <w:rsid w:val="00A20186"/>
    <w:rsid w:val="00A207DA"/>
    <w:rsid w:val="00A20E39"/>
    <w:rsid w:val="00A211AF"/>
    <w:rsid w:val="00A21515"/>
    <w:rsid w:val="00A21A2B"/>
    <w:rsid w:val="00A21C40"/>
    <w:rsid w:val="00A21C7A"/>
    <w:rsid w:val="00A22281"/>
    <w:rsid w:val="00A222BC"/>
    <w:rsid w:val="00A22D5B"/>
    <w:rsid w:val="00A22EF4"/>
    <w:rsid w:val="00A230EB"/>
    <w:rsid w:val="00A236CE"/>
    <w:rsid w:val="00A23B44"/>
    <w:rsid w:val="00A24391"/>
    <w:rsid w:val="00A24454"/>
    <w:rsid w:val="00A25AE8"/>
    <w:rsid w:val="00A26038"/>
    <w:rsid w:val="00A26060"/>
    <w:rsid w:val="00A265C7"/>
    <w:rsid w:val="00A266B0"/>
    <w:rsid w:val="00A268F1"/>
    <w:rsid w:val="00A26B71"/>
    <w:rsid w:val="00A26FD3"/>
    <w:rsid w:val="00A27140"/>
    <w:rsid w:val="00A2720B"/>
    <w:rsid w:val="00A2759F"/>
    <w:rsid w:val="00A27702"/>
    <w:rsid w:val="00A27916"/>
    <w:rsid w:val="00A27FF0"/>
    <w:rsid w:val="00A30396"/>
    <w:rsid w:val="00A30416"/>
    <w:rsid w:val="00A3047B"/>
    <w:rsid w:val="00A30958"/>
    <w:rsid w:val="00A30C18"/>
    <w:rsid w:val="00A3124D"/>
    <w:rsid w:val="00A31505"/>
    <w:rsid w:val="00A31FAE"/>
    <w:rsid w:val="00A321DD"/>
    <w:rsid w:val="00A325E1"/>
    <w:rsid w:val="00A32E05"/>
    <w:rsid w:val="00A33131"/>
    <w:rsid w:val="00A33434"/>
    <w:rsid w:val="00A335AB"/>
    <w:rsid w:val="00A33AF7"/>
    <w:rsid w:val="00A33B3B"/>
    <w:rsid w:val="00A3434F"/>
    <w:rsid w:val="00A3495D"/>
    <w:rsid w:val="00A34B65"/>
    <w:rsid w:val="00A34C29"/>
    <w:rsid w:val="00A34C54"/>
    <w:rsid w:val="00A35868"/>
    <w:rsid w:val="00A35F14"/>
    <w:rsid w:val="00A35F2B"/>
    <w:rsid w:val="00A362C0"/>
    <w:rsid w:val="00A36430"/>
    <w:rsid w:val="00A36A71"/>
    <w:rsid w:val="00A3749B"/>
    <w:rsid w:val="00A375C3"/>
    <w:rsid w:val="00A37750"/>
    <w:rsid w:val="00A37952"/>
    <w:rsid w:val="00A37D87"/>
    <w:rsid w:val="00A37E28"/>
    <w:rsid w:val="00A37F7D"/>
    <w:rsid w:val="00A40048"/>
    <w:rsid w:val="00A4051A"/>
    <w:rsid w:val="00A40540"/>
    <w:rsid w:val="00A405C7"/>
    <w:rsid w:val="00A4074B"/>
    <w:rsid w:val="00A40838"/>
    <w:rsid w:val="00A40918"/>
    <w:rsid w:val="00A40BDF"/>
    <w:rsid w:val="00A40C5A"/>
    <w:rsid w:val="00A40D51"/>
    <w:rsid w:val="00A40F93"/>
    <w:rsid w:val="00A412FC"/>
    <w:rsid w:val="00A41C89"/>
    <w:rsid w:val="00A422FF"/>
    <w:rsid w:val="00A42391"/>
    <w:rsid w:val="00A423D1"/>
    <w:rsid w:val="00A42590"/>
    <w:rsid w:val="00A4282D"/>
    <w:rsid w:val="00A42939"/>
    <w:rsid w:val="00A42D37"/>
    <w:rsid w:val="00A42DA8"/>
    <w:rsid w:val="00A43751"/>
    <w:rsid w:val="00A439AD"/>
    <w:rsid w:val="00A43BDF"/>
    <w:rsid w:val="00A442D1"/>
    <w:rsid w:val="00A4472A"/>
    <w:rsid w:val="00A44A71"/>
    <w:rsid w:val="00A44AA0"/>
    <w:rsid w:val="00A45672"/>
    <w:rsid w:val="00A45A04"/>
    <w:rsid w:val="00A45AED"/>
    <w:rsid w:val="00A45B08"/>
    <w:rsid w:val="00A45B47"/>
    <w:rsid w:val="00A466F3"/>
    <w:rsid w:val="00A46937"/>
    <w:rsid w:val="00A46AE6"/>
    <w:rsid w:val="00A46B30"/>
    <w:rsid w:val="00A47553"/>
    <w:rsid w:val="00A4788A"/>
    <w:rsid w:val="00A478A5"/>
    <w:rsid w:val="00A47949"/>
    <w:rsid w:val="00A479A8"/>
    <w:rsid w:val="00A47C80"/>
    <w:rsid w:val="00A47FC8"/>
    <w:rsid w:val="00A50011"/>
    <w:rsid w:val="00A503D4"/>
    <w:rsid w:val="00A50518"/>
    <w:rsid w:val="00A505C1"/>
    <w:rsid w:val="00A508F1"/>
    <w:rsid w:val="00A50B53"/>
    <w:rsid w:val="00A50D88"/>
    <w:rsid w:val="00A5139B"/>
    <w:rsid w:val="00A519B4"/>
    <w:rsid w:val="00A51D8A"/>
    <w:rsid w:val="00A51DB6"/>
    <w:rsid w:val="00A523AB"/>
    <w:rsid w:val="00A523F6"/>
    <w:rsid w:val="00A528F5"/>
    <w:rsid w:val="00A52CF1"/>
    <w:rsid w:val="00A52E26"/>
    <w:rsid w:val="00A52EC3"/>
    <w:rsid w:val="00A537F2"/>
    <w:rsid w:val="00A5380C"/>
    <w:rsid w:val="00A5395E"/>
    <w:rsid w:val="00A53C5B"/>
    <w:rsid w:val="00A53D0C"/>
    <w:rsid w:val="00A53D55"/>
    <w:rsid w:val="00A53E6C"/>
    <w:rsid w:val="00A5456D"/>
    <w:rsid w:val="00A54704"/>
    <w:rsid w:val="00A54924"/>
    <w:rsid w:val="00A54D77"/>
    <w:rsid w:val="00A54E44"/>
    <w:rsid w:val="00A54F45"/>
    <w:rsid w:val="00A5544F"/>
    <w:rsid w:val="00A558CE"/>
    <w:rsid w:val="00A56008"/>
    <w:rsid w:val="00A5625F"/>
    <w:rsid w:val="00A56523"/>
    <w:rsid w:val="00A56770"/>
    <w:rsid w:val="00A56923"/>
    <w:rsid w:val="00A56C74"/>
    <w:rsid w:val="00A56EB9"/>
    <w:rsid w:val="00A57D05"/>
    <w:rsid w:val="00A6039D"/>
    <w:rsid w:val="00A614EF"/>
    <w:rsid w:val="00A6163B"/>
    <w:rsid w:val="00A61957"/>
    <w:rsid w:val="00A619BE"/>
    <w:rsid w:val="00A61C2F"/>
    <w:rsid w:val="00A62B4F"/>
    <w:rsid w:val="00A62D54"/>
    <w:rsid w:val="00A62E42"/>
    <w:rsid w:val="00A63273"/>
    <w:rsid w:val="00A63650"/>
    <w:rsid w:val="00A6379D"/>
    <w:rsid w:val="00A637A0"/>
    <w:rsid w:val="00A638B2"/>
    <w:rsid w:val="00A63927"/>
    <w:rsid w:val="00A63F3A"/>
    <w:rsid w:val="00A63FF7"/>
    <w:rsid w:val="00A64182"/>
    <w:rsid w:val="00A6429C"/>
    <w:rsid w:val="00A64A71"/>
    <w:rsid w:val="00A64A72"/>
    <w:rsid w:val="00A64E4B"/>
    <w:rsid w:val="00A651F6"/>
    <w:rsid w:val="00A654CD"/>
    <w:rsid w:val="00A6574C"/>
    <w:rsid w:val="00A65A31"/>
    <w:rsid w:val="00A65A7A"/>
    <w:rsid w:val="00A65CDD"/>
    <w:rsid w:val="00A65D2C"/>
    <w:rsid w:val="00A66366"/>
    <w:rsid w:val="00A667AB"/>
    <w:rsid w:val="00A66AD8"/>
    <w:rsid w:val="00A66B91"/>
    <w:rsid w:val="00A67245"/>
    <w:rsid w:val="00A6752E"/>
    <w:rsid w:val="00A67762"/>
    <w:rsid w:val="00A67B56"/>
    <w:rsid w:val="00A67BA4"/>
    <w:rsid w:val="00A700EB"/>
    <w:rsid w:val="00A701D9"/>
    <w:rsid w:val="00A70369"/>
    <w:rsid w:val="00A70699"/>
    <w:rsid w:val="00A70A14"/>
    <w:rsid w:val="00A70D94"/>
    <w:rsid w:val="00A71283"/>
    <w:rsid w:val="00A71A25"/>
    <w:rsid w:val="00A71ADD"/>
    <w:rsid w:val="00A71DED"/>
    <w:rsid w:val="00A723D0"/>
    <w:rsid w:val="00A72960"/>
    <w:rsid w:val="00A72D81"/>
    <w:rsid w:val="00A72D8F"/>
    <w:rsid w:val="00A73247"/>
    <w:rsid w:val="00A744A9"/>
    <w:rsid w:val="00A7478A"/>
    <w:rsid w:val="00A74DD2"/>
    <w:rsid w:val="00A75023"/>
    <w:rsid w:val="00A75684"/>
    <w:rsid w:val="00A7572F"/>
    <w:rsid w:val="00A75BD1"/>
    <w:rsid w:val="00A75DC2"/>
    <w:rsid w:val="00A76244"/>
    <w:rsid w:val="00A7629F"/>
    <w:rsid w:val="00A7661B"/>
    <w:rsid w:val="00A76C05"/>
    <w:rsid w:val="00A76F18"/>
    <w:rsid w:val="00A771B7"/>
    <w:rsid w:val="00A771C0"/>
    <w:rsid w:val="00A77568"/>
    <w:rsid w:val="00A778AC"/>
    <w:rsid w:val="00A77CE0"/>
    <w:rsid w:val="00A77D64"/>
    <w:rsid w:val="00A77EFA"/>
    <w:rsid w:val="00A80131"/>
    <w:rsid w:val="00A80691"/>
    <w:rsid w:val="00A80727"/>
    <w:rsid w:val="00A80899"/>
    <w:rsid w:val="00A80A52"/>
    <w:rsid w:val="00A80EBC"/>
    <w:rsid w:val="00A80FBC"/>
    <w:rsid w:val="00A80FC2"/>
    <w:rsid w:val="00A81172"/>
    <w:rsid w:val="00A8139B"/>
    <w:rsid w:val="00A81733"/>
    <w:rsid w:val="00A819F9"/>
    <w:rsid w:val="00A81A4A"/>
    <w:rsid w:val="00A81A66"/>
    <w:rsid w:val="00A81C2D"/>
    <w:rsid w:val="00A81F31"/>
    <w:rsid w:val="00A81FAE"/>
    <w:rsid w:val="00A821E1"/>
    <w:rsid w:val="00A822AE"/>
    <w:rsid w:val="00A82372"/>
    <w:rsid w:val="00A82780"/>
    <w:rsid w:val="00A827F5"/>
    <w:rsid w:val="00A8293B"/>
    <w:rsid w:val="00A82956"/>
    <w:rsid w:val="00A82F68"/>
    <w:rsid w:val="00A8308B"/>
    <w:rsid w:val="00A83287"/>
    <w:rsid w:val="00A839CA"/>
    <w:rsid w:val="00A83D62"/>
    <w:rsid w:val="00A83F00"/>
    <w:rsid w:val="00A84069"/>
    <w:rsid w:val="00A842F1"/>
    <w:rsid w:val="00A84B19"/>
    <w:rsid w:val="00A84BE6"/>
    <w:rsid w:val="00A84E6C"/>
    <w:rsid w:val="00A85095"/>
    <w:rsid w:val="00A85582"/>
    <w:rsid w:val="00A85871"/>
    <w:rsid w:val="00A858E5"/>
    <w:rsid w:val="00A85D8E"/>
    <w:rsid w:val="00A85FFC"/>
    <w:rsid w:val="00A86404"/>
    <w:rsid w:val="00A86955"/>
    <w:rsid w:val="00A86D56"/>
    <w:rsid w:val="00A86F23"/>
    <w:rsid w:val="00A86F74"/>
    <w:rsid w:val="00A8706E"/>
    <w:rsid w:val="00A871A4"/>
    <w:rsid w:val="00A87A65"/>
    <w:rsid w:val="00A9031D"/>
    <w:rsid w:val="00A9048B"/>
    <w:rsid w:val="00A90935"/>
    <w:rsid w:val="00A90B5B"/>
    <w:rsid w:val="00A90BF9"/>
    <w:rsid w:val="00A90CBC"/>
    <w:rsid w:val="00A913C2"/>
    <w:rsid w:val="00A9144D"/>
    <w:rsid w:val="00A91606"/>
    <w:rsid w:val="00A91614"/>
    <w:rsid w:val="00A91B00"/>
    <w:rsid w:val="00A91BFE"/>
    <w:rsid w:val="00A91C3F"/>
    <w:rsid w:val="00A91DC2"/>
    <w:rsid w:val="00A91F1F"/>
    <w:rsid w:val="00A9288E"/>
    <w:rsid w:val="00A929E3"/>
    <w:rsid w:val="00A92B2D"/>
    <w:rsid w:val="00A92CB6"/>
    <w:rsid w:val="00A93401"/>
    <w:rsid w:val="00A9343B"/>
    <w:rsid w:val="00A936F0"/>
    <w:rsid w:val="00A93911"/>
    <w:rsid w:val="00A93CA3"/>
    <w:rsid w:val="00A94140"/>
    <w:rsid w:val="00A9491A"/>
    <w:rsid w:val="00A9495E"/>
    <w:rsid w:val="00A95209"/>
    <w:rsid w:val="00A9561A"/>
    <w:rsid w:val="00A95722"/>
    <w:rsid w:val="00A95ACE"/>
    <w:rsid w:val="00A95C09"/>
    <w:rsid w:val="00A96192"/>
    <w:rsid w:val="00A96318"/>
    <w:rsid w:val="00A96644"/>
    <w:rsid w:val="00A96F18"/>
    <w:rsid w:val="00A97045"/>
    <w:rsid w:val="00A97C5F"/>
    <w:rsid w:val="00AA063E"/>
    <w:rsid w:val="00AA066E"/>
    <w:rsid w:val="00AA078A"/>
    <w:rsid w:val="00AA0C01"/>
    <w:rsid w:val="00AA0CCE"/>
    <w:rsid w:val="00AA0E6D"/>
    <w:rsid w:val="00AA120E"/>
    <w:rsid w:val="00AA18F8"/>
    <w:rsid w:val="00AA1B73"/>
    <w:rsid w:val="00AA1E04"/>
    <w:rsid w:val="00AA1E69"/>
    <w:rsid w:val="00AA1FF5"/>
    <w:rsid w:val="00AA2077"/>
    <w:rsid w:val="00AA213C"/>
    <w:rsid w:val="00AA2345"/>
    <w:rsid w:val="00AA2355"/>
    <w:rsid w:val="00AA2CFD"/>
    <w:rsid w:val="00AA32DA"/>
    <w:rsid w:val="00AA3704"/>
    <w:rsid w:val="00AA378B"/>
    <w:rsid w:val="00AA37FC"/>
    <w:rsid w:val="00AA38C3"/>
    <w:rsid w:val="00AA3993"/>
    <w:rsid w:val="00AA3F04"/>
    <w:rsid w:val="00AA4053"/>
    <w:rsid w:val="00AA40B7"/>
    <w:rsid w:val="00AA4223"/>
    <w:rsid w:val="00AA43C2"/>
    <w:rsid w:val="00AA4B5B"/>
    <w:rsid w:val="00AA4D02"/>
    <w:rsid w:val="00AA5228"/>
    <w:rsid w:val="00AA53C0"/>
    <w:rsid w:val="00AA5C72"/>
    <w:rsid w:val="00AA5D30"/>
    <w:rsid w:val="00AA5FAB"/>
    <w:rsid w:val="00AA653B"/>
    <w:rsid w:val="00AA6658"/>
    <w:rsid w:val="00AA679A"/>
    <w:rsid w:val="00AA6929"/>
    <w:rsid w:val="00AA6A1C"/>
    <w:rsid w:val="00AA7032"/>
    <w:rsid w:val="00AA7181"/>
    <w:rsid w:val="00AA7393"/>
    <w:rsid w:val="00AA7438"/>
    <w:rsid w:val="00AA7468"/>
    <w:rsid w:val="00AA74AA"/>
    <w:rsid w:val="00AA78A8"/>
    <w:rsid w:val="00AB0112"/>
    <w:rsid w:val="00AB0427"/>
    <w:rsid w:val="00AB08B6"/>
    <w:rsid w:val="00AB0B23"/>
    <w:rsid w:val="00AB1117"/>
    <w:rsid w:val="00AB1494"/>
    <w:rsid w:val="00AB1496"/>
    <w:rsid w:val="00AB194C"/>
    <w:rsid w:val="00AB1B17"/>
    <w:rsid w:val="00AB2022"/>
    <w:rsid w:val="00AB239E"/>
    <w:rsid w:val="00AB2777"/>
    <w:rsid w:val="00AB2BAE"/>
    <w:rsid w:val="00AB2D87"/>
    <w:rsid w:val="00AB2DAF"/>
    <w:rsid w:val="00AB2DF8"/>
    <w:rsid w:val="00AB2EB8"/>
    <w:rsid w:val="00AB366B"/>
    <w:rsid w:val="00AB36ED"/>
    <w:rsid w:val="00AB3840"/>
    <w:rsid w:val="00AB3DCC"/>
    <w:rsid w:val="00AB45F0"/>
    <w:rsid w:val="00AB4AE4"/>
    <w:rsid w:val="00AB4B6E"/>
    <w:rsid w:val="00AB4DB0"/>
    <w:rsid w:val="00AB4DEA"/>
    <w:rsid w:val="00AB5036"/>
    <w:rsid w:val="00AB51EB"/>
    <w:rsid w:val="00AB57A8"/>
    <w:rsid w:val="00AB5C5D"/>
    <w:rsid w:val="00AB68A5"/>
    <w:rsid w:val="00AB6929"/>
    <w:rsid w:val="00AB6AEA"/>
    <w:rsid w:val="00AB6B50"/>
    <w:rsid w:val="00AB6D30"/>
    <w:rsid w:val="00AB6E62"/>
    <w:rsid w:val="00AB70B4"/>
    <w:rsid w:val="00AB7600"/>
    <w:rsid w:val="00AB7963"/>
    <w:rsid w:val="00AB7A16"/>
    <w:rsid w:val="00AC04D4"/>
    <w:rsid w:val="00AC062C"/>
    <w:rsid w:val="00AC0AF5"/>
    <w:rsid w:val="00AC105F"/>
    <w:rsid w:val="00AC11A8"/>
    <w:rsid w:val="00AC1549"/>
    <w:rsid w:val="00AC175F"/>
    <w:rsid w:val="00AC19A1"/>
    <w:rsid w:val="00AC1D32"/>
    <w:rsid w:val="00AC1F9B"/>
    <w:rsid w:val="00AC229A"/>
    <w:rsid w:val="00AC22CC"/>
    <w:rsid w:val="00AC2B41"/>
    <w:rsid w:val="00AC2CB3"/>
    <w:rsid w:val="00AC3196"/>
    <w:rsid w:val="00AC31A0"/>
    <w:rsid w:val="00AC3738"/>
    <w:rsid w:val="00AC3793"/>
    <w:rsid w:val="00AC3900"/>
    <w:rsid w:val="00AC3C26"/>
    <w:rsid w:val="00AC3E59"/>
    <w:rsid w:val="00AC3EA7"/>
    <w:rsid w:val="00AC3F2A"/>
    <w:rsid w:val="00AC4027"/>
    <w:rsid w:val="00AC4468"/>
    <w:rsid w:val="00AC493B"/>
    <w:rsid w:val="00AC4995"/>
    <w:rsid w:val="00AC4C9A"/>
    <w:rsid w:val="00AC4D51"/>
    <w:rsid w:val="00AC4E9E"/>
    <w:rsid w:val="00AC50B9"/>
    <w:rsid w:val="00AC5626"/>
    <w:rsid w:val="00AC5720"/>
    <w:rsid w:val="00AC5A31"/>
    <w:rsid w:val="00AC5B04"/>
    <w:rsid w:val="00AC5B51"/>
    <w:rsid w:val="00AC5E61"/>
    <w:rsid w:val="00AC5FD9"/>
    <w:rsid w:val="00AC6207"/>
    <w:rsid w:val="00AC6227"/>
    <w:rsid w:val="00AC632B"/>
    <w:rsid w:val="00AC6523"/>
    <w:rsid w:val="00AC6708"/>
    <w:rsid w:val="00AC6826"/>
    <w:rsid w:val="00AC6C5B"/>
    <w:rsid w:val="00AC6CB5"/>
    <w:rsid w:val="00AC6D1F"/>
    <w:rsid w:val="00AC6DE3"/>
    <w:rsid w:val="00AC72B8"/>
    <w:rsid w:val="00AC752F"/>
    <w:rsid w:val="00AC754E"/>
    <w:rsid w:val="00AD00F3"/>
    <w:rsid w:val="00AD0638"/>
    <w:rsid w:val="00AD1B69"/>
    <w:rsid w:val="00AD1B83"/>
    <w:rsid w:val="00AD1BF5"/>
    <w:rsid w:val="00AD20B0"/>
    <w:rsid w:val="00AD22D7"/>
    <w:rsid w:val="00AD23C6"/>
    <w:rsid w:val="00AD2C2A"/>
    <w:rsid w:val="00AD2EBB"/>
    <w:rsid w:val="00AD2F77"/>
    <w:rsid w:val="00AD2FD3"/>
    <w:rsid w:val="00AD3338"/>
    <w:rsid w:val="00AD34B4"/>
    <w:rsid w:val="00AD396F"/>
    <w:rsid w:val="00AD3B36"/>
    <w:rsid w:val="00AD3D82"/>
    <w:rsid w:val="00AD3F1B"/>
    <w:rsid w:val="00AD42B8"/>
    <w:rsid w:val="00AD4415"/>
    <w:rsid w:val="00AD4748"/>
    <w:rsid w:val="00AD4A29"/>
    <w:rsid w:val="00AD51AF"/>
    <w:rsid w:val="00AD5329"/>
    <w:rsid w:val="00AD56E5"/>
    <w:rsid w:val="00AD5786"/>
    <w:rsid w:val="00AD588D"/>
    <w:rsid w:val="00AD5A56"/>
    <w:rsid w:val="00AD5AF2"/>
    <w:rsid w:val="00AD5B06"/>
    <w:rsid w:val="00AD5C98"/>
    <w:rsid w:val="00AD5DCB"/>
    <w:rsid w:val="00AD64C6"/>
    <w:rsid w:val="00AD6918"/>
    <w:rsid w:val="00AD6A02"/>
    <w:rsid w:val="00AD6A5B"/>
    <w:rsid w:val="00AD6BC7"/>
    <w:rsid w:val="00AD6C46"/>
    <w:rsid w:val="00AD6D94"/>
    <w:rsid w:val="00AD740A"/>
    <w:rsid w:val="00AD77ED"/>
    <w:rsid w:val="00AD7A9B"/>
    <w:rsid w:val="00AD7E9E"/>
    <w:rsid w:val="00AE022D"/>
    <w:rsid w:val="00AE0794"/>
    <w:rsid w:val="00AE0975"/>
    <w:rsid w:val="00AE13EB"/>
    <w:rsid w:val="00AE168C"/>
    <w:rsid w:val="00AE16DD"/>
    <w:rsid w:val="00AE172F"/>
    <w:rsid w:val="00AE17FB"/>
    <w:rsid w:val="00AE2188"/>
    <w:rsid w:val="00AE29DD"/>
    <w:rsid w:val="00AE2B4A"/>
    <w:rsid w:val="00AE2C41"/>
    <w:rsid w:val="00AE2F90"/>
    <w:rsid w:val="00AE3B0A"/>
    <w:rsid w:val="00AE3B7F"/>
    <w:rsid w:val="00AE3E7E"/>
    <w:rsid w:val="00AE3F0B"/>
    <w:rsid w:val="00AE41F1"/>
    <w:rsid w:val="00AE4544"/>
    <w:rsid w:val="00AE482A"/>
    <w:rsid w:val="00AE48DA"/>
    <w:rsid w:val="00AE4A0E"/>
    <w:rsid w:val="00AE4AB2"/>
    <w:rsid w:val="00AE4C18"/>
    <w:rsid w:val="00AE526E"/>
    <w:rsid w:val="00AE550E"/>
    <w:rsid w:val="00AE57E8"/>
    <w:rsid w:val="00AE5B5D"/>
    <w:rsid w:val="00AE60C5"/>
    <w:rsid w:val="00AE62B5"/>
    <w:rsid w:val="00AE62B9"/>
    <w:rsid w:val="00AE6527"/>
    <w:rsid w:val="00AE659F"/>
    <w:rsid w:val="00AE699E"/>
    <w:rsid w:val="00AE720B"/>
    <w:rsid w:val="00AE724C"/>
    <w:rsid w:val="00AE7384"/>
    <w:rsid w:val="00AE7539"/>
    <w:rsid w:val="00AE76E5"/>
    <w:rsid w:val="00AE78EE"/>
    <w:rsid w:val="00AE7EFA"/>
    <w:rsid w:val="00AF036C"/>
    <w:rsid w:val="00AF04C1"/>
    <w:rsid w:val="00AF06D5"/>
    <w:rsid w:val="00AF06D9"/>
    <w:rsid w:val="00AF17EE"/>
    <w:rsid w:val="00AF1811"/>
    <w:rsid w:val="00AF1A0A"/>
    <w:rsid w:val="00AF1BA0"/>
    <w:rsid w:val="00AF1C55"/>
    <w:rsid w:val="00AF204F"/>
    <w:rsid w:val="00AF2116"/>
    <w:rsid w:val="00AF22C4"/>
    <w:rsid w:val="00AF281F"/>
    <w:rsid w:val="00AF2853"/>
    <w:rsid w:val="00AF2BC3"/>
    <w:rsid w:val="00AF2D92"/>
    <w:rsid w:val="00AF36A9"/>
    <w:rsid w:val="00AF385F"/>
    <w:rsid w:val="00AF3C99"/>
    <w:rsid w:val="00AF3D00"/>
    <w:rsid w:val="00AF4336"/>
    <w:rsid w:val="00AF448C"/>
    <w:rsid w:val="00AF49CB"/>
    <w:rsid w:val="00AF4D99"/>
    <w:rsid w:val="00AF5072"/>
    <w:rsid w:val="00AF508E"/>
    <w:rsid w:val="00AF5397"/>
    <w:rsid w:val="00AF55A6"/>
    <w:rsid w:val="00AF625F"/>
    <w:rsid w:val="00AF62C0"/>
    <w:rsid w:val="00AF6410"/>
    <w:rsid w:val="00AF650D"/>
    <w:rsid w:val="00AF65B3"/>
    <w:rsid w:val="00AF66CC"/>
    <w:rsid w:val="00AF6AEC"/>
    <w:rsid w:val="00AF6BF6"/>
    <w:rsid w:val="00AF6D2D"/>
    <w:rsid w:val="00AF732C"/>
    <w:rsid w:val="00AF7701"/>
    <w:rsid w:val="00AF7C78"/>
    <w:rsid w:val="00B00583"/>
    <w:rsid w:val="00B00660"/>
    <w:rsid w:val="00B00BE2"/>
    <w:rsid w:val="00B00F09"/>
    <w:rsid w:val="00B0110E"/>
    <w:rsid w:val="00B0166E"/>
    <w:rsid w:val="00B01CF5"/>
    <w:rsid w:val="00B02039"/>
    <w:rsid w:val="00B022B0"/>
    <w:rsid w:val="00B022ED"/>
    <w:rsid w:val="00B02467"/>
    <w:rsid w:val="00B033A8"/>
    <w:rsid w:val="00B035B6"/>
    <w:rsid w:val="00B03863"/>
    <w:rsid w:val="00B0388C"/>
    <w:rsid w:val="00B0391A"/>
    <w:rsid w:val="00B03C04"/>
    <w:rsid w:val="00B03C14"/>
    <w:rsid w:val="00B03DD6"/>
    <w:rsid w:val="00B04125"/>
    <w:rsid w:val="00B042AD"/>
    <w:rsid w:val="00B044E8"/>
    <w:rsid w:val="00B049F6"/>
    <w:rsid w:val="00B04C30"/>
    <w:rsid w:val="00B04ECC"/>
    <w:rsid w:val="00B0545D"/>
    <w:rsid w:val="00B0573E"/>
    <w:rsid w:val="00B057AD"/>
    <w:rsid w:val="00B062CD"/>
    <w:rsid w:val="00B073A6"/>
    <w:rsid w:val="00B073D3"/>
    <w:rsid w:val="00B07530"/>
    <w:rsid w:val="00B07593"/>
    <w:rsid w:val="00B07764"/>
    <w:rsid w:val="00B0777B"/>
    <w:rsid w:val="00B07934"/>
    <w:rsid w:val="00B07B4E"/>
    <w:rsid w:val="00B07F11"/>
    <w:rsid w:val="00B101E2"/>
    <w:rsid w:val="00B10452"/>
    <w:rsid w:val="00B106AB"/>
    <w:rsid w:val="00B10783"/>
    <w:rsid w:val="00B10AB9"/>
    <w:rsid w:val="00B10B91"/>
    <w:rsid w:val="00B10F4B"/>
    <w:rsid w:val="00B1117E"/>
    <w:rsid w:val="00B1192D"/>
    <w:rsid w:val="00B1207E"/>
    <w:rsid w:val="00B1217A"/>
    <w:rsid w:val="00B12893"/>
    <w:rsid w:val="00B12CA9"/>
    <w:rsid w:val="00B12EA7"/>
    <w:rsid w:val="00B12EB9"/>
    <w:rsid w:val="00B1338D"/>
    <w:rsid w:val="00B13740"/>
    <w:rsid w:val="00B13F74"/>
    <w:rsid w:val="00B13FB0"/>
    <w:rsid w:val="00B13FB5"/>
    <w:rsid w:val="00B1422B"/>
    <w:rsid w:val="00B1476E"/>
    <w:rsid w:val="00B153EC"/>
    <w:rsid w:val="00B158EE"/>
    <w:rsid w:val="00B15B85"/>
    <w:rsid w:val="00B15BAD"/>
    <w:rsid w:val="00B15FF6"/>
    <w:rsid w:val="00B160F0"/>
    <w:rsid w:val="00B16418"/>
    <w:rsid w:val="00B164CC"/>
    <w:rsid w:val="00B164E5"/>
    <w:rsid w:val="00B1676D"/>
    <w:rsid w:val="00B16D65"/>
    <w:rsid w:val="00B16E66"/>
    <w:rsid w:val="00B17788"/>
    <w:rsid w:val="00B17C98"/>
    <w:rsid w:val="00B20274"/>
    <w:rsid w:val="00B20564"/>
    <w:rsid w:val="00B205E1"/>
    <w:rsid w:val="00B20783"/>
    <w:rsid w:val="00B207D4"/>
    <w:rsid w:val="00B20A63"/>
    <w:rsid w:val="00B20B1B"/>
    <w:rsid w:val="00B20F4D"/>
    <w:rsid w:val="00B21070"/>
    <w:rsid w:val="00B210C0"/>
    <w:rsid w:val="00B21323"/>
    <w:rsid w:val="00B21456"/>
    <w:rsid w:val="00B215B5"/>
    <w:rsid w:val="00B216FC"/>
    <w:rsid w:val="00B218D1"/>
    <w:rsid w:val="00B21FB9"/>
    <w:rsid w:val="00B22051"/>
    <w:rsid w:val="00B222FF"/>
    <w:rsid w:val="00B2239B"/>
    <w:rsid w:val="00B223C8"/>
    <w:rsid w:val="00B2294B"/>
    <w:rsid w:val="00B22B84"/>
    <w:rsid w:val="00B22C96"/>
    <w:rsid w:val="00B22EDA"/>
    <w:rsid w:val="00B22F2A"/>
    <w:rsid w:val="00B22F72"/>
    <w:rsid w:val="00B2309D"/>
    <w:rsid w:val="00B2336D"/>
    <w:rsid w:val="00B23BBB"/>
    <w:rsid w:val="00B24D1A"/>
    <w:rsid w:val="00B24D9A"/>
    <w:rsid w:val="00B24F4C"/>
    <w:rsid w:val="00B24F86"/>
    <w:rsid w:val="00B250B2"/>
    <w:rsid w:val="00B25184"/>
    <w:rsid w:val="00B251A8"/>
    <w:rsid w:val="00B251E3"/>
    <w:rsid w:val="00B25422"/>
    <w:rsid w:val="00B25595"/>
    <w:rsid w:val="00B25731"/>
    <w:rsid w:val="00B257A9"/>
    <w:rsid w:val="00B25919"/>
    <w:rsid w:val="00B25ED9"/>
    <w:rsid w:val="00B26265"/>
    <w:rsid w:val="00B2658A"/>
    <w:rsid w:val="00B26812"/>
    <w:rsid w:val="00B26825"/>
    <w:rsid w:val="00B26890"/>
    <w:rsid w:val="00B26D8F"/>
    <w:rsid w:val="00B306CF"/>
    <w:rsid w:val="00B3072C"/>
    <w:rsid w:val="00B30A2E"/>
    <w:rsid w:val="00B30A43"/>
    <w:rsid w:val="00B30BF3"/>
    <w:rsid w:val="00B3129E"/>
    <w:rsid w:val="00B315D5"/>
    <w:rsid w:val="00B318A2"/>
    <w:rsid w:val="00B31AB9"/>
    <w:rsid w:val="00B32487"/>
    <w:rsid w:val="00B325D7"/>
    <w:rsid w:val="00B32A02"/>
    <w:rsid w:val="00B32BA0"/>
    <w:rsid w:val="00B32D24"/>
    <w:rsid w:val="00B32DD1"/>
    <w:rsid w:val="00B33D4A"/>
    <w:rsid w:val="00B34275"/>
    <w:rsid w:val="00B34485"/>
    <w:rsid w:val="00B34AFA"/>
    <w:rsid w:val="00B34D47"/>
    <w:rsid w:val="00B34ED5"/>
    <w:rsid w:val="00B357A4"/>
    <w:rsid w:val="00B3583B"/>
    <w:rsid w:val="00B35BD2"/>
    <w:rsid w:val="00B35D5D"/>
    <w:rsid w:val="00B35FA4"/>
    <w:rsid w:val="00B36132"/>
    <w:rsid w:val="00B36177"/>
    <w:rsid w:val="00B3672D"/>
    <w:rsid w:val="00B36BFF"/>
    <w:rsid w:val="00B36D2C"/>
    <w:rsid w:val="00B36EDB"/>
    <w:rsid w:val="00B36F31"/>
    <w:rsid w:val="00B36F6C"/>
    <w:rsid w:val="00B3748D"/>
    <w:rsid w:val="00B377B8"/>
    <w:rsid w:val="00B37A8F"/>
    <w:rsid w:val="00B37BA0"/>
    <w:rsid w:val="00B37CB8"/>
    <w:rsid w:val="00B37EC0"/>
    <w:rsid w:val="00B40079"/>
    <w:rsid w:val="00B40145"/>
    <w:rsid w:val="00B40392"/>
    <w:rsid w:val="00B40B37"/>
    <w:rsid w:val="00B40E7B"/>
    <w:rsid w:val="00B41219"/>
    <w:rsid w:val="00B41312"/>
    <w:rsid w:val="00B41475"/>
    <w:rsid w:val="00B417B2"/>
    <w:rsid w:val="00B41A95"/>
    <w:rsid w:val="00B41D73"/>
    <w:rsid w:val="00B41F43"/>
    <w:rsid w:val="00B42CB0"/>
    <w:rsid w:val="00B43A39"/>
    <w:rsid w:val="00B43AE9"/>
    <w:rsid w:val="00B44037"/>
    <w:rsid w:val="00B446EF"/>
    <w:rsid w:val="00B44958"/>
    <w:rsid w:val="00B45F73"/>
    <w:rsid w:val="00B45FA9"/>
    <w:rsid w:val="00B46577"/>
    <w:rsid w:val="00B4664C"/>
    <w:rsid w:val="00B46971"/>
    <w:rsid w:val="00B469A0"/>
    <w:rsid w:val="00B47660"/>
    <w:rsid w:val="00B47816"/>
    <w:rsid w:val="00B47839"/>
    <w:rsid w:val="00B47929"/>
    <w:rsid w:val="00B47D72"/>
    <w:rsid w:val="00B47ED4"/>
    <w:rsid w:val="00B5005F"/>
    <w:rsid w:val="00B50131"/>
    <w:rsid w:val="00B50446"/>
    <w:rsid w:val="00B50C7E"/>
    <w:rsid w:val="00B50E51"/>
    <w:rsid w:val="00B51389"/>
    <w:rsid w:val="00B51C99"/>
    <w:rsid w:val="00B52055"/>
    <w:rsid w:val="00B5269D"/>
    <w:rsid w:val="00B526AD"/>
    <w:rsid w:val="00B53438"/>
    <w:rsid w:val="00B535F4"/>
    <w:rsid w:val="00B53E09"/>
    <w:rsid w:val="00B54A5D"/>
    <w:rsid w:val="00B54DE4"/>
    <w:rsid w:val="00B55411"/>
    <w:rsid w:val="00B55B4A"/>
    <w:rsid w:val="00B5609B"/>
    <w:rsid w:val="00B56343"/>
    <w:rsid w:val="00B5650B"/>
    <w:rsid w:val="00B56CA4"/>
    <w:rsid w:val="00B56E2C"/>
    <w:rsid w:val="00B56F04"/>
    <w:rsid w:val="00B5787A"/>
    <w:rsid w:val="00B57C8F"/>
    <w:rsid w:val="00B60321"/>
    <w:rsid w:val="00B60D9D"/>
    <w:rsid w:val="00B61142"/>
    <w:rsid w:val="00B61228"/>
    <w:rsid w:val="00B6125F"/>
    <w:rsid w:val="00B61A26"/>
    <w:rsid w:val="00B6203B"/>
    <w:rsid w:val="00B6239E"/>
    <w:rsid w:val="00B623A0"/>
    <w:rsid w:val="00B6249B"/>
    <w:rsid w:val="00B62555"/>
    <w:rsid w:val="00B627C7"/>
    <w:rsid w:val="00B62A41"/>
    <w:rsid w:val="00B62C9B"/>
    <w:rsid w:val="00B630CF"/>
    <w:rsid w:val="00B63432"/>
    <w:rsid w:val="00B638A7"/>
    <w:rsid w:val="00B639DB"/>
    <w:rsid w:val="00B63D38"/>
    <w:rsid w:val="00B63FF9"/>
    <w:rsid w:val="00B641CD"/>
    <w:rsid w:val="00B6439B"/>
    <w:rsid w:val="00B64D7D"/>
    <w:rsid w:val="00B652D0"/>
    <w:rsid w:val="00B65347"/>
    <w:rsid w:val="00B65BE1"/>
    <w:rsid w:val="00B65DE1"/>
    <w:rsid w:val="00B66A67"/>
    <w:rsid w:val="00B66D75"/>
    <w:rsid w:val="00B66EC1"/>
    <w:rsid w:val="00B66EDC"/>
    <w:rsid w:val="00B67264"/>
    <w:rsid w:val="00B67379"/>
    <w:rsid w:val="00B674CF"/>
    <w:rsid w:val="00B6777A"/>
    <w:rsid w:val="00B678AB"/>
    <w:rsid w:val="00B701AE"/>
    <w:rsid w:val="00B70258"/>
    <w:rsid w:val="00B70977"/>
    <w:rsid w:val="00B70ADE"/>
    <w:rsid w:val="00B70B4F"/>
    <w:rsid w:val="00B70CB5"/>
    <w:rsid w:val="00B70EC8"/>
    <w:rsid w:val="00B70F14"/>
    <w:rsid w:val="00B71035"/>
    <w:rsid w:val="00B714A2"/>
    <w:rsid w:val="00B71B95"/>
    <w:rsid w:val="00B71E30"/>
    <w:rsid w:val="00B7204C"/>
    <w:rsid w:val="00B72250"/>
    <w:rsid w:val="00B724E9"/>
    <w:rsid w:val="00B725FF"/>
    <w:rsid w:val="00B7272D"/>
    <w:rsid w:val="00B728CB"/>
    <w:rsid w:val="00B72F6A"/>
    <w:rsid w:val="00B73069"/>
    <w:rsid w:val="00B733D6"/>
    <w:rsid w:val="00B73563"/>
    <w:rsid w:val="00B735D2"/>
    <w:rsid w:val="00B73A81"/>
    <w:rsid w:val="00B73A98"/>
    <w:rsid w:val="00B73F51"/>
    <w:rsid w:val="00B748A1"/>
    <w:rsid w:val="00B74C90"/>
    <w:rsid w:val="00B74EBE"/>
    <w:rsid w:val="00B75027"/>
    <w:rsid w:val="00B76101"/>
    <w:rsid w:val="00B76460"/>
    <w:rsid w:val="00B764B2"/>
    <w:rsid w:val="00B76585"/>
    <w:rsid w:val="00B7682F"/>
    <w:rsid w:val="00B76A09"/>
    <w:rsid w:val="00B76C75"/>
    <w:rsid w:val="00B7767D"/>
    <w:rsid w:val="00B777CD"/>
    <w:rsid w:val="00B77817"/>
    <w:rsid w:val="00B80245"/>
    <w:rsid w:val="00B80285"/>
    <w:rsid w:val="00B80372"/>
    <w:rsid w:val="00B803EA"/>
    <w:rsid w:val="00B80909"/>
    <w:rsid w:val="00B80A84"/>
    <w:rsid w:val="00B80BE0"/>
    <w:rsid w:val="00B81051"/>
    <w:rsid w:val="00B811B3"/>
    <w:rsid w:val="00B81298"/>
    <w:rsid w:val="00B81325"/>
    <w:rsid w:val="00B81C04"/>
    <w:rsid w:val="00B81EFD"/>
    <w:rsid w:val="00B820B3"/>
    <w:rsid w:val="00B820F6"/>
    <w:rsid w:val="00B82161"/>
    <w:rsid w:val="00B8228D"/>
    <w:rsid w:val="00B825E7"/>
    <w:rsid w:val="00B82648"/>
    <w:rsid w:val="00B826E7"/>
    <w:rsid w:val="00B828AD"/>
    <w:rsid w:val="00B82E99"/>
    <w:rsid w:val="00B83100"/>
    <w:rsid w:val="00B83276"/>
    <w:rsid w:val="00B835A2"/>
    <w:rsid w:val="00B838ED"/>
    <w:rsid w:val="00B83B46"/>
    <w:rsid w:val="00B83FDD"/>
    <w:rsid w:val="00B84707"/>
    <w:rsid w:val="00B848F0"/>
    <w:rsid w:val="00B84A6D"/>
    <w:rsid w:val="00B84B96"/>
    <w:rsid w:val="00B84F41"/>
    <w:rsid w:val="00B8518C"/>
    <w:rsid w:val="00B8566F"/>
    <w:rsid w:val="00B8570B"/>
    <w:rsid w:val="00B859D1"/>
    <w:rsid w:val="00B86086"/>
    <w:rsid w:val="00B864DD"/>
    <w:rsid w:val="00B86E9B"/>
    <w:rsid w:val="00B87135"/>
    <w:rsid w:val="00B872B5"/>
    <w:rsid w:val="00B87736"/>
    <w:rsid w:val="00B878AA"/>
    <w:rsid w:val="00B87927"/>
    <w:rsid w:val="00B87D85"/>
    <w:rsid w:val="00B87EC5"/>
    <w:rsid w:val="00B9037D"/>
    <w:rsid w:val="00B90ADE"/>
    <w:rsid w:val="00B90FFD"/>
    <w:rsid w:val="00B910E2"/>
    <w:rsid w:val="00B91122"/>
    <w:rsid w:val="00B91125"/>
    <w:rsid w:val="00B9122D"/>
    <w:rsid w:val="00B913D7"/>
    <w:rsid w:val="00B9180C"/>
    <w:rsid w:val="00B91CAB"/>
    <w:rsid w:val="00B91E20"/>
    <w:rsid w:val="00B9202E"/>
    <w:rsid w:val="00B92647"/>
    <w:rsid w:val="00B92AF9"/>
    <w:rsid w:val="00B9338F"/>
    <w:rsid w:val="00B93410"/>
    <w:rsid w:val="00B9356C"/>
    <w:rsid w:val="00B93C11"/>
    <w:rsid w:val="00B93D6F"/>
    <w:rsid w:val="00B93DD3"/>
    <w:rsid w:val="00B93FC6"/>
    <w:rsid w:val="00B944C7"/>
    <w:rsid w:val="00B94745"/>
    <w:rsid w:val="00B94846"/>
    <w:rsid w:val="00B94932"/>
    <w:rsid w:val="00B949B0"/>
    <w:rsid w:val="00B950EA"/>
    <w:rsid w:val="00B95668"/>
    <w:rsid w:val="00B95A18"/>
    <w:rsid w:val="00B96190"/>
    <w:rsid w:val="00B96298"/>
    <w:rsid w:val="00B9657B"/>
    <w:rsid w:val="00B965E6"/>
    <w:rsid w:val="00B96C9C"/>
    <w:rsid w:val="00B96DDF"/>
    <w:rsid w:val="00B96E76"/>
    <w:rsid w:val="00B97054"/>
    <w:rsid w:val="00B972B7"/>
    <w:rsid w:val="00B976C4"/>
    <w:rsid w:val="00B976C6"/>
    <w:rsid w:val="00B979C0"/>
    <w:rsid w:val="00B97B78"/>
    <w:rsid w:val="00B97FCD"/>
    <w:rsid w:val="00BA01AC"/>
    <w:rsid w:val="00BA0219"/>
    <w:rsid w:val="00BA041F"/>
    <w:rsid w:val="00BA05CC"/>
    <w:rsid w:val="00BA077A"/>
    <w:rsid w:val="00BA0AE4"/>
    <w:rsid w:val="00BA0E2F"/>
    <w:rsid w:val="00BA1076"/>
    <w:rsid w:val="00BA10DB"/>
    <w:rsid w:val="00BA12CC"/>
    <w:rsid w:val="00BA13C7"/>
    <w:rsid w:val="00BA1488"/>
    <w:rsid w:val="00BA164D"/>
    <w:rsid w:val="00BA169A"/>
    <w:rsid w:val="00BA19B9"/>
    <w:rsid w:val="00BA1ABA"/>
    <w:rsid w:val="00BA1D54"/>
    <w:rsid w:val="00BA1F08"/>
    <w:rsid w:val="00BA1FFF"/>
    <w:rsid w:val="00BA2131"/>
    <w:rsid w:val="00BA2983"/>
    <w:rsid w:val="00BA2EF6"/>
    <w:rsid w:val="00BA315A"/>
    <w:rsid w:val="00BA327B"/>
    <w:rsid w:val="00BA3834"/>
    <w:rsid w:val="00BA3926"/>
    <w:rsid w:val="00BA42C5"/>
    <w:rsid w:val="00BA48E8"/>
    <w:rsid w:val="00BA53F3"/>
    <w:rsid w:val="00BA56E1"/>
    <w:rsid w:val="00BA5AF4"/>
    <w:rsid w:val="00BA5C95"/>
    <w:rsid w:val="00BA6319"/>
    <w:rsid w:val="00BA632D"/>
    <w:rsid w:val="00BA650C"/>
    <w:rsid w:val="00BA66AB"/>
    <w:rsid w:val="00BA6954"/>
    <w:rsid w:val="00BA69E2"/>
    <w:rsid w:val="00BA6B38"/>
    <w:rsid w:val="00BA770D"/>
    <w:rsid w:val="00BA7766"/>
    <w:rsid w:val="00BA799B"/>
    <w:rsid w:val="00BB00CF"/>
    <w:rsid w:val="00BB0492"/>
    <w:rsid w:val="00BB1068"/>
    <w:rsid w:val="00BB14CC"/>
    <w:rsid w:val="00BB1525"/>
    <w:rsid w:val="00BB1682"/>
    <w:rsid w:val="00BB17F1"/>
    <w:rsid w:val="00BB188D"/>
    <w:rsid w:val="00BB1F85"/>
    <w:rsid w:val="00BB2364"/>
    <w:rsid w:val="00BB24D9"/>
    <w:rsid w:val="00BB2A88"/>
    <w:rsid w:val="00BB34EB"/>
    <w:rsid w:val="00BB383B"/>
    <w:rsid w:val="00BB3ADE"/>
    <w:rsid w:val="00BB3B6A"/>
    <w:rsid w:val="00BB3C33"/>
    <w:rsid w:val="00BB417F"/>
    <w:rsid w:val="00BB423B"/>
    <w:rsid w:val="00BB4351"/>
    <w:rsid w:val="00BB46CD"/>
    <w:rsid w:val="00BB46D5"/>
    <w:rsid w:val="00BB4B94"/>
    <w:rsid w:val="00BB4BBA"/>
    <w:rsid w:val="00BB4DCF"/>
    <w:rsid w:val="00BB5151"/>
    <w:rsid w:val="00BB54B9"/>
    <w:rsid w:val="00BB5DE0"/>
    <w:rsid w:val="00BB5EE9"/>
    <w:rsid w:val="00BB65BC"/>
    <w:rsid w:val="00BB66EC"/>
    <w:rsid w:val="00BB6988"/>
    <w:rsid w:val="00BB7655"/>
    <w:rsid w:val="00BB76FB"/>
    <w:rsid w:val="00BB7808"/>
    <w:rsid w:val="00BB796D"/>
    <w:rsid w:val="00BB7FA4"/>
    <w:rsid w:val="00BC00AF"/>
    <w:rsid w:val="00BC00E0"/>
    <w:rsid w:val="00BC0617"/>
    <w:rsid w:val="00BC10E7"/>
    <w:rsid w:val="00BC183D"/>
    <w:rsid w:val="00BC1841"/>
    <w:rsid w:val="00BC1969"/>
    <w:rsid w:val="00BC1CCB"/>
    <w:rsid w:val="00BC20DB"/>
    <w:rsid w:val="00BC23E4"/>
    <w:rsid w:val="00BC2483"/>
    <w:rsid w:val="00BC251E"/>
    <w:rsid w:val="00BC287A"/>
    <w:rsid w:val="00BC2983"/>
    <w:rsid w:val="00BC2AFD"/>
    <w:rsid w:val="00BC2BE2"/>
    <w:rsid w:val="00BC30BD"/>
    <w:rsid w:val="00BC318D"/>
    <w:rsid w:val="00BC3202"/>
    <w:rsid w:val="00BC357C"/>
    <w:rsid w:val="00BC38C6"/>
    <w:rsid w:val="00BC4086"/>
    <w:rsid w:val="00BC40A7"/>
    <w:rsid w:val="00BC4438"/>
    <w:rsid w:val="00BC498E"/>
    <w:rsid w:val="00BC4AC3"/>
    <w:rsid w:val="00BC524C"/>
    <w:rsid w:val="00BC5340"/>
    <w:rsid w:val="00BC5479"/>
    <w:rsid w:val="00BC5513"/>
    <w:rsid w:val="00BC569E"/>
    <w:rsid w:val="00BC5A6E"/>
    <w:rsid w:val="00BC5BF8"/>
    <w:rsid w:val="00BC60FB"/>
    <w:rsid w:val="00BC6432"/>
    <w:rsid w:val="00BC66F9"/>
    <w:rsid w:val="00BC6BBC"/>
    <w:rsid w:val="00BC7197"/>
    <w:rsid w:val="00BC7380"/>
    <w:rsid w:val="00BC7922"/>
    <w:rsid w:val="00BC7936"/>
    <w:rsid w:val="00BC7DD9"/>
    <w:rsid w:val="00BD0085"/>
    <w:rsid w:val="00BD020C"/>
    <w:rsid w:val="00BD033A"/>
    <w:rsid w:val="00BD098E"/>
    <w:rsid w:val="00BD0D21"/>
    <w:rsid w:val="00BD10DD"/>
    <w:rsid w:val="00BD140D"/>
    <w:rsid w:val="00BD14DF"/>
    <w:rsid w:val="00BD1A40"/>
    <w:rsid w:val="00BD1F9B"/>
    <w:rsid w:val="00BD20BD"/>
    <w:rsid w:val="00BD2659"/>
    <w:rsid w:val="00BD26AA"/>
    <w:rsid w:val="00BD26B0"/>
    <w:rsid w:val="00BD276A"/>
    <w:rsid w:val="00BD2AEC"/>
    <w:rsid w:val="00BD2E65"/>
    <w:rsid w:val="00BD305A"/>
    <w:rsid w:val="00BD307E"/>
    <w:rsid w:val="00BD3442"/>
    <w:rsid w:val="00BD3618"/>
    <w:rsid w:val="00BD3663"/>
    <w:rsid w:val="00BD3872"/>
    <w:rsid w:val="00BD403D"/>
    <w:rsid w:val="00BD454F"/>
    <w:rsid w:val="00BD460C"/>
    <w:rsid w:val="00BD4774"/>
    <w:rsid w:val="00BD4AAC"/>
    <w:rsid w:val="00BD4F90"/>
    <w:rsid w:val="00BD505E"/>
    <w:rsid w:val="00BD50DE"/>
    <w:rsid w:val="00BD5592"/>
    <w:rsid w:val="00BD572A"/>
    <w:rsid w:val="00BD57AE"/>
    <w:rsid w:val="00BD585B"/>
    <w:rsid w:val="00BD62BF"/>
    <w:rsid w:val="00BD633B"/>
    <w:rsid w:val="00BD65FB"/>
    <w:rsid w:val="00BD6735"/>
    <w:rsid w:val="00BD753F"/>
    <w:rsid w:val="00BD78BF"/>
    <w:rsid w:val="00BD7D2F"/>
    <w:rsid w:val="00BE017E"/>
    <w:rsid w:val="00BE030C"/>
    <w:rsid w:val="00BE0695"/>
    <w:rsid w:val="00BE0C0D"/>
    <w:rsid w:val="00BE1087"/>
    <w:rsid w:val="00BE145E"/>
    <w:rsid w:val="00BE1636"/>
    <w:rsid w:val="00BE1E87"/>
    <w:rsid w:val="00BE22D3"/>
    <w:rsid w:val="00BE2739"/>
    <w:rsid w:val="00BE2772"/>
    <w:rsid w:val="00BE27DA"/>
    <w:rsid w:val="00BE2AD5"/>
    <w:rsid w:val="00BE2ED5"/>
    <w:rsid w:val="00BE30FC"/>
    <w:rsid w:val="00BE31E4"/>
    <w:rsid w:val="00BE3287"/>
    <w:rsid w:val="00BE3447"/>
    <w:rsid w:val="00BE36D2"/>
    <w:rsid w:val="00BE3783"/>
    <w:rsid w:val="00BE3A5F"/>
    <w:rsid w:val="00BE3E30"/>
    <w:rsid w:val="00BE4645"/>
    <w:rsid w:val="00BE4AF1"/>
    <w:rsid w:val="00BE4F45"/>
    <w:rsid w:val="00BE511F"/>
    <w:rsid w:val="00BE53D1"/>
    <w:rsid w:val="00BE5C71"/>
    <w:rsid w:val="00BE5D5F"/>
    <w:rsid w:val="00BE5EF7"/>
    <w:rsid w:val="00BE604C"/>
    <w:rsid w:val="00BE6DFE"/>
    <w:rsid w:val="00BE7052"/>
    <w:rsid w:val="00BE70B1"/>
    <w:rsid w:val="00BE742E"/>
    <w:rsid w:val="00BE7D18"/>
    <w:rsid w:val="00BF0291"/>
    <w:rsid w:val="00BF0A34"/>
    <w:rsid w:val="00BF1212"/>
    <w:rsid w:val="00BF1357"/>
    <w:rsid w:val="00BF1600"/>
    <w:rsid w:val="00BF1E18"/>
    <w:rsid w:val="00BF1ED4"/>
    <w:rsid w:val="00BF23AD"/>
    <w:rsid w:val="00BF2884"/>
    <w:rsid w:val="00BF2A06"/>
    <w:rsid w:val="00BF2A34"/>
    <w:rsid w:val="00BF2A8C"/>
    <w:rsid w:val="00BF2B65"/>
    <w:rsid w:val="00BF3012"/>
    <w:rsid w:val="00BF3193"/>
    <w:rsid w:val="00BF35DF"/>
    <w:rsid w:val="00BF38B8"/>
    <w:rsid w:val="00BF39F9"/>
    <w:rsid w:val="00BF3F5F"/>
    <w:rsid w:val="00BF3FDE"/>
    <w:rsid w:val="00BF4295"/>
    <w:rsid w:val="00BF4424"/>
    <w:rsid w:val="00BF4534"/>
    <w:rsid w:val="00BF4546"/>
    <w:rsid w:val="00BF464E"/>
    <w:rsid w:val="00BF4CCE"/>
    <w:rsid w:val="00BF4F54"/>
    <w:rsid w:val="00BF546C"/>
    <w:rsid w:val="00BF59CE"/>
    <w:rsid w:val="00BF5A01"/>
    <w:rsid w:val="00BF628F"/>
    <w:rsid w:val="00BF6550"/>
    <w:rsid w:val="00BF66EF"/>
    <w:rsid w:val="00BF681E"/>
    <w:rsid w:val="00BF6AA4"/>
    <w:rsid w:val="00BF6FDE"/>
    <w:rsid w:val="00BF7113"/>
    <w:rsid w:val="00BF7199"/>
    <w:rsid w:val="00BF7510"/>
    <w:rsid w:val="00BF79DB"/>
    <w:rsid w:val="00BF7A0B"/>
    <w:rsid w:val="00BF7E70"/>
    <w:rsid w:val="00C001B3"/>
    <w:rsid w:val="00C007BB"/>
    <w:rsid w:val="00C007BD"/>
    <w:rsid w:val="00C00D16"/>
    <w:rsid w:val="00C00F1A"/>
    <w:rsid w:val="00C00F29"/>
    <w:rsid w:val="00C01546"/>
    <w:rsid w:val="00C01636"/>
    <w:rsid w:val="00C01C1B"/>
    <w:rsid w:val="00C01DCC"/>
    <w:rsid w:val="00C02156"/>
    <w:rsid w:val="00C02391"/>
    <w:rsid w:val="00C02A69"/>
    <w:rsid w:val="00C02E13"/>
    <w:rsid w:val="00C02EF9"/>
    <w:rsid w:val="00C02F92"/>
    <w:rsid w:val="00C03956"/>
    <w:rsid w:val="00C03F55"/>
    <w:rsid w:val="00C04374"/>
    <w:rsid w:val="00C0438B"/>
    <w:rsid w:val="00C04521"/>
    <w:rsid w:val="00C048C1"/>
    <w:rsid w:val="00C04E1F"/>
    <w:rsid w:val="00C0503E"/>
    <w:rsid w:val="00C052B9"/>
    <w:rsid w:val="00C05357"/>
    <w:rsid w:val="00C05A6E"/>
    <w:rsid w:val="00C0623A"/>
    <w:rsid w:val="00C06439"/>
    <w:rsid w:val="00C066D9"/>
    <w:rsid w:val="00C06798"/>
    <w:rsid w:val="00C069D2"/>
    <w:rsid w:val="00C0753E"/>
    <w:rsid w:val="00C076A2"/>
    <w:rsid w:val="00C077B6"/>
    <w:rsid w:val="00C100A3"/>
    <w:rsid w:val="00C106D6"/>
    <w:rsid w:val="00C107DA"/>
    <w:rsid w:val="00C108B5"/>
    <w:rsid w:val="00C10C17"/>
    <w:rsid w:val="00C10E2A"/>
    <w:rsid w:val="00C11188"/>
    <w:rsid w:val="00C118AE"/>
    <w:rsid w:val="00C11DC7"/>
    <w:rsid w:val="00C12320"/>
    <w:rsid w:val="00C127B0"/>
    <w:rsid w:val="00C130DD"/>
    <w:rsid w:val="00C13379"/>
    <w:rsid w:val="00C13777"/>
    <w:rsid w:val="00C13A59"/>
    <w:rsid w:val="00C13ACA"/>
    <w:rsid w:val="00C13CB8"/>
    <w:rsid w:val="00C141FF"/>
    <w:rsid w:val="00C14247"/>
    <w:rsid w:val="00C14927"/>
    <w:rsid w:val="00C14A69"/>
    <w:rsid w:val="00C156F7"/>
    <w:rsid w:val="00C15901"/>
    <w:rsid w:val="00C15DCA"/>
    <w:rsid w:val="00C15E0C"/>
    <w:rsid w:val="00C161A8"/>
    <w:rsid w:val="00C161C1"/>
    <w:rsid w:val="00C16249"/>
    <w:rsid w:val="00C164F9"/>
    <w:rsid w:val="00C1674A"/>
    <w:rsid w:val="00C16824"/>
    <w:rsid w:val="00C17004"/>
    <w:rsid w:val="00C1729F"/>
    <w:rsid w:val="00C172B4"/>
    <w:rsid w:val="00C17715"/>
    <w:rsid w:val="00C20083"/>
    <w:rsid w:val="00C202B3"/>
    <w:rsid w:val="00C20C52"/>
    <w:rsid w:val="00C20ED1"/>
    <w:rsid w:val="00C21008"/>
    <w:rsid w:val="00C216D1"/>
    <w:rsid w:val="00C2197E"/>
    <w:rsid w:val="00C2199A"/>
    <w:rsid w:val="00C21C0E"/>
    <w:rsid w:val="00C21E84"/>
    <w:rsid w:val="00C21EE0"/>
    <w:rsid w:val="00C21EE6"/>
    <w:rsid w:val="00C2200E"/>
    <w:rsid w:val="00C22387"/>
    <w:rsid w:val="00C22467"/>
    <w:rsid w:val="00C224AF"/>
    <w:rsid w:val="00C2278E"/>
    <w:rsid w:val="00C22864"/>
    <w:rsid w:val="00C228D8"/>
    <w:rsid w:val="00C22A8F"/>
    <w:rsid w:val="00C22F28"/>
    <w:rsid w:val="00C2323E"/>
    <w:rsid w:val="00C234F9"/>
    <w:rsid w:val="00C23510"/>
    <w:rsid w:val="00C23585"/>
    <w:rsid w:val="00C23CB3"/>
    <w:rsid w:val="00C23E5E"/>
    <w:rsid w:val="00C24113"/>
    <w:rsid w:val="00C243CA"/>
    <w:rsid w:val="00C24403"/>
    <w:rsid w:val="00C245CA"/>
    <w:rsid w:val="00C2466E"/>
    <w:rsid w:val="00C249DF"/>
    <w:rsid w:val="00C24BA0"/>
    <w:rsid w:val="00C24C58"/>
    <w:rsid w:val="00C24F49"/>
    <w:rsid w:val="00C2559D"/>
    <w:rsid w:val="00C257F6"/>
    <w:rsid w:val="00C25B51"/>
    <w:rsid w:val="00C25BF2"/>
    <w:rsid w:val="00C25D6B"/>
    <w:rsid w:val="00C25E77"/>
    <w:rsid w:val="00C2697D"/>
    <w:rsid w:val="00C26A24"/>
    <w:rsid w:val="00C26F0E"/>
    <w:rsid w:val="00C2706F"/>
    <w:rsid w:val="00C270AC"/>
    <w:rsid w:val="00C27362"/>
    <w:rsid w:val="00C276EC"/>
    <w:rsid w:val="00C2782B"/>
    <w:rsid w:val="00C27C87"/>
    <w:rsid w:val="00C27C89"/>
    <w:rsid w:val="00C3003E"/>
    <w:rsid w:val="00C30297"/>
    <w:rsid w:val="00C30741"/>
    <w:rsid w:val="00C30757"/>
    <w:rsid w:val="00C30CCF"/>
    <w:rsid w:val="00C31149"/>
    <w:rsid w:val="00C31941"/>
    <w:rsid w:val="00C31998"/>
    <w:rsid w:val="00C32074"/>
    <w:rsid w:val="00C321D7"/>
    <w:rsid w:val="00C3266E"/>
    <w:rsid w:val="00C3294C"/>
    <w:rsid w:val="00C32A98"/>
    <w:rsid w:val="00C33130"/>
    <w:rsid w:val="00C33BCF"/>
    <w:rsid w:val="00C34165"/>
    <w:rsid w:val="00C346A7"/>
    <w:rsid w:val="00C347EE"/>
    <w:rsid w:val="00C34C08"/>
    <w:rsid w:val="00C34D10"/>
    <w:rsid w:val="00C34FCE"/>
    <w:rsid w:val="00C35003"/>
    <w:rsid w:val="00C35315"/>
    <w:rsid w:val="00C35386"/>
    <w:rsid w:val="00C35880"/>
    <w:rsid w:val="00C3668B"/>
    <w:rsid w:val="00C36A0F"/>
    <w:rsid w:val="00C36AFE"/>
    <w:rsid w:val="00C36F97"/>
    <w:rsid w:val="00C3709F"/>
    <w:rsid w:val="00C375D0"/>
    <w:rsid w:val="00C37786"/>
    <w:rsid w:val="00C3787C"/>
    <w:rsid w:val="00C40554"/>
    <w:rsid w:val="00C40845"/>
    <w:rsid w:val="00C409D7"/>
    <w:rsid w:val="00C40ABA"/>
    <w:rsid w:val="00C412BA"/>
    <w:rsid w:val="00C412BE"/>
    <w:rsid w:val="00C41415"/>
    <w:rsid w:val="00C416E6"/>
    <w:rsid w:val="00C4178F"/>
    <w:rsid w:val="00C41A50"/>
    <w:rsid w:val="00C41ECF"/>
    <w:rsid w:val="00C42321"/>
    <w:rsid w:val="00C4234A"/>
    <w:rsid w:val="00C4239A"/>
    <w:rsid w:val="00C427B4"/>
    <w:rsid w:val="00C42D1B"/>
    <w:rsid w:val="00C42D5C"/>
    <w:rsid w:val="00C430E6"/>
    <w:rsid w:val="00C4328E"/>
    <w:rsid w:val="00C434C2"/>
    <w:rsid w:val="00C43AC1"/>
    <w:rsid w:val="00C43C5D"/>
    <w:rsid w:val="00C43E33"/>
    <w:rsid w:val="00C43EC4"/>
    <w:rsid w:val="00C442DA"/>
    <w:rsid w:val="00C445E5"/>
    <w:rsid w:val="00C44C0A"/>
    <w:rsid w:val="00C44F36"/>
    <w:rsid w:val="00C4556C"/>
    <w:rsid w:val="00C45948"/>
    <w:rsid w:val="00C45DA0"/>
    <w:rsid w:val="00C45E4D"/>
    <w:rsid w:val="00C45F30"/>
    <w:rsid w:val="00C4604B"/>
    <w:rsid w:val="00C463A0"/>
    <w:rsid w:val="00C463F1"/>
    <w:rsid w:val="00C46FCC"/>
    <w:rsid w:val="00C470AC"/>
    <w:rsid w:val="00C471E4"/>
    <w:rsid w:val="00C47545"/>
    <w:rsid w:val="00C4768F"/>
    <w:rsid w:val="00C47928"/>
    <w:rsid w:val="00C47F5C"/>
    <w:rsid w:val="00C50052"/>
    <w:rsid w:val="00C505B5"/>
    <w:rsid w:val="00C50780"/>
    <w:rsid w:val="00C50835"/>
    <w:rsid w:val="00C50A13"/>
    <w:rsid w:val="00C50B1F"/>
    <w:rsid w:val="00C50D32"/>
    <w:rsid w:val="00C50F39"/>
    <w:rsid w:val="00C50FBF"/>
    <w:rsid w:val="00C512FD"/>
    <w:rsid w:val="00C51340"/>
    <w:rsid w:val="00C516A4"/>
    <w:rsid w:val="00C518F4"/>
    <w:rsid w:val="00C51E90"/>
    <w:rsid w:val="00C5227C"/>
    <w:rsid w:val="00C523B2"/>
    <w:rsid w:val="00C52483"/>
    <w:rsid w:val="00C524C2"/>
    <w:rsid w:val="00C52860"/>
    <w:rsid w:val="00C52FA6"/>
    <w:rsid w:val="00C53E97"/>
    <w:rsid w:val="00C54191"/>
    <w:rsid w:val="00C545EA"/>
    <w:rsid w:val="00C54BE0"/>
    <w:rsid w:val="00C54CA4"/>
    <w:rsid w:val="00C54E56"/>
    <w:rsid w:val="00C553A9"/>
    <w:rsid w:val="00C55417"/>
    <w:rsid w:val="00C55684"/>
    <w:rsid w:val="00C5569E"/>
    <w:rsid w:val="00C55A97"/>
    <w:rsid w:val="00C55CE2"/>
    <w:rsid w:val="00C55D85"/>
    <w:rsid w:val="00C55EF5"/>
    <w:rsid w:val="00C55FCC"/>
    <w:rsid w:val="00C563F1"/>
    <w:rsid w:val="00C566C8"/>
    <w:rsid w:val="00C56B32"/>
    <w:rsid w:val="00C56B99"/>
    <w:rsid w:val="00C573D2"/>
    <w:rsid w:val="00C5741B"/>
    <w:rsid w:val="00C57B3C"/>
    <w:rsid w:val="00C60130"/>
    <w:rsid w:val="00C60301"/>
    <w:rsid w:val="00C60BD0"/>
    <w:rsid w:val="00C60DC9"/>
    <w:rsid w:val="00C6113E"/>
    <w:rsid w:val="00C612B9"/>
    <w:rsid w:val="00C61C8D"/>
    <w:rsid w:val="00C61DC5"/>
    <w:rsid w:val="00C61DF2"/>
    <w:rsid w:val="00C624F3"/>
    <w:rsid w:val="00C628B1"/>
    <w:rsid w:val="00C628DA"/>
    <w:rsid w:val="00C62ACC"/>
    <w:rsid w:val="00C62BAB"/>
    <w:rsid w:val="00C62BCA"/>
    <w:rsid w:val="00C631CB"/>
    <w:rsid w:val="00C6349E"/>
    <w:rsid w:val="00C634E4"/>
    <w:rsid w:val="00C63799"/>
    <w:rsid w:val="00C63A3B"/>
    <w:rsid w:val="00C63B74"/>
    <w:rsid w:val="00C64690"/>
    <w:rsid w:val="00C64911"/>
    <w:rsid w:val="00C64DA4"/>
    <w:rsid w:val="00C65155"/>
    <w:rsid w:val="00C651C2"/>
    <w:rsid w:val="00C6525B"/>
    <w:rsid w:val="00C655CD"/>
    <w:rsid w:val="00C65924"/>
    <w:rsid w:val="00C65E5D"/>
    <w:rsid w:val="00C6602A"/>
    <w:rsid w:val="00C6634D"/>
    <w:rsid w:val="00C66472"/>
    <w:rsid w:val="00C664DD"/>
    <w:rsid w:val="00C66537"/>
    <w:rsid w:val="00C66597"/>
    <w:rsid w:val="00C6678D"/>
    <w:rsid w:val="00C66AC9"/>
    <w:rsid w:val="00C66C92"/>
    <w:rsid w:val="00C66DA7"/>
    <w:rsid w:val="00C67421"/>
    <w:rsid w:val="00C67469"/>
    <w:rsid w:val="00C67959"/>
    <w:rsid w:val="00C67D3D"/>
    <w:rsid w:val="00C67E90"/>
    <w:rsid w:val="00C7024F"/>
    <w:rsid w:val="00C70DED"/>
    <w:rsid w:val="00C70FB5"/>
    <w:rsid w:val="00C71017"/>
    <w:rsid w:val="00C71091"/>
    <w:rsid w:val="00C710E5"/>
    <w:rsid w:val="00C71366"/>
    <w:rsid w:val="00C71B77"/>
    <w:rsid w:val="00C71BAE"/>
    <w:rsid w:val="00C71C31"/>
    <w:rsid w:val="00C71CD9"/>
    <w:rsid w:val="00C71EC4"/>
    <w:rsid w:val="00C7209D"/>
    <w:rsid w:val="00C72139"/>
    <w:rsid w:val="00C72318"/>
    <w:rsid w:val="00C724E6"/>
    <w:rsid w:val="00C72533"/>
    <w:rsid w:val="00C72634"/>
    <w:rsid w:val="00C72CB0"/>
    <w:rsid w:val="00C73040"/>
    <w:rsid w:val="00C732B5"/>
    <w:rsid w:val="00C73398"/>
    <w:rsid w:val="00C7345D"/>
    <w:rsid w:val="00C7348C"/>
    <w:rsid w:val="00C7371A"/>
    <w:rsid w:val="00C742F9"/>
    <w:rsid w:val="00C746CD"/>
    <w:rsid w:val="00C747A5"/>
    <w:rsid w:val="00C74867"/>
    <w:rsid w:val="00C74882"/>
    <w:rsid w:val="00C748E0"/>
    <w:rsid w:val="00C74D3E"/>
    <w:rsid w:val="00C74F53"/>
    <w:rsid w:val="00C75678"/>
    <w:rsid w:val="00C75AF9"/>
    <w:rsid w:val="00C75EF8"/>
    <w:rsid w:val="00C75F80"/>
    <w:rsid w:val="00C76023"/>
    <w:rsid w:val="00C76425"/>
    <w:rsid w:val="00C764CF"/>
    <w:rsid w:val="00C76670"/>
    <w:rsid w:val="00C76689"/>
    <w:rsid w:val="00C766F7"/>
    <w:rsid w:val="00C76863"/>
    <w:rsid w:val="00C769B9"/>
    <w:rsid w:val="00C76BD0"/>
    <w:rsid w:val="00C76F84"/>
    <w:rsid w:val="00C76FDD"/>
    <w:rsid w:val="00C777F6"/>
    <w:rsid w:val="00C778D4"/>
    <w:rsid w:val="00C77C2C"/>
    <w:rsid w:val="00C77D59"/>
    <w:rsid w:val="00C77FE0"/>
    <w:rsid w:val="00C77FFC"/>
    <w:rsid w:val="00C802BE"/>
    <w:rsid w:val="00C80A4F"/>
    <w:rsid w:val="00C80D70"/>
    <w:rsid w:val="00C80EAC"/>
    <w:rsid w:val="00C81320"/>
    <w:rsid w:val="00C81327"/>
    <w:rsid w:val="00C81388"/>
    <w:rsid w:val="00C81945"/>
    <w:rsid w:val="00C819A0"/>
    <w:rsid w:val="00C81B9C"/>
    <w:rsid w:val="00C81F75"/>
    <w:rsid w:val="00C824E6"/>
    <w:rsid w:val="00C824FA"/>
    <w:rsid w:val="00C82506"/>
    <w:rsid w:val="00C8264B"/>
    <w:rsid w:val="00C82CFF"/>
    <w:rsid w:val="00C82E7C"/>
    <w:rsid w:val="00C82EBB"/>
    <w:rsid w:val="00C834F9"/>
    <w:rsid w:val="00C835EE"/>
    <w:rsid w:val="00C8392D"/>
    <w:rsid w:val="00C83A54"/>
    <w:rsid w:val="00C83C7C"/>
    <w:rsid w:val="00C83D08"/>
    <w:rsid w:val="00C83DC4"/>
    <w:rsid w:val="00C843AC"/>
    <w:rsid w:val="00C84992"/>
    <w:rsid w:val="00C84B4B"/>
    <w:rsid w:val="00C84C52"/>
    <w:rsid w:val="00C84DDD"/>
    <w:rsid w:val="00C851E6"/>
    <w:rsid w:val="00C85314"/>
    <w:rsid w:val="00C8543E"/>
    <w:rsid w:val="00C8572C"/>
    <w:rsid w:val="00C85730"/>
    <w:rsid w:val="00C85A70"/>
    <w:rsid w:val="00C85A8B"/>
    <w:rsid w:val="00C85B4A"/>
    <w:rsid w:val="00C85F65"/>
    <w:rsid w:val="00C864D9"/>
    <w:rsid w:val="00C86546"/>
    <w:rsid w:val="00C8680A"/>
    <w:rsid w:val="00C86A7D"/>
    <w:rsid w:val="00C86B05"/>
    <w:rsid w:val="00C8735B"/>
    <w:rsid w:val="00C875E9"/>
    <w:rsid w:val="00C87A96"/>
    <w:rsid w:val="00C87D32"/>
    <w:rsid w:val="00C90135"/>
    <w:rsid w:val="00C90180"/>
    <w:rsid w:val="00C9039B"/>
    <w:rsid w:val="00C9042D"/>
    <w:rsid w:val="00C90441"/>
    <w:rsid w:val="00C90517"/>
    <w:rsid w:val="00C90C69"/>
    <w:rsid w:val="00C90DEE"/>
    <w:rsid w:val="00C9173D"/>
    <w:rsid w:val="00C917E0"/>
    <w:rsid w:val="00C918F5"/>
    <w:rsid w:val="00C91B3C"/>
    <w:rsid w:val="00C91B51"/>
    <w:rsid w:val="00C91DD3"/>
    <w:rsid w:val="00C91F29"/>
    <w:rsid w:val="00C92802"/>
    <w:rsid w:val="00C9286A"/>
    <w:rsid w:val="00C92FF1"/>
    <w:rsid w:val="00C9312B"/>
    <w:rsid w:val="00C93260"/>
    <w:rsid w:val="00C93305"/>
    <w:rsid w:val="00C934A5"/>
    <w:rsid w:val="00C93AF1"/>
    <w:rsid w:val="00C93CE1"/>
    <w:rsid w:val="00C944F3"/>
    <w:rsid w:val="00C9452B"/>
    <w:rsid w:val="00C94D6F"/>
    <w:rsid w:val="00C95255"/>
    <w:rsid w:val="00C95279"/>
    <w:rsid w:val="00C956A5"/>
    <w:rsid w:val="00C957F4"/>
    <w:rsid w:val="00C95DB2"/>
    <w:rsid w:val="00C9630C"/>
    <w:rsid w:val="00C96993"/>
    <w:rsid w:val="00C9709D"/>
    <w:rsid w:val="00C974B7"/>
    <w:rsid w:val="00C976B2"/>
    <w:rsid w:val="00C97B4A"/>
    <w:rsid w:val="00CA0116"/>
    <w:rsid w:val="00CA01B4"/>
    <w:rsid w:val="00CA037D"/>
    <w:rsid w:val="00CA054C"/>
    <w:rsid w:val="00CA08D2"/>
    <w:rsid w:val="00CA0C62"/>
    <w:rsid w:val="00CA10CA"/>
    <w:rsid w:val="00CA125D"/>
    <w:rsid w:val="00CA1818"/>
    <w:rsid w:val="00CA18F1"/>
    <w:rsid w:val="00CA1C04"/>
    <w:rsid w:val="00CA1D94"/>
    <w:rsid w:val="00CA20E8"/>
    <w:rsid w:val="00CA25E7"/>
    <w:rsid w:val="00CA2830"/>
    <w:rsid w:val="00CA2C15"/>
    <w:rsid w:val="00CA2D83"/>
    <w:rsid w:val="00CA3862"/>
    <w:rsid w:val="00CA490B"/>
    <w:rsid w:val="00CA4BC0"/>
    <w:rsid w:val="00CA4CA7"/>
    <w:rsid w:val="00CA5112"/>
    <w:rsid w:val="00CA5475"/>
    <w:rsid w:val="00CA54CE"/>
    <w:rsid w:val="00CA562F"/>
    <w:rsid w:val="00CA57B8"/>
    <w:rsid w:val="00CA5A8F"/>
    <w:rsid w:val="00CA5C3F"/>
    <w:rsid w:val="00CA5CA8"/>
    <w:rsid w:val="00CA5E30"/>
    <w:rsid w:val="00CA620A"/>
    <w:rsid w:val="00CA628B"/>
    <w:rsid w:val="00CA6645"/>
    <w:rsid w:val="00CA6E27"/>
    <w:rsid w:val="00CA6ED9"/>
    <w:rsid w:val="00CA73CB"/>
    <w:rsid w:val="00CA7527"/>
    <w:rsid w:val="00CA77B2"/>
    <w:rsid w:val="00CA79DC"/>
    <w:rsid w:val="00CB0157"/>
    <w:rsid w:val="00CB0351"/>
    <w:rsid w:val="00CB0D56"/>
    <w:rsid w:val="00CB0EAB"/>
    <w:rsid w:val="00CB0FA8"/>
    <w:rsid w:val="00CB1122"/>
    <w:rsid w:val="00CB12BC"/>
    <w:rsid w:val="00CB1584"/>
    <w:rsid w:val="00CB167A"/>
    <w:rsid w:val="00CB1750"/>
    <w:rsid w:val="00CB1B37"/>
    <w:rsid w:val="00CB1D04"/>
    <w:rsid w:val="00CB2600"/>
    <w:rsid w:val="00CB297E"/>
    <w:rsid w:val="00CB2A67"/>
    <w:rsid w:val="00CB2B6E"/>
    <w:rsid w:val="00CB2EEA"/>
    <w:rsid w:val="00CB2F5A"/>
    <w:rsid w:val="00CB2FD2"/>
    <w:rsid w:val="00CB3292"/>
    <w:rsid w:val="00CB392E"/>
    <w:rsid w:val="00CB3AE5"/>
    <w:rsid w:val="00CB3C3C"/>
    <w:rsid w:val="00CB3D72"/>
    <w:rsid w:val="00CB4951"/>
    <w:rsid w:val="00CB4F2A"/>
    <w:rsid w:val="00CB4F78"/>
    <w:rsid w:val="00CB509F"/>
    <w:rsid w:val="00CB5205"/>
    <w:rsid w:val="00CB57A4"/>
    <w:rsid w:val="00CB5903"/>
    <w:rsid w:val="00CB592A"/>
    <w:rsid w:val="00CB5943"/>
    <w:rsid w:val="00CB59AE"/>
    <w:rsid w:val="00CB5A78"/>
    <w:rsid w:val="00CB5C51"/>
    <w:rsid w:val="00CB5CB6"/>
    <w:rsid w:val="00CB5E95"/>
    <w:rsid w:val="00CB60BD"/>
    <w:rsid w:val="00CB60F5"/>
    <w:rsid w:val="00CB6133"/>
    <w:rsid w:val="00CB6177"/>
    <w:rsid w:val="00CB656C"/>
    <w:rsid w:val="00CB670B"/>
    <w:rsid w:val="00CB6928"/>
    <w:rsid w:val="00CB6C3E"/>
    <w:rsid w:val="00CB7054"/>
    <w:rsid w:val="00CB7374"/>
    <w:rsid w:val="00CB78BD"/>
    <w:rsid w:val="00CB78BF"/>
    <w:rsid w:val="00CC0111"/>
    <w:rsid w:val="00CC0318"/>
    <w:rsid w:val="00CC08AE"/>
    <w:rsid w:val="00CC0EDC"/>
    <w:rsid w:val="00CC0F42"/>
    <w:rsid w:val="00CC10D1"/>
    <w:rsid w:val="00CC1210"/>
    <w:rsid w:val="00CC145B"/>
    <w:rsid w:val="00CC1AFE"/>
    <w:rsid w:val="00CC1D56"/>
    <w:rsid w:val="00CC1E0C"/>
    <w:rsid w:val="00CC1E0E"/>
    <w:rsid w:val="00CC2136"/>
    <w:rsid w:val="00CC2170"/>
    <w:rsid w:val="00CC228B"/>
    <w:rsid w:val="00CC248B"/>
    <w:rsid w:val="00CC251A"/>
    <w:rsid w:val="00CC28F3"/>
    <w:rsid w:val="00CC2C62"/>
    <w:rsid w:val="00CC2D67"/>
    <w:rsid w:val="00CC2E1F"/>
    <w:rsid w:val="00CC2E61"/>
    <w:rsid w:val="00CC38E4"/>
    <w:rsid w:val="00CC4131"/>
    <w:rsid w:val="00CC4176"/>
    <w:rsid w:val="00CC44BB"/>
    <w:rsid w:val="00CC4842"/>
    <w:rsid w:val="00CC497E"/>
    <w:rsid w:val="00CC4B5D"/>
    <w:rsid w:val="00CC4EAA"/>
    <w:rsid w:val="00CC51C3"/>
    <w:rsid w:val="00CC54AE"/>
    <w:rsid w:val="00CC559D"/>
    <w:rsid w:val="00CC569D"/>
    <w:rsid w:val="00CC5788"/>
    <w:rsid w:val="00CC59A7"/>
    <w:rsid w:val="00CC5DD1"/>
    <w:rsid w:val="00CC5FE8"/>
    <w:rsid w:val="00CC6797"/>
    <w:rsid w:val="00CC6C38"/>
    <w:rsid w:val="00CC774C"/>
    <w:rsid w:val="00CC7A63"/>
    <w:rsid w:val="00CC7ADE"/>
    <w:rsid w:val="00CD031B"/>
    <w:rsid w:val="00CD05A9"/>
    <w:rsid w:val="00CD100B"/>
    <w:rsid w:val="00CD128E"/>
    <w:rsid w:val="00CD1362"/>
    <w:rsid w:val="00CD26C4"/>
    <w:rsid w:val="00CD285B"/>
    <w:rsid w:val="00CD328A"/>
    <w:rsid w:val="00CD33BC"/>
    <w:rsid w:val="00CD3990"/>
    <w:rsid w:val="00CD3C9B"/>
    <w:rsid w:val="00CD40E4"/>
    <w:rsid w:val="00CD423B"/>
    <w:rsid w:val="00CD44D7"/>
    <w:rsid w:val="00CD44F2"/>
    <w:rsid w:val="00CD49D4"/>
    <w:rsid w:val="00CD51B2"/>
    <w:rsid w:val="00CD559E"/>
    <w:rsid w:val="00CD5CEA"/>
    <w:rsid w:val="00CD6184"/>
    <w:rsid w:val="00CD654B"/>
    <w:rsid w:val="00CD678A"/>
    <w:rsid w:val="00CD67F2"/>
    <w:rsid w:val="00CD6B18"/>
    <w:rsid w:val="00CD6DED"/>
    <w:rsid w:val="00CD7130"/>
    <w:rsid w:val="00CD77A2"/>
    <w:rsid w:val="00CD7BAD"/>
    <w:rsid w:val="00CD7BB3"/>
    <w:rsid w:val="00CD7CDB"/>
    <w:rsid w:val="00CE0361"/>
    <w:rsid w:val="00CE06D8"/>
    <w:rsid w:val="00CE06F2"/>
    <w:rsid w:val="00CE07A8"/>
    <w:rsid w:val="00CE0906"/>
    <w:rsid w:val="00CE09E2"/>
    <w:rsid w:val="00CE0BD7"/>
    <w:rsid w:val="00CE0D79"/>
    <w:rsid w:val="00CE0FE5"/>
    <w:rsid w:val="00CE1076"/>
    <w:rsid w:val="00CE173B"/>
    <w:rsid w:val="00CE1928"/>
    <w:rsid w:val="00CE1CE3"/>
    <w:rsid w:val="00CE223E"/>
    <w:rsid w:val="00CE2613"/>
    <w:rsid w:val="00CE28FA"/>
    <w:rsid w:val="00CE2915"/>
    <w:rsid w:val="00CE2D67"/>
    <w:rsid w:val="00CE30FB"/>
    <w:rsid w:val="00CE339F"/>
    <w:rsid w:val="00CE344D"/>
    <w:rsid w:val="00CE3A11"/>
    <w:rsid w:val="00CE425F"/>
    <w:rsid w:val="00CE441E"/>
    <w:rsid w:val="00CE46E6"/>
    <w:rsid w:val="00CE4843"/>
    <w:rsid w:val="00CE4D5D"/>
    <w:rsid w:val="00CE4E94"/>
    <w:rsid w:val="00CE501B"/>
    <w:rsid w:val="00CE50D4"/>
    <w:rsid w:val="00CE539F"/>
    <w:rsid w:val="00CE54DA"/>
    <w:rsid w:val="00CE5F00"/>
    <w:rsid w:val="00CE6620"/>
    <w:rsid w:val="00CE6801"/>
    <w:rsid w:val="00CE7BE2"/>
    <w:rsid w:val="00CE7E9A"/>
    <w:rsid w:val="00CF0188"/>
    <w:rsid w:val="00CF03B2"/>
    <w:rsid w:val="00CF03B7"/>
    <w:rsid w:val="00CF03C2"/>
    <w:rsid w:val="00CF0439"/>
    <w:rsid w:val="00CF0A4D"/>
    <w:rsid w:val="00CF0B93"/>
    <w:rsid w:val="00CF0D2B"/>
    <w:rsid w:val="00CF0E83"/>
    <w:rsid w:val="00CF165B"/>
    <w:rsid w:val="00CF22AF"/>
    <w:rsid w:val="00CF22FB"/>
    <w:rsid w:val="00CF2727"/>
    <w:rsid w:val="00CF2963"/>
    <w:rsid w:val="00CF2B43"/>
    <w:rsid w:val="00CF2F78"/>
    <w:rsid w:val="00CF353C"/>
    <w:rsid w:val="00CF3880"/>
    <w:rsid w:val="00CF3BEB"/>
    <w:rsid w:val="00CF3F0D"/>
    <w:rsid w:val="00CF40A3"/>
    <w:rsid w:val="00CF464C"/>
    <w:rsid w:val="00CF4B4A"/>
    <w:rsid w:val="00CF4CC1"/>
    <w:rsid w:val="00CF506B"/>
    <w:rsid w:val="00CF50DE"/>
    <w:rsid w:val="00CF530D"/>
    <w:rsid w:val="00CF5422"/>
    <w:rsid w:val="00CF562E"/>
    <w:rsid w:val="00CF5805"/>
    <w:rsid w:val="00CF5AA8"/>
    <w:rsid w:val="00CF5C61"/>
    <w:rsid w:val="00CF5CF1"/>
    <w:rsid w:val="00CF5D28"/>
    <w:rsid w:val="00CF5DDD"/>
    <w:rsid w:val="00CF5F3E"/>
    <w:rsid w:val="00CF621C"/>
    <w:rsid w:val="00CF6450"/>
    <w:rsid w:val="00CF6D88"/>
    <w:rsid w:val="00CF6DC1"/>
    <w:rsid w:val="00CF7124"/>
    <w:rsid w:val="00CF75C2"/>
    <w:rsid w:val="00CF78F2"/>
    <w:rsid w:val="00CF79E1"/>
    <w:rsid w:val="00CF7A83"/>
    <w:rsid w:val="00CF7B12"/>
    <w:rsid w:val="00CF7F78"/>
    <w:rsid w:val="00CF7FDF"/>
    <w:rsid w:val="00D00014"/>
    <w:rsid w:val="00D003C6"/>
    <w:rsid w:val="00D00537"/>
    <w:rsid w:val="00D007B1"/>
    <w:rsid w:val="00D00B32"/>
    <w:rsid w:val="00D01373"/>
    <w:rsid w:val="00D01A7C"/>
    <w:rsid w:val="00D01BCA"/>
    <w:rsid w:val="00D01C06"/>
    <w:rsid w:val="00D01EA5"/>
    <w:rsid w:val="00D02583"/>
    <w:rsid w:val="00D02714"/>
    <w:rsid w:val="00D02743"/>
    <w:rsid w:val="00D02878"/>
    <w:rsid w:val="00D02C50"/>
    <w:rsid w:val="00D0308F"/>
    <w:rsid w:val="00D035EF"/>
    <w:rsid w:val="00D03926"/>
    <w:rsid w:val="00D03B1B"/>
    <w:rsid w:val="00D03F59"/>
    <w:rsid w:val="00D040C2"/>
    <w:rsid w:val="00D041F8"/>
    <w:rsid w:val="00D04208"/>
    <w:rsid w:val="00D045F7"/>
    <w:rsid w:val="00D0462E"/>
    <w:rsid w:val="00D046A5"/>
    <w:rsid w:val="00D05007"/>
    <w:rsid w:val="00D0518A"/>
    <w:rsid w:val="00D053CA"/>
    <w:rsid w:val="00D058E5"/>
    <w:rsid w:val="00D05F09"/>
    <w:rsid w:val="00D0610D"/>
    <w:rsid w:val="00D0688B"/>
    <w:rsid w:val="00D0697D"/>
    <w:rsid w:val="00D06FB9"/>
    <w:rsid w:val="00D07272"/>
    <w:rsid w:val="00D07598"/>
    <w:rsid w:val="00D07D75"/>
    <w:rsid w:val="00D07F7A"/>
    <w:rsid w:val="00D07FED"/>
    <w:rsid w:val="00D101F7"/>
    <w:rsid w:val="00D102E8"/>
    <w:rsid w:val="00D10306"/>
    <w:rsid w:val="00D104F4"/>
    <w:rsid w:val="00D10A9B"/>
    <w:rsid w:val="00D10C68"/>
    <w:rsid w:val="00D114C5"/>
    <w:rsid w:val="00D11727"/>
    <w:rsid w:val="00D118E8"/>
    <w:rsid w:val="00D11ACA"/>
    <w:rsid w:val="00D11BEB"/>
    <w:rsid w:val="00D11BFC"/>
    <w:rsid w:val="00D12052"/>
    <w:rsid w:val="00D122DA"/>
    <w:rsid w:val="00D12330"/>
    <w:rsid w:val="00D126B4"/>
    <w:rsid w:val="00D128B6"/>
    <w:rsid w:val="00D12D42"/>
    <w:rsid w:val="00D13116"/>
    <w:rsid w:val="00D139E6"/>
    <w:rsid w:val="00D13F9A"/>
    <w:rsid w:val="00D145F5"/>
    <w:rsid w:val="00D1480C"/>
    <w:rsid w:val="00D149D9"/>
    <w:rsid w:val="00D14A06"/>
    <w:rsid w:val="00D15351"/>
    <w:rsid w:val="00D1543A"/>
    <w:rsid w:val="00D156A1"/>
    <w:rsid w:val="00D15A59"/>
    <w:rsid w:val="00D15B2A"/>
    <w:rsid w:val="00D15FC2"/>
    <w:rsid w:val="00D16275"/>
    <w:rsid w:val="00D169E4"/>
    <w:rsid w:val="00D16EC6"/>
    <w:rsid w:val="00D171B5"/>
    <w:rsid w:val="00D17444"/>
    <w:rsid w:val="00D17545"/>
    <w:rsid w:val="00D177C3"/>
    <w:rsid w:val="00D178D3"/>
    <w:rsid w:val="00D17A8D"/>
    <w:rsid w:val="00D17DD7"/>
    <w:rsid w:val="00D2072E"/>
    <w:rsid w:val="00D20B7B"/>
    <w:rsid w:val="00D20BCA"/>
    <w:rsid w:val="00D20DFF"/>
    <w:rsid w:val="00D20F31"/>
    <w:rsid w:val="00D2160C"/>
    <w:rsid w:val="00D21993"/>
    <w:rsid w:val="00D21D7B"/>
    <w:rsid w:val="00D2200B"/>
    <w:rsid w:val="00D22342"/>
    <w:rsid w:val="00D2239A"/>
    <w:rsid w:val="00D2255A"/>
    <w:rsid w:val="00D22B99"/>
    <w:rsid w:val="00D2329A"/>
    <w:rsid w:val="00D243F2"/>
    <w:rsid w:val="00D2463E"/>
    <w:rsid w:val="00D24756"/>
    <w:rsid w:val="00D24CB3"/>
    <w:rsid w:val="00D25474"/>
    <w:rsid w:val="00D25AC4"/>
    <w:rsid w:val="00D25E90"/>
    <w:rsid w:val="00D26155"/>
    <w:rsid w:val="00D26D5B"/>
    <w:rsid w:val="00D26DB3"/>
    <w:rsid w:val="00D26E22"/>
    <w:rsid w:val="00D27669"/>
    <w:rsid w:val="00D27ACE"/>
    <w:rsid w:val="00D27B69"/>
    <w:rsid w:val="00D27C51"/>
    <w:rsid w:val="00D30123"/>
    <w:rsid w:val="00D305B8"/>
    <w:rsid w:val="00D30F34"/>
    <w:rsid w:val="00D30FD2"/>
    <w:rsid w:val="00D314BB"/>
    <w:rsid w:val="00D31807"/>
    <w:rsid w:val="00D319A7"/>
    <w:rsid w:val="00D3231D"/>
    <w:rsid w:val="00D32374"/>
    <w:rsid w:val="00D32383"/>
    <w:rsid w:val="00D32421"/>
    <w:rsid w:val="00D3279C"/>
    <w:rsid w:val="00D32970"/>
    <w:rsid w:val="00D33044"/>
    <w:rsid w:val="00D3338F"/>
    <w:rsid w:val="00D3344C"/>
    <w:rsid w:val="00D335D2"/>
    <w:rsid w:val="00D3361F"/>
    <w:rsid w:val="00D3366D"/>
    <w:rsid w:val="00D3472B"/>
    <w:rsid w:val="00D349CE"/>
    <w:rsid w:val="00D34B27"/>
    <w:rsid w:val="00D34CD4"/>
    <w:rsid w:val="00D34D2D"/>
    <w:rsid w:val="00D34D43"/>
    <w:rsid w:val="00D35145"/>
    <w:rsid w:val="00D35595"/>
    <w:rsid w:val="00D355A3"/>
    <w:rsid w:val="00D355F0"/>
    <w:rsid w:val="00D3560F"/>
    <w:rsid w:val="00D35765"/>
    <w:rsid w:val="00D357A1"/>
    <w:rsid w:val="00D36265"/>
    <w:rsid w:val="00D3648B"/>
    <w:rsid w:val="00D36512"/>
    <w:rsid w:val="00D36A78"/>
    <w:rsid w:val="00D36AAC"/>
    <w:rsid w:val="00D36F96"/>
    <w:rsid w:val="00D36FAC"/>
    <w:rsid w:val="00D3759D"/>
    <w:rsid w:val="00D37CAD"/>
    <w:rsid w:val="00D405C1"/>
    <w:rsid w:val="00D4065C"/>
    <w:rsid w:val="00D409F2"/>
    <w:rsid w:val="00D40CCE"/>
    <w:rsid w:val="00D40D8F"/>
    <w:rsid w:val="00D40E0D"/>
    <w:rsid w:val="00D40E42"/>
    <w:rsid w:val="00D40EE9"/>
    <w:rsid w:val="00D40FEE"/>
    <w:rsid w:val="00D41055"/>
    <w:rsid w:val="00D413C3"/>
    <w:rsid w:val="00D41517"/>
    <w:rsid w:val="00D4196C"/>
    <w:rsid w:val="00D42049"/>
    <w:rsid w:val="00D424D3"/>
    <w:rsid w:val="00D42572"/>
    <w:rsid w:val="00D42712"/>
    <w:rsid w:val="00D42AEE"/>
    <w:rsid w:val="00D42C1F"/>
    <w:rsid w:val="00D42D7F"/>
    <w:rsid w:val="00D430CF"/>
    <w:rsid w:val="00D43189"/>
    <w:rsid w:val="00D43247"/>
    <w:rsid w:val="00D43AC8"/>
    <w:rsid w:val="00D43ADA"/>
    <w:rsid w:val="00D446FD"/>
    <w:rsid w:val="00D44940"/>
    <w:rsid w:val="00D44F36"/>
    <w:rsid w:val="00D45065"/>
    <w:rsid w:val="00D45621"/>
    <w:rsid w:val="00D45654"/>
    <w:rsid w:val="00D4618E"/>
    <w:rsid w:val="00D462A2"/>
    <w:rsid w:val="00D463B6"/>
    <w:rsid w:val="00D464B1"/>
    <w:rsid w:val="00D4672C"/>
    <w:rsid w:val="00D46812"/>
    <w:rsid w:val="00D46DF1"/>
    <w:rsid w:val="00D470AF"/>
    <w:rsid w:val="00D47381"/>
    <w:rsid w:val="00D473AE"/>
    <w:rsid w:val="00D473BA"/>
    <w:rsid w:val="00D47A0C"/>
    <w:rsid w:val="00D5014F"/>
    <w:rsid w:val="00D509F9"/>
    <w:rsid w:val="00D50B91"/>
    <w:rsid w:val="00D50C44"/>
    <w:rsid w:val="00D515C9"/>
    <w:rsid w:val="00D517B2"/>
    <w:rsid w:val="00D517F6"/>
    <w:rsid w:val="00D51B9F"/>
    <w:rsid w:val="00D51D54"/>
    <w:rsid w:val="00D52109"/>
    <w:rsid w:val="00D522FC"/>
    <w:rsid w:val="00D529E0"/>
    <w:rsid w:val="00D530E3"/>
    <w:rsid w:val="00D53725"/>
    <w:rsid w:val="00D539DF"/>
    <w:rsid w:val="00D53B19"/>
    <w:rsid w:val="00D53B6C"/>
    <w:rsid w:val="00D53F91"/>
    <w:rsid w:val="00D5451B"/>
    <w:rsid w:val="00D545D0"/>
    <w:rsid w:val="00D5463E"/>
    <w:rsid w:val="00D547A1"/>
    <w:rsid w:val="00D548D6"/>
    <w:rsid w:val="00D548E2"/>
    <w:rsid w:val="00D54B1F"/>
    <w:rsid w:val="00D555B2"/>
    <w:rsid w:val="00D55764"/>
    <w:rsid w:val="00D55954"/>
    <w:rsid w:val="00D55A64"/>
    <w:rsid w:val="00D56113"/>
    <w:rsid w:val="00D561B2"/>
    <w:rsid w:val="00D56227"/>
    <w:rsid w:val="00D562EC"/>
    <w:rsid w:val="00D563EA"/>
    <w:rsid w:val="00D564BB"/>
    <w:rsid w:val="00D57199"/>
    <w:rsid w:val="00D57207"/>
    <w:rsid w:val="00D57540"/>
    <w:rsid w:val="00D5780E"/>
    <w:rsid w:val="00D579EC"/>
    <w:rsid w:val="00D57BEA"/>
    <w:rsid w:val="00D57EDF"/>
    <w:rsid w:val="00D57F0B"/>
    <w:rsid w:val="00D60238"/>
    <w:rsid w:val="00D60A11"/>
    <w:rsid w:val="00D62512"/>
    <w:rsid w:val="00D62831"/>
    <w:rsid w:val="00D62ABE"/>
    <w:rsid w:val="00D630DA"/>
    <w:rsid w:val="00D6312F"/>
    <w:rsid w:val="00D631FE"/>
    <w:rsid w:val="00D6372A"/>
    <w:rsid w:val="00D6386D"/>
    <w:rsid w:val="00D64A65"/>
    <w:rsid w:val="00D64F7F"/>
    <w:rsid w:val="00D658E3"/>
    <w:rsid w:val="00D65C2B"/>
    <w:rsid w:val="00D662F0"/>
    <w:rsid w:val="00D663DA"/>
    <w:rsid w:val="00D66E74"/>
    <w:rsid w:val="00D6761F"/>
    <w:rsid w:val="00D679E6"/>
    <w:rsid w:val="00D67B84"/>
    <w:rsid w:val="00D67BE2"/>
    <w:rsid w:val="00D67C8C"/>
    <w:rsid w:val="00D67E2D"/>
    <w:rsid w:val="00D70278"/>
    <w:rsid w:val="00D70357"/>
    <w:rsid w:val="00D706E9"/>
    <w:rsid w:val="00D70745"/>
    <w:rsid w:val="00D70CB8"/>
    <w:rsid w:val="00D70E1A"/>
    <w:rsid w:val="00D7137D"/>
    <w:rsid w:val="00D71494"/>
    <w:rsid w:val="00D716FE"/>
    <w:rsid w:val="00D7179E"/>
    <w:rsid w:val="00D71A1B"/>
    <w:rsid w:val="00D71D31"/>
    <w:rsid w:val="00D71D81"/>
    <w:rsid w:val="00D7201D"/>
    <w:rsid w:val="00D72337"/>
    <w:rsid w:val="00D72A8E"/>
    <w:rsid w:val="00D72D22"/>
    <w:rsid w:val="00D72DBF"/>
    <w:rsid w:val="00D731C2"/>
    <w:rsid w:val="00D73253"/>
    <w:rsid w:val="00D73B07"/>
    <w:rsid w:val="00D73CAA"/>
    <w:rsid w:val="00D73FAA"/>
    <w:rsid w:val="00D740EA"/>
    <w:rsid w:val="00D74359"/>
    <w:rsid w:val="00D74363"/>
    <w:rsid w:val="00D7461F"/>
    <w:rsid w:val="00D747F9"/>
    <w:rsid w:val="00D750A9"/>
    <w:rsid w:val="00D75413"/>
    <w:rsid w:val="00D75ADC"/>
    <w:rsid w:val="00D75D2C"/>
    <w:rsid w:val="00D75E4A"/>
    <w:rsid w:val="00D762BF"/>
    <w:rsid w:val="00D7650B"/>
    <w:rsid w:val="00D76521"/>
    <w:rsid w:val="00D768F6"/>
    <w:rsid w:val="00D76B0D"/>
    <w:rsid w:val="00D76CBE"/>
    <w:rsid w:val="00D76DA6"/>
    <w:rsid w:val="00D76E23"/>
    <w:rsid w:val="00D7732F"/>
    <w:rsid w:val="00D77593"/>
    <w:rsid w:val="00D7770E"/>
    <w:rsid w:val="00D77E5B"/>
    <w:rsid w:val="00D801AF"/>
    <w:rsid w:val="00D80249"/>
    <w:rsid w:val="00D80C85"/>
    <w:rsid w:val="00D80DD2"/>
    <w:rsid w:val="00D80F16"/>
    <w:rsid w:val="00D8108C"/>
    <w:rsid w:val="00D8171B"/>
    <w:rsid w:val="00D81C6E"/>
    <w:rsid w:val="00D81EFE"/>
    <w:rsid w:val="00D821AF"/>
    <w:rsid w:val="00D82233"/>
    <w:rsid w:val="00D8235B"/>
    <w:rsid w:val="00D82400"/>
    <w:rsid w:val="00D826F0"/>
    <w:rsid w:val="00D827ED"/>
    <w:rsid w:val="00D833D9"/>
    <w:rsid w:val="00D834AF"/>
    <w:rsid w:val="00D83578"/>
    <w:rsid w:val="00D83789"/>
    <w:rsid w:val="00D83A07"/>
    <w:rsid w:val="00D83BD9"/>
    <w:rsid w:val="00D84170"/>
    <w:rsid w:val="00D84376"/>
    <w:rsid w:val="00D84386"/>
    <w:rsid w:val="00D84B49"/>
    <w:rsid w:val="00D84BEC"/>
    <w:rsid w:val="00D84E8A"/>
    <w:rsid w:val="00D852AB"/>
    <w:rsid w:val="00D853B1"/>
    <w:rsid w:val="00D858B6"/>
    <w:rsid w:val="00D85987"/>
    <w:rsid w:val="00D85B09"/>
    <w:rsid w:val="00D85E17"/>
    <w:rsid w:val="00D85EF8"/>
    <w:rsid w:val="00D863AA"/>
    <w:rsid w:val="00D86677"/>
    <w:rsid w:val="00D867D2"/>
    <w:rsid w:val="00D8688F"/>
    <w:rsid w:val="00D86CB1"/>
    <w:rsid w:val="00D8720D"/>
    <w:rsid w:val="00D87272"/>
    <w:rsid w:val="00D87A96"/>
    <w:rsid w:val="00D901DC"/>
    <w:rsid w:val="00D90874"/>
    <w:rsid w:val="00D90A43"/>
    <w:rsid w:val="00D90E3E"/>
    <w:rsid w:val="00D91433"/>
    <w:rsid w:val="00D91447"/>
    <w:rsid w:val="00D91712"/>
    <w:rsid w:val="00D91CC2"/>
    <w:rsid w:val="00D91D1C"/>
    <w:rsid w:val="00D91FDC"/>
    <w:rsid w:val="00D9212F"/>
    <w:rsid w:val="00D928B8"/>
    <w:rsid w:val="00D92AAB"/>
    <w:rsid w:val="00D92B26"/>
    <w:rsid w:val="00D92BE7"/>
    <w:rsid w:val="00D92C51"/>
    <w:rsid w:val="00D92D6D"/>
    <w:rsid w:val="00D932A6"/>
    <w:rsid w:val="00D9337F"/>
    <w:rsid w:val="00D933A7"/>
    <w:rsid w:val="00D93632"/>
    <w:rsid w:val="00D936A0"/>
    <w:rsid w:val="00D93B2B"/>
    <w:rsid w:val="00D94621"/>
    <w:rsid w:val="00D9462E"/>
    <w:rsid w:val="00D94D20"/>
    <w:rsid w:val="00D94DCF"/>
    <w:rsid w:val="00D94EAE"/>
    <w:rsid w:val="00D959C3"/>
    <w:rsid w:val="00D959DD"/>
    <w:rsid w:val="00D95AC0"/>
    <w:rsid w:val="00D95B65"/>
    <w:rsid w:val="00D95E38"/>
    <w:rsid w:val="00D9600A"/>
    <w:rsid w:val="00D96925"/>
    <w:rsid w:val="00D96ADD"/>
    <w:rsid w:val="00D96B59"/>
    <w:rsid w:val="00D96C80"/>
    <w:rsid w:val="00D96E32"/>
    <w:rsid w:val="00D96E81"/>
    <w:rsid w:val="00D9705B"/>
    <w:rsid w:val="00D97164"/>
    <w:rsid w:val="00D9734F"/>
    <w:rsid w:val="00D9788A"/>
    <w:rsid w:val="00D97B91"/>
    <w:rsid w:val="00D97F6C"/>
    <w:rsid w:val="00DA0009"/>
    <w:rsid w:val="00DA0854"/>
    <w:rsid w:val="00DA09F6"/>
    <w:rsid w:val="00DA0B40"/>
    <w:rsid w:val="00DA0CEB"/>
    <w:rsid w:val="00DA1070"/>
    <w:rsid w:val="00DA13F0"/>
    <w:rsid w:val="00DA20E1"/>
    <w:rsid w:val="00DA2484"/>
    <w:rsid w:val="00DA25D2"/>
    <w:rsid w:val="00DA28C0"/>
    <w:rsid w:val="00DA2A6D"/>
    <w:rsid w:val="00DA3559"/>
    <w:rsid w:val="00DA3B4E"/>
    <w:rsid w:val="00DA3B77"/>
    <w:rsid w:val="00DA4B4D"/>
    <w:rsid w:val="00DA4D5C"/>
    <w:rsid w:val="00DA5395"/>
    <w:rsid w:val="00DA56DD"/>
    <w:rsid w:val="00DA586F"/>
    <w:rsid w:val="00DA5890"/>
    <w:rsid w:val="00DA59DD"/>
    <w:rsid w:val="00DA5D0B"/>
    <w:rsid w:val="00DA6352"/>
    <w:rsid w:val="00DA63CF"/>
    <w:rsid w:val="00DA67CB"/>
    <w:rsid w:val="00DA6C62"/>
    <w:rsid w:val="00DA7072"/>
    <w:rsid w:val="00DA70CE"/>
    <w:rsid w:val="00DA74BE"/>
    <w:rsid w:val="00DA74DB"/>
    <w:rsid w:val="00DA7950"/>
    <w:rsid w:val="00DA7AF1"/>
    <w:rsid w:val="00DA7C2F"/>
    <w:rsid w:val="00DA7E48"/>
    <w:rsid w:val="00DB0715"/>
    <w:rsid w:val="00DB0727"/>
    <w:rsid w:val="00DB08DA"/>
    <w:rsid w:val="00DB0986"/>
    <w:rsid w:val="00DB09D9"/>
    <w:rsid w:val="00DB15E8"/>
    <w:rsid w:val="00DB17EC"/>
    <w:rsid w:val="00DB1ABF"/>
    <w:rsid w:val="00DB1BF8"/>
    <w:rsid w:val="00DB1F64"/>
    <w:rsid w:val="00DB22FF"/>
    <w:rsid w:val="00DB27D3"/>
    <w:rsid w:val="00DB2BD5"/>
    <w:rsid w:val="00DB2DDF"/>
    <w:rsid w:val="00DB2E21"/>
    <w:rsid w:val="00DB305F"/>
    <w:rsid w:val="00DB3103"/>
    <w:rsid w:val="00DB32BF"/>
    <w:rsid w:val="00DB3674"/>
    <w:rsid w:val="00DB3754"/>
    <w:rsid w:val="00DB3780"/>
    <w:rsid w:val="00DB393B"/>
    <w:rsid w:val="00DB3A01"/>
    <w:rsid w:val="00DB4083"/>
    <w:rsid w:val="00DB4249"/>
    <w:rsid w:val="00DB4C7C"/>
    <w:rsid w:val="00DB4F93"/>
    <w:rsid w:val="00DB555B"/>
    <w:rsid w:val="00DB5741"/>
    <w:rsid w:val="00DB575B"/>
    <w:rsid w:val="00DB59AE"/>
    <w:rsid w:val="00DB5AE5"/>
    <w:rsid w:val="00DB5AEA"/>
    <w:rsid w:val="00DB5CFD"/>
    <w:rsid w:val="00DB5D15"/>
    <w:rsid w:val="00DB5DBD"/>
    <w:rsid w:val="00DB5E96"/>
    <w:rsid w:val="00DB5FD1"/>
    <w:rsid w:val="00DB6D22"/>
    <w:rsid w:val="00DB721C"/>
    <w:rsid w:val="00DB7528"/>
    <w:rsid w:val="00DB7944"/>
    <w:rsid w:val="00DB7CC7"/>
    <w:rsid w:val="00DB7D8B"/>
    <w:rsid w:val="00DB7F02"/>
    <w:rsid w:val="00DB7F09"/>
    <w:rsid w:val="00DC00E8"/>
    <w:rsid w:val="00DC03BF"/>
    <w:rsid w:val="00DC04CF"/>
    <w:rsid w:val="00DC070D"/>
    <w:rsid w:val="00DC07FE"/>
    <w:rsid w:val="00DC0A52"/>
    <w:rsid w:val="00DC0B38"/>
    <w:rsid w:val="00DC0D66"/>
    <w:rsid w:val="00DC1100"/>
    <w:rsid w:val="00DC1235"/>
    <w:rsid w:val="00DC150C"/>
    <w:rsid w:val="00DC16AA"/>
    <w:rsid w:val="00DC1A79"/>
    <w:rsid w:val="00DC1B8B"/>
    <w:rsid w:val="00DC1BE0"/>
    <w:rsid w:val="00DC1C56"/>
    <w:rsid w:val="00DC1DC7"/>
    <w:rsid w:val="00DC1E0A"/>
    <w:rsid w:val="00DC1E1A"/>
    <w:rsid w:val="00DC1E1B"/>
    <w:rsid w:val="00DC2336"/>
    <w:rsid w:val="00DC2358"/>
    <w:rsid w:val="00DC281A"/>
    <w:rsid w:val="00DC2858"/>
    <w:rsid w:val="00DC2906"/>
    <w:rsid w:val="00DC2B0F"/>
    <w:rsid w:val="00DC2C13"/>
    <w:rsid w:val="00DC2CC5"/>
    <w:rsid w:val="00DC31B4"/>
    <w:rsid w:val="00DC31F7"/>
    <w:rsid w:val="00DC3430"/>
    <w:rsid w:val="00DC35E2"/>
    <w:rsid w:val="00DC36DE"/>
    <w:rsid w:val="00DC3B2F"/>
    <w:rsid w:val="00DC3DCE"/>
    <w:rsid w:val="00DC4723"/>
    <w:rsid w:val="00DC4756"/>
    <w:rsid w:val="00DC53EF"/>
    <w:rsid w:val="00DC5460"/>
    <w:rsid w:val="00DC5AA2"/>
    <w:rsid w:val="00DC5BC1"/>
    <w:rsid w:val="00DC6379"/>
    <w:rsid w:val="00DC6B04"/>
    <w:rsid w:val="00DC6F8F"/>
    <w:rsid w:val="00DC70BE"/>
    <w:rsid w:val="00DC72AD"/>
    <w:rsid w:val="00DC742F"/>
    <w:rsid w:val="00DC7544"/>
    <w:rsid w:val="00DC7675"/>
    <w:rsid w:val="00DC7A82"/>
    <w:rsid w:val="00DC7B3A"/>
    <w:rsid w:val="00DD0101"/>
    <w:rsid w:val="00DD06FC"/>
    <w:rsid w:val="00DD0906"/>
    <w:rsid w:val="00DD0DD7"/>
    <w:rsid w:val="00DD12BE"/>
    <w:rsid w:val="00DD1D69"/>
    <w:rsid w:val="00DD228C"/>
    <w:rsid w:val="00DD22D0"/>
    <w:rsid w:val="00DD2435"/>
    <w:rsid w:val="00DD28F9"/>
    <w:rsid w:val="00DD2A58"/>
    <w:rsid w:val="00DD2AF1"/>
    <w:rsid w:val="00DD2DE1"/>
    <w:rsid w:val="00DD356B"/>
    <w:rsid w:val="00DD3998"/>
    <w:rsid w:val="00DD3A5C"/>
    <w:rsid w:val="00DD3CDD"/>
    <w:rsid w:val="00DD45A3"/>
    <w:rsid w:val="00DD4623"/>
    <w:rsid w:val="00DD4AA0"/>
    <w:rsid w:val="00DD4D12"/>
    <w:rsid w:val="00DD54AF"/>
    <w:rsid w:val="00DD5586"/>
    <w:rsid w:val="00DD5771"/>
    <w:rsid w:val="00DD57C7"/>
    <w:rsid w:val="00DD581B"/>
    <w:rsid w:val="00DD59C2"/>
    <w:rsid w:val="00DD5F97"/>
    <w:rsid w:val="00DD648A"/>
    <w:rsid w:val="00DD6A12"/>
    <w:rsid w:val="00DD71ED"/>
    <w:rsid w:val="00DD7265"/>
    <w:rsid w:val="00DD760E"/>
    <w:rsid w:val="00DD767F"/>
    <w:rsid w:val="00DD778E"/>
    <w:rsid w:val="00DD7AAC"/>
    <w:rsid w:val="00DD7C60"/>
    <w:rsid w:val="00DE0091"/>
    <w:rsid w:val="00DE0145"/>
    <w:rsid w:val="00DE01A7"/>
    <w:rsid w:val="00DE0431"/>
    <w:rsid w:val="00DE0774"/>
    <w:rsid w:val="00DE08FF"/>
    <w:rsid w:val="00DE10EE"/>
    <w:rsid w:val="00DE112A"/>
    <w:rsid w:val="00DE116F"/>
    <w:rsid w:val="00DE13B2"/>
    <w:rsid w:val="00DE14DF"/>
    <w:rsid w:val="00DE15F8"/>
    <w:rsid w:val="00DE1829"/>
    <w:rsid w:val="00DE1AE4"/>
    <w:rsid w:val="00DE1B97"/>
    <w:rsid w:val="00DE1EF0"/>
    <w:rsid w:val="00DE253F"/>
    <w:rsid w:val="00DE265E"/>
    <w:rsid w:val="00DE2DAA"/>
    <w:rsid w:val="00DE344F"/>
    <w:rsid w:val="00DE37B8"/>
    <w:rsid w:val="00DE3C77"/>
    <w:rsid w:val="00DE49D8"/>
    <w:rsid w:val="00DE4AF9"/>
    <w:rsid w:val="00DE4B60"/>
    <w:rsid w:val="00DE4F6F"/>
    <w:rsid w:val="00DE5017"/>
    <w:rsid w:val="00DE5333"/>
    <w:rsid w:val="00DE550A"/>
    <w:rsid w:val="00DE5795"/>
    <w:rsid w:val="00DE5C44"/>
    <w:rsid w:val="00DE5C63"/>
    <w:rsid w:val="00DE622B"/>
    <w:rsid w:val="00DE6293"/>
    <w:rsid w:val="00DE62BC"/>
    <w:rsid w:val="00DE6404"/>
    <w:rsid w:val="00DE65F7"/>
    <w:rsid w:val="00DE6FD8"/>
    <w:rsid w:val="00DE7624"/>
    <w:rsid w:val="00DE7862"/>
    <w:rsid w:val="00DE7A35"/>
    <w:rsid w:val="00DE7C8D"/>
    <w:rsid w:val="00DE7D46"/>
    <w:rsid w:val="00DF00D8"/>
    <w:rsid w:val="00DF00FA"/>
    <w:rsid w:val="00DF0125"/>
    <w:rsid w:val="00DF060B"/>
    <w:rsid w:val="00DF137C"/>
    <w:rsid w:val="00DF18B0"/>
    <w:rsid w:val="00DF1AF7"/>
    <w:rsid w:val="00DF1EEE"/>
    <w:rsid w:val="00DF1F00"/>
    <w:rsid w:val="00DF2160"/>
    <w:rsid w:val="00DF2411"/>
    <w:rsid w:val="00DF2AEC"/>
    <w:rsid w:val="00DF2CFB"/>
    <w:rsid w:val="00DF2E1C"/>
    <w:rsid w:val="00DF3A74"/>
    <w:rsid w:val="00DF3DCC"/>
    <w:rsid w:val="00DF42D5"/>
    <w:rsid w:val="00DF440D"/>
    <w:rsid w:val="00DF4CCB"/>
    <w:rsid w:val="00DF4D80"/>
    <w:rsid w:val="00DF53FB"/>
    <w:rsid w:val="00DF560C"/>
    <w:rsid w:val="00DF5699"/>
    <w:rsid w:val="00DF57B8"/>
    <w:rsid w:val="00DF5908"/>
    <w:rsid w:val="00DF5CAC"/>
    <w:rsid w:val="00DF5E0C"/>
    <w:rsid w:val="00DF6000"/>
    <w:rsid w:val="00DF6E44"/>
    <w:rsid w:val="00DF6F61"/>
    <w:rsid w:val="00DF7935"/>
    <w:rsid w:val="00DF7A47"/>
    <w:rsid w:val="00DF7DAD"/>
    <w:rsid w:val="00DF7DC7"/>
    <w:rsid w:val="00E00099"/>
    <w:rsid w:val="00E00132"/>
    <w:rsid w:val="00E0051B"/>
    <w:rsid w:val="00E008FC"/>
    <w:rsid w:val="00E01342"/>
    <w:rsid w:val="00E02127"/>
    <w:rsid w:val="00E02819"/>
    <w:rsid w:val="00E02F61"/>
    <w:rsid w:val="00E031B7"/>
    <w:rsid w:val="00E03403"/>
    <w:rsid w:val="00E037B0"/>
    <w:rsid w:val="00E038A4"/>
    <w:rsid w:val="00E039B0"/>
    <w:rsid w:val="00E03A22"/>
    <w:rsid w:val="00E03BFB"/>
    <w:rsid w:val="00E03BFD"/>
    <w:rsid w:val="00E03D29"/>
    <w:rsid w:val="00E03FC3"/>
    <w:rsid w:val="00E040E4"/>
    <w:rsid w:val="00E043F6"/>
    <w:rsid w:val="00E0476B"/>
    <w:rsid w:val="00E0480A"/>
    <w:rsid w:val="00E054CD"/>
    <w:rsid w:val="00E05828"/>
    <w:rsid w:val="00E05C36"/>
    <w:rsid w:val="00E05DD1"/>
    <w:rsid w:val="00E06618"/>
    <w:rsid w:val="00E06666"/>
    <w:rsid w:val="00E06951"/>
    <w:rsid w:val="00E06ACA"/>
    <w:rsid w:val="00E06C49"/>
    <w:rsid w:val="00E0712E"/>
    <w:rsid w:val="00E07354"/>
    <w:rsid w:val="00E073E4"/>
    <w:rsid w:val="00E0763A"/>
    <w:rsid w:val="00E07814"/>
    <w:rsid w:val="00E07942"/>
    <w:rsid w:val="00E079A7"/>
    <w:rsid w:val="00E07B2A"/>
    <w:rsid w:val="00E07B3F"/>
    <w:rsid w:val="00E07D3A"/>
    <w:rsid w:val="00E07ED2"/>
    <w:rsid w:val="00E101C6"/>
    <w:rsid w:val="00E109EE"/>
    <w:rsid w:val="00E10A64"/>
    <w:rsid w:val="00E10B09"/>
    <w:rsid w:val="00E10D23"/>
    <w:rsid w:val="00E10DD2"/>
    <w:rsid w:val="00E110D7"/>
    <w:rsid w:val="00E110D9"/>
    <w:rsid w:val="00E1156E"/>
    <w:rsid w:val="00E11666"/>
    <w:rsid w:val="00E118CB"/>
    <w:rsid w:val="00E11A3A"/>
    <w:rsid w:val="00E11D1B"/>
    <w:rsid w:val="00E121D4"/>
    <w:rsid w:val="00E1284A"/>
    <w:rsid w:val="00E1284B"/>
    <w:rsid w:val="00E128A9"/>
    <w:rsid w:val="00E134A9"/>
    <w:rsid w:val="00E136C7"/>
    <w:rsid w:val="00E13A7B"/>
    <w:rsid w:val="00E13ACD"/>
    <w:rsid w:val="00E13B19"/>
    <w:rsid w:val="00E13B5E"/>
    <w:rsid w:val="00E13E59"/>
    <w:rsid w:val="00E1404C"/>
    <w:rsid w:val="00E14135"/>
    <w:rsid w:val="00E14184"/>
    <w:rsid w:val="00E142E7"/>
    <w:rsid w:val="00E1433A"/>
    <w:rsid w:val="00E14C5E"/>
    <w:rsid w:val="00E14D71"/>
    <w:rsid w:val="00E14D9E"/>
    <w:rsid w:val="00E15427"/>
    <w:rsid w:val="00E15509"/>
    <w:rsid w:val="00E1555C"/>
    <w:rsid w:val="00E15A5B"/>
    <w:rsid w:val="00E15CB6"/>
    <w:rsid w:val="00E15D17"/>
    <w:rsid w:val="00E15DC7"/>
    <w:rsid w:val="00E162F8"/>
    <w:rsid w:val="00E164FA"/>
    <w:rsid w:val="00E16AC0"/>
    <w:rsid w:val="00E16CFF"/>
    <w:rsid w:val="00E17078"/>
    <w:rsid w:val="00E17172"/>
    <w:rsid w:val="00E17620"/>
    <w:rsid w:val="00E17791"/>
    <w:rsid w:val="00E1786E"/>
    <w:rsid w:val="00E1790E"/>
    <w:rsid w:val="00E17A9D"/>
    <w:rsid w:val="00E17B79"/>
    <w:rsid w:val="00E2093F"/>
    <w:rsid w:val="00E20BD1"/>
    <w:rsid w:val="00E20C29"/>
    <w:rsid w:val="00E20E01"/>
    <w:rsid w:val="00E20E16"/>
    <w:rsid w:val="00E21151"/>
    <w:rsid w:val="00E2174F"/>
    <w:rsid w:val="00E2175B"/>
    <w:rsid w:val="00E21E89"/>
    <w:rsid w:val="00E21F0F"/>
    <w:rsid w:val="00E22633"/>
    <w:rsid w:val="00E22D51"/>
    <w:rsid w:val="00E23194"/>
    <w:rsid w:val="00E233A5"/>
    <w:rsid w:val="00E23493"/>
    <w:rsid w:val="00E239A2"/>
    <w:rsid w:val="00E23F1B"/>
    <w:rsid w:val="00E2463E"/>
    <w:rsid w:val="00E2484C"/>
    <w:rsid w:val="00E248C0"/>
    <w:rsid w:val="00E252DF"/>
    <w:rsid w:val="00E25317"/>
    <w:rsid w:val="00E2541C"/>
    <w:rsid w:val="00E25499"/>
    <w:rsid w:val="00E255F7"/>
    <w:rsid w:val="00E2571B"/>
    <w:rsid w:val="00E257A3"/>
    <w:rsid w:val="00E257FC"/>
    <w:rsid w:val="00E258DC"/>
    <w:rsid w:val="00E25D14"/>
    <w:rsid w:val="00E2603F"/>
    <w:rsid w:val="00E26114"/>
    <w:rsid w:val="00E26244"/>
    <w:rsid w:val="00E26617"/>
    <w:rsid w:val="00E266E1"/>
    <w:rsid w:val="00E2689F"/>
    <w:rsid w:val="00E26AAA"/>
    <w:rsid w:val="00E270B6"/>
    <w:rsid w:val="00E27614"/>
    <w:rsid w:val="00E27DE0"/>
    <w:rsid w:val="00E27DF1"/>
    <w:rsid w:val="00E27E70"/>
    <w:rsid w:val="00E305B1"/>
    <w:rsid w:val="00E30954"/>
    <w:rsid w:val="00E30A71"/>
    <w:rsid w:val="00E30B47"/>
    <w:rsid w:val="00E30D7A"/>
    <w:rsid w:val="00E31039"/>
    <w:rsid w:val="00E3152F"/>
    <w:rsid w:val="00E31959"/>
    <w:rsid w:val="00E3198D"/>
    <w:rsid w:val="00E3224E"/>
    <w:rsid w:val="00E32F91"/>
    <w:rsid w:val="00E3303A"/>
    <w:rsid w:val="00E33556"/>
    <w:rsid w:val="00E335A7"/>
    <w:rsid w:val="00E33830"/>
    <w:rsid w:val="00E339C1"/>
    <w:rsid w:val="00E33A5D"/>
    <w:rsid w:val="00E33D86"/>
    <w:rsid w:val="00E34471"/>
    <w:rsid w:val="00E34867"/>
    <w:rsid w:val="00E34975"/>
    <w:rsid w:val="00E34CC4"/>
    <w:rsid w:val="00E34F61"/>
    <w:rsid w:val="00E35023"/>
    <w:rsid w:val="00E35196"/>
    <w:rsid w:val="00E3538D"/>
    <w:rsid w:val="00E353C2"/>
    <w:rsid w:val="00E353F2"/>
    <w:rsid w:val="00E353F7"/>
    <w:rsid w:val="00E35DC1"/>
    <w:rsid w:val="00E36322"/>
    <w:rsid w:val="00E366F5"/>
    <w:rsid w:val="00E37356"/>
    <w:rsid w:val="00E377B2"/>
    <w:rsid w:val="00E37B84"/>
    <w:rsid w:val="00E37CCD"/>
    <w:rsid w:val="00E37ECB"/>
    <w:rsid w:val="00E40601"/>
    <w:rsid w:val="00E4076D"/>
    <w:rsid w:val="00E40B39"/>
    <w:rsid w:val="00E40ED8"/>
    <w:rsid w:val="00E410A8"/>
    <w:rsid w:val="00E4125F"/>
    <w:rsid w:val="00E41265"/>
    <w:rsid w:val="00E412ED"/>
    <w:rsid w:val="00E415F3"/>
    <w:rsid w:val="00E416B5"/>
    <w:rsid w:val="00E41786"/>
    <w:rsid w:val="00E4188E"/>
    <w:rsid w:val="00E41B08"/>
    <w:rsid w:val="00E41B9B"/>
    <w:rsid w:val="00E421FB"/>
    <w:rsid w:val="00E422C2"/>
    <w:rsid w:val="00E42A54"/>
    <w:rsid w:val="00E42CF9"/>
    <w:rsid w:val="00E43470"/>
    <w:rsid w:val="00E435F9"/>
    <w:rsid w:val="00E4436C"/>
    <w:rsid w:val="00E444C1"/>
    <w:rsid w:val="00E44518"/>
    <w:rsid w:val="00E44523"/>
    <w:rsid w:val="00E44555"/>
    <w:rsid w:val="00E445EA"/>
    <w:rsid w:val="00E447F4"/>
    <w:rsid w:val="00E44C24"/>
    <w:rsid w:val="00E44EF2"/>
    <w:rsid w:val="00E45222"/>
    <w:rsid w:val="00E4537B"/>
    <w:rsid w:val="00E454E4"/>
    <w:rsid w:val="00E45644"/>
    <w:rsid w:val="00E45B1A"/>
    <w:rsid w:val="00E45EBA"/>
    <w:rsid w:val="00E465B2"/>
    <w:rsid w:val="00E46E0E"/>
    <w:rsid w:val="00E47513"/>
    <w:rsid w:val="00E4761F"/>
    <w:rsid w:val="00E47629"/>
    <w:rsid w:val="00E4780D"/>
    <w:rsid w:val="00E47852"/>
    <w:rsid w:val="00E4798D"/>
    <w:rsid w:val="00E4799A"/>
    <w:rsid w:val="00E47D9C"/>
    <w:rsid w:val="00E47F7A"/>
    <w:rsid w:val="00E502D1"/>
    <w:rsid w:val="00E504C6"/>
    <w:rsid w:val="00E50C09"/>
    <w:rsid w:val="00E50C6F"/>
    <w:rsid w:val="00E50E7C"/>
    <w:rsid w:val="00E51545"/>
    <w:rsid w:val="00E516CF"/>
    <w:rsid w:val="00E51B63"/>
    <w:rsid w:val="00E51C0C"/>
    <w:rsid w:val="00E51D9E"/>
    <w:rsid w:val="00E51FC0"/>
    <w:rsid w:val="00E5245F"/>
    <w:rsid w:val="00E5279A"/>
    <w:rsid w:val="00E52CB7"/>
    <w:rsid w:val="00E530BD"/>
    <w:rsid w:val="00E5332C"/>
    <w:rsid w:val="00E53723"/>
    <w:rsid w:val="00E537D1"/>
    <w:rsid w:val="00E53B28"/>
    <w:rsid w:val="00E53D70"/>
    <w:rsid w:val="00E53E65"/>
    <w:rsid w:val="00E5405B"/>
    <w:rsid w:val="00E54BB3"/>
    <w:rsid w:val="00E54BD5"/>
    <w:rsid w:val="00E54D83"/>
    <w:rsid w:val="00E55359"/>
    <w:rsid w:val="00E55CBE"/>
    <w:rsid w:val="00E55E2E"/>
    <w:rsid w:val="00E562ED"/>
    <w:rsid w:val="00E567E6"/>
    <w:rsid w:val="00E56971"/>
    <w:rsid w:val="00E56B1F"/>
    <w:rsid w:val="00E5704F"/>
    <w:rsid w:val="00E570B1"/>
    <w:rsid w:val="00E57227"/>
    <w:rsid w:val="00E57FEB"/>
    <w:rsid w:val="00E6001A"/>
    <w:rsid w:val="00E60108"/>
    <w:rsid w:val="00E60337"/>
    <w:rsid w:val="00E608F9"/>
    <w:rsid w:val="00E61484"/>
    <w:rsid w:val="00E6158E"/>
    <w:rsid w:val="00E61757"/>
    <w:rsid w:val="00E61B81"/>
    <w:rsid w:val="00E61ECF"/>
    <w:rsid w:val="00E61FD0"/>
    <w:rsid w:val="00E62AD4"/>
    <w:rsid w:val="00E62CBF"/>
    <w:rsid w:val="00E62FBD"/>
    <w:rsid w:val="00E630EB"/>
    <w:rsid w:val="00E630ED"/>
    <w:rsid w:val="00E631F1"/>
    <w:rsid w:val="00E6339E"/>
    <w:rsid w:val="00E6396F"/>
    <w:rsid w:val="00E639C8"/>
    <w:rsid w:val="00E64038"/>
    <w:rsid w:val="00E644FC"/>
    <w:rsid w:val="00E64AEA"/>
    <w:rsid w:val="00E65793"/>
    <w:rsid w:val="00E65A35"/>
    <w:rsid w:val="00E66690"/>
    <w:rsid w:val="00E679DE"/>
    <w:rsid w:val="00E67AA9"/>
    <w:rsid w:val="00E67CFF"/>
    <w:rsid w:val="00E7043F"/>
    <w:rsid w:val="00E708AC"/>
    <w:rsid w:val="00E70D50"/>
    <w:rsid w:val="00E71058"/>
    <w:rsid w:val="00E711D7"/>
    <w:rsid w:val="00E71483"/>
    <w:rsid w:val="00E71704"/>
    <w:rsid w:val="00E71858"/>
    <w:rsid w:val="00E719DA"/>
    <w:rsid w:val="00E71AEE"/>
    <w:rsid w:val="00E71B46"/>
    <w:rsid w:val="00E71BF5"/>
    <w:rsid w:val="00E71CC7"/>
    <w:rsid w:val="00E71CF2"/>
    <w:rsid w:val="00E71DEE"/>
    <w:rsid w:val="00E71E7D"/>
    <w:rsid w:val="00E71F4E"/>
    <w:rsid w:val="00E71F85"/>
    <w:rsid w:val="00E72041"/>
    <w:rsid w:val="00E720D7"/>
    <w:rsid w:val="00E723F0"/>
    <w:rsid w:val="00E72527"/>
    <w:rsid w:val="00E72552"/>
    <w:rsid w:val="00E72630"/>
    <w:rsid w:val="00E7266F"/>
    <w:rsid w:val="00E72B33"/>
    <w:rsid w:val="00E72F6A"/>
    <w:rsid w:val="00E73064"/>
    <w:rsid w:val="00E73208"/>
    <w:rsid w:val="00E73290"/>
    <w:rsid w:val="00E73362"/>
    <w:rsid w:val="00E736F1"/>
    <w:rsid w:val="00E7398F"/>
    <w:rsid w:val="00E73BF6"/>
    <w:rsid w:val="00E744D2"/>
    <w:rsid w:val="00E7457E"/>
    <w:rsid w:val="00E74627"/>
    <w:rsid w:val="00E74A34"/>
    <w:rsid w:val="00E74BC3"/>
    <w:rsid w:val="00E74DE3"/>
    <w:rsid w:val="00E752C6"/>
    <w:rsid w:val="00E75757"/>
    <w:rsid w:val="00E7638E"/>
    <w:rsid w:val="00E763CC"/>
    <w:rsid w:val="00E76C76"/>
    <w:rsid w:val="00E771FE"/>
    <w:rsid w:val="00E772AE"/>
    <w:rsid w:val="00E772F4"/>
    <w:rsid w:val="00E774D6"/>
    <w:rsid w:val="00E77CB9"/>
    <w:rsid w:val="00E77E94"/>
    <w:rsid w:val="00E8013A"/>
    <w:rsid w:val="00E80E2F"/>
    <w:rsid w:val="00E80E8B"/>
    <w:rsid w:val="00E810D1"/>
    <w:rsid w:val="00E815E1"/>
    <w:rsid w:val="00E81801"/>
    <w:rsid w:val="00E8211F"/>
    <w:rsid w:val="00E82437"/>
    <w:rsid w:val="00E82461"/>
    <w:rsid w:val="00E826F8"/>
    <w:rsid w:val="00E827B9"/>
    <w:rsid w:val="00E82818"/>
    <w:rsid w:val="00E829DF"/>
    <w:rsid w:val="00E83138"/>
    <w:rsid w:val="00E8360D"/>
    <w:rsid w:val="00E83730"/>
    <w:rsid w:val="00E83E45"/>
    <w:rsid w:val="00E84553"/>
    <w:rsid w:val="00E84900"/>
    <w:rsid w:val="00E84969"/>
    <w:rsid w:val="00E84C48"/>
    <w:rsid w:val="00E84FDB"/>
    <w:rsid w:val="00E850A4"/>
    <w:rsid w:val="00E8551A"/>
    <w:rsid w:val="00E85B77"/>
    <w:rsid w:val="00E86287"/>
    <w:rsid w:val="00E864DF"/>
    <w:rsid w:val="00E8669F"/>
    <w:rsid w:val="00E86952"/>
    <w:rsid w:val="00E869BD"/>
    <w:rsid w:val="00E875B7"/>
    <w:rsid w:val="00E87610"/>
    <w:rsid w:val="00E87731"/>
    <w:rsid w:val="00E87A0D"/>
    <w:rsid w:val="00E87C87"/>
    <w:rsid w:val="00E87E01"/>
    <w:rsid w:val="00E9025C"/>
    <w:rsid w:val="00E902B0"/>
    <w:rsid w:val="00E902E8"/>
    <w:rsid w:val="00E909F2"/>
    <w:rsid w:val="00E90CF9"/>
    <w:rsid w:val="00E90ED4"/>
    <w:rsid w:val="00E91496"/>
    <w:rsid w:val="00E91542"/>
    <w:rsid w:val="00E9174C"/>
    <w:rsid w:val="00E917CC"/>
    <w:rsid w:val="00E91B1B"/>
    <w:rsid w:val="00E91EE5"/>
    <w:rsid w:val="00E92087"/>
    <w:rsid w:val="00E9213E"/>
    <w:rsid w:val="00E92985"/>
    <w:rsid w:val="00E92E39"/>
    <w:rsid w:val="00E930D6"/>
    <w:rsid w:val="00E9356F"/>
    <w:rsid w:val="00E93743"/>
    <w:rsid w:val="00E9378D"/>
    <w:rsid w:val="00E94376"/>
    <w:rsid w:val="00E943C7"/>
    <w:rsid w:val="00E94A06"/>
    <w:rsid w:val="00E94AFD"/>
    <w:rsid w:val="00E94C11"/>
    <w:rsid w:val="00E94EDD"/>
    <w:rsid w:val="00E94F28"/>
    <w:rsid w:val="00E9511A"/>
    <w:rsid w:val="00E9543D"/>
    <w:rsid w:val="00E9562A"/>
    <w:rsid w:val="00E95D3D"/>
    <w:rsid w:val="00E95FA5"/>
    <w:rsid w:val="00E9641F"/>
    <w:rsid w:val="00E964C9"/>
    <w:rsid w:val="00E964E1"/>
    <w:rsid w:val="00E965A0"/>
    <w:rsid w:val="00E96A04"/>
    <w:rsid w:val="00E96B28"/>
    <w:rsid w:val="00E96BC7"/>
    <w:rsid w:val="00E96E08"/>
    <w:rsid w:val="00E975AA"/>
    <w:rsid w:val="00E97612"/>
    <w:rsid w:val="00E97690"/>
    <w:rsid w:val="00E978BF"/>
    <w:rsid w:val="00E97A18"/>
    <w:rsid w:val="00E97F49"/>
    <w:rsid w:val="00EA0105"/>
    <w:rsid w:val="00EA0624"/>
    <w:rsid w:val="00EA0A85"/>
    <w:rsid w:val="00EA1005"/>
    <w:rsid w:val="00EA1256"/>
    <w:rsid w:val="00EA12FA"/>
    <w:rsid w:val="00EA14CE"/>
    <w:rsid w:val="00EA1668"/>
    <w:rsid w:val="00EA1AE0"/>
    <w:rsid w:val="00EA1AFD"/>
    <w:rsid w:val="00EA1BE3"/>
    <w:rsid w:val="00EA2189"/>
    <w:rsid w:val="00EA21EB"/>
    <w:rsid w:val="00EA23AC"/>
    <w:rsid w:val="00EA24FC"/>
    <w:rsid w:val="00EA2814"/>
    <w:rsid w:val="00EA2D8D"/>
    <w:rsid w:val="00EA2DA9"/>
    <w:rsid w:val="00EA30E4"/>
    <w:rsid w:val="00EA3199"/>
    <w:rsid w:val="00EA367A"/>
    <w:rsid w:val="00EA3905"/>
    <w:rsid w:val="00EA394C"/>
    <w:rsid w:val="00EA39D8"/>
    <w:rsid w:val="00EA3C06"/>
    <w:rsid w:val="00EA3F73"/>
    <w:rsid w:val="00EA4089"/>
    <w:rsid w:val="00EA42DD"/>
    <w:rsid w:val="00EA43AC"/>
    <w:rsid w:val="00EA452C"/>
    <w:rsid w:val="00EA467C"/>
    <w:rsid w:val="00EA4AA1"/>
    <w:rsid w:val="00EA4B38"/>
    <w:rsid w:val="00EA4DBA"/>
    <w:rsid w:val="00EA4DE6"/>
    <w:rsid w:val="00EA4F05"/>
    <w:rsid w:val="00EA5A84"/>
    <w:rsid w:val="00EA6666"/>
    <w:rsid w:val="00EA6AD9"/>
    <w:rsid w:val="00EA6CF6"/>
    <w:rsid w:val="00EA763B"/>
    <w:rsid w:val="00EA7A3A"/>
    <w:rsid w:val="00EA7BF4"/>
    <w:rsid w:val="00EA7C3D"/>
    <w:rsid w:val="00EA7EB3"/>
    <w:rsid w:val="00EB0032"/>
    <w:rsid w:val="00EB0097"/>
    <w:rsid w:val="00EB0129"/>
    <w:rsid w:val="00EB0385"/>
    <w:rsid w:val="00EB06D5"/>
    <w:rsid w:val="00EB1322"/>
    <w:rsid w:val="00EB184B"/>
    <w:rsid w:val="00EB19E1"/>
    <w:rsid w:val="00EB1AB4"/>
    <w:rsid w:val="00EB1C07"/>
    <w:rsid w:val="00EB1CF6"/>
    <w:rsid w:val="00EB222D"/>
    <w:rsid w:val="00EB239D"/>
    <w:rsid w:val="00EB2946"/>
    <w:rsid w:val="00EB2BAF"/>
    <w:rsid w:val="00EB304B"/>
    <w:rsid w:val="00EB3077"/>
    <w:rsid w:val="00EB316D"/>
    <w:rsid w:val="00EB3423"/>
    <w:rsid w:val="00EB38A3"/>
    <w:rsid w:val="00EB392B"/>
    <w:rsid w:val="00EB39FB"/>
    <w:rsid w:val="00EB3D8C"/>
    <w:rsid w:val="00EB4012"/>
    <w:rsid w:val="00EB4372"/>
    <w:rsid w:val="00EB4395"/>
    <w:rsid w:val="00EB43DE"/>
    <w:rsid w:val="00EB460D"/>
    <w:rsid w:val="00EB4E10"/>
    <w:rsid w:val="00EB56B6"/>
    <w:rsid w:val="00EB587F"/>
    <w:rsid w:val="00EB58F9"/>
    <w:rsid w:val="00EB5AB2"/>
    <w:rsid w:val="00EB5C63"/>
    <w:rsid w:val="00EB5E1E"/>
    <w:rsid w:val="00EB6854"/>
    <w:rsid w:val="00EB6878"/>
    <w:rsid w:val="00EB6956"/>
    <w:rsid w:val="00EB6B04"/>
    <w:rsid w:val="00EB6FFD"/>
    <w:rsid w:val="00EB74C2"/>
    <w:rsid w:val="00EB7A00"/>
    <w:rsid w:val="00EB7D0B"/>
    <w:rsid w:val="00EC033C"/>
    <w:rsid w:val="00EC0362"/>
    <w:rsid w:val="00EC0391"/>
    <w:rsid w:val="00EC07C0"/>
    <w:rsid w:val="00EC0858"/>
    <w:rsid w:val="00EC0D33"/>
    <w:rsid w:val="00EC0F21"/>
    <w:rsid w:val="00EC0FF0"/>
    <w:rsid w:val="00EC126D"/>
    <w:rsid w:val="00EC14E4"/>
    <w:rsid w:val="00EC1BE5"/>
    <w:rsid w:val="00EC1E0E"/>
    <w:rsid w:val="00EC1E22"/>
    <w:rsid w:val="00EC236D"/>
    <w:rsid w:val="00EC24B8"/>
    <w:rsid w:val="00EC2904"/>
    <w:rsid w:val="00EC29FB"/>
    <w:rsid w:val="00EC2BD1"/>
    <w:rsid w:val="00EC375D"/>
    <w:rsid w:val="00EC3999"/>
    <w:rsid w:val="00EC39FC"/>
    <w:rsid w:val="00EC3B0C"/>
    <w:rsid w:val="00EC3D03"/>
    <w:rsid w:val="00EC41CB"/>
    <w:rsid w:val="00EC41E5"/>
    <w:rsid w:val="00EC4562"/>
    <w:rsid w:val="00EC461D"/>
    <w:rsid w:val="00EC48A8"/>
    <w:rsid w:val="00EC48DD"/>
    <w:rsid w:val="00EC496B"/>
    <w:rsid w:val="00EC4E8E"/>
    <w:rsid w:val="00EC4F96"/>
    <w:rsid w:val="00EC541F"/>
    <w:rsid w:val="00EC59C8"/>
    <w:rsid w:val="00EC5C2F"/>
    <w:rsid w:val="00EC6160"/>
    <w:rsid w:val="00EC6707"/>
    <w:rsid w:val="00EC6781"/>
    <w:rsid w:val="00EC6934"/>
    <w:rsid w:val="00EC6B16"/>
    <w:rsid w:val="00EC716F"/>
    <w:rsid w:val="00EC72DC"/>
    <w:rsid w:val="00EC74E7"/>
    <w:rsid w:val="00EC7BD8"/>
    <w:rsid w:val="00EC7E52"/>
    <w:rsid w:val="00EC7EB5"/>
    <w:rsid w:val="00ED01EF"/>
    <w:rsid w:val="00ED045F"/>
    <w:rsid w:val="00ED0476"/>
    <w:rsid w:val="00ED0AD8"/>
    <w:rsid w:val="00ED0E32"/>
    <w:rsid w:val="00ED0FF7"/>
    <w:rsid w:val="00ED12B0"/>
    <w:rsid w:val="00ED14AF"/>
    <w:rsid w:val="00ED1747"/>
    <w:rsid w:val="00ED1CD2"/>
    <w:rsid w:val="00ED1DDC"/>
    <w:rsid w:val="00ED1EF3"/>
    <w:rsid w:val="00ED22FC"/>
    <w:rsid w:val="00ED28D9"/>
    <w:rsid w:val="00ED2926"/>
    <w:rsid w:val="00ED2AC5"/>
    <w:rsid w:val="00ED2D6C"/>
    <w:rsid w:val="00ED3590"/>
    <w:rsid w:val="00ED3C06"/>
    <w:rsid w:val="00ED3E2D"/>
    <w:rsid w:val="00ED48C9"/>
    <w:rsid w:val="00ED52F9"/>
    <w:rsid w:val="00ED56C0"/>
    <w:rsid w:val="00ED5B0B"/>
    <w:rsid w:val="00ED620C"/>
    <w:rsid w:val="00ED65A9"/>
    <w:rsid w:val="00ED685F"/>
    <w:rsid w:val="00ED6B30"/>
    <w:rsid w:val="00ED776F"/>
    <w:rsid w:val="00ED7B97"/>
    <w:rsid w:val="00EE0200"/>
    <w:rsid w:val="00EE0458"/>
    <w:rsid w:val="00EE0790"/>
    <w:rsid w:val="00EE0C77"/>
    <w:rsid w:val="00EE0E07"/>
    <w:rsid w:val="00EE0F0A"/>
    <w:rsid w:val="00EE0FA9"/>
    <w:rsid w:val="00EE102C"/>
    <w:rsid w:val="00EE1170"/>
    <w:rsid w:val="00EE1447"/>
    <w:rsid w:val="00EE174E"/>
    <w:rsid w:val="00EE1A15"/>
    <w:rsid w:val="00EE1C49"/>
    <w:rsid w:val="00EE1C7E"/>
    <w:rsid w:val="00EE1DD3"/>
    <w:rsid w:val="00EE1EBC"/>
    <w:rsid w:val="00EE25B5"/>
    <w:rsid w:val="00EE25EC"/>
    <w:rsid w:val="00EE2CE9"/>
    <w:rsid w:val="00EE2E03"/>
    <w:rsid w:val="00EE30E6"/>
    <w:rsid w:val="00EE3106"/>
    <w:rsid w:val="00EE390C"/>
    <w:rsid w:val="00EE3A46"/>
    <w:rsid w:val="00EE3B70"/>
    <w:rsid w:val="00EE3C38"/>
    <w:rsid w:val="00EE3DE5"/>
    <w:rsid w:val="00EE3E8C"/>
    <w:rsid w:val="00EE4211"/>
    <w:rsid w:val="00EE4343"/>
    <w:rsid w:val="00EE4566"/>
    <w:rsid w:val="00EE469A"/>
    <w:rsid w:val="00EE4B48"/>
    <w:rsid w:val="00EE5007"/>
    <w:rsid w:val="00EE5033"/>
    <w:rsid w:val="00EE5162"/>
    <w:rsid w:val="00EE52AE"/>
    <w:rsid w:val="00EE530A"/>
    <w:rsid w:val="00EE53F3"/>
    <w:rsid w:val="00EE5A90"/>
    <w:rsid w:val="00EE5D34"/>
    <w:rsid w:val="00EE5E28"/>
    <w:rsid w:val="00EE5EDF"/>
    <w:rsid w:val="00EE5F96"/>
    <w:rsid w:val="00EE6003"/>
    <w:rsid w:val="00EE61C3"/>
    <w:rsid w:val="00EE69CC"/>
    <w:rsid w:val="00EE6AAE"/>
    <w:rsid w:val="00EE6EB4"/>
    <w:rsid w:val="00EE719E"/>
    <w:rsid w:val="00EE72E9"/>
    <w:rsid w:val="00EE7301"/>
    <w:rsid w:val="00EE7439"/>
    <w:rsid w:val="00EE7568"/>
    <w:rsid w:val="00EE7C56"/>
    <w:rsid w:val="00EE7CA0"/>
    <w:rsid w:val="00EE7D00"/>
    <w:rsid w:val="00EF013C"/>
    <w:rsid w:val="00EF04A9"/>
    <w:rsid w:val="00EF04EC"/>
    <w:rsid w:val="00EF085A"/>
    <w:rsid w:val="00EF0B09"/>
    <w:rsid w:val="00EF0CA2"/>
    <w:rsid w:val="00EF0D11"/>
    <w:rsid w:val="00EF1242"/>
    <w:rsid w:val="00EF145E"/>
    <w:rsid w:val="00EF19FB"/>
    <w:rsid w:val="00EF1BF9"/>
    <w:rsid w:val="00EF2112"/>
    <w:rsid w:val="00EF2620"/>
    <w:rsid w:val="00EF28AD"/>
    <w:rsid w:val="00EF2A4B"/>
    <w:rsid w:val="00EF2AFF"/>
    <w:rsid w:val="00EF2BB7"/>
    <w:rsid w:val="00EF2BBB"/>
    <w:rsid w:val="00EF2CD4"/>
    <w:rsid w:val="00EF31FB"/>
    <w:rsid w:val="00EF3498"/>
    <w:rsid w:val="00EF3ACA"/>
    <w:rsid w:val="00EF42C0"/>
    <w:rsid w:val="00EF5085"/>
    <w:rsid w:val="00EF535E"/>
    <w:rsid w:val="00EF56EA"/>
    <w:rsid w:val="00EF5A49"/>
    <w:rsid w:val="00EF5F0D"/>
    <w:rsid w:val="00EF6867"/>
    <w:rsid w:val="00EF6B3B"/>
    <w:rsid w:val="00EF6C46"/>
    <w:rsid w:val="00EF6D5C"/>
    <w:rsid w:val="00EF72D4"/>
    <w:rsid w:val="00EF7581"/>
    <w:rsid w:val="00EF75E1"/>
    <w:rsid w:val="00EF7854"/>
    <w:rsid w:val="00EF7CF7"/>
    <w:rsid w:val="00F0037C"/>
    <w:rsid w:val="00F0082D"/>
    <w:rsid w:val="00F00F8C"/>
    <w:rsid w:val="00F013FE"/>
    <w:rsid w:val="00F015AB"/>
    <w:rsid w:val="00F01C7C"/>
    <w:rsid w:val="00F01CAE"/>
    <w:rsid w:val="00F01CF6"/>
    <w:rsid w:val="00F0243B"/>
    <w:rsid w:val="00F02555"/>
    <w:rsid w:val="00F026DE"/>
    <w:rsid w:val="00F029C9"/>
    <w:rsid w:val="00F02C52"/>
    <w:rsid w:val="00F03217"/>
    <w:rsid w:val="00F0331A"/>
    <w:rsid w:val="00F03AA3"/>
    <w:rsid w:val="00F03BBB"/>
    <w:rsid w:val="00F0420E"/>
    <w:rsid w:val="00F04316"/>
    <w:rsid w:val="00F04AAC"/>
    <w:rsid w:val="00F04ACB"/>
    <w:rsid w:val="00F04CA1"/>
    <w:rsid w:val="00F053DD"/>
    <w:rsid w:val="00F058C8"/>
    <w:rsid w:val="00F059A5"/>
    <w:rsid w:val="00F05EFD"/>
    <w:rsid w:val="00F06178"/>
    <w:rsid w:val="00F06766"/>
    <w:rsid w:val="00F0738E"/>
    <w:rsid w:val="00F074B6"/>
    <w:rsid w:val="00F07C6E"/>
    <w:rsid w:val="00F07C90"/>
    <w:rsid w:val="00F07EF6"/>
    <w:rsid w:val="00F07FBC"/>
    <w:rsid w:val="00F10627"/>
    <w:rsid w:val="00F10639"/>
    <w:rsid w:val="00F10A6A"/>
    <w:rsid w:val="00F10C07"/>
    <w:rsid w:val="00F118E8"/>
    <w:rsid w:val="00F11942"/>
    <w:rsid w:val="00F119BD"/>
    <w:rsid w:val="00F11C25"/>
    <w:rsid w:val="00F11E99"/>
    <w:rsid w:val="00F12379"/>
    <w:rsid w:val="00F12431"/>
    <w:rsid w:val="00F12636"/>
    <w:rsid w:val="00F126A1"/>
    <w:rsid w:val="00F129C9"/>
    <w:rsid w:val="00F12A63"/>
    <w:rsid w:val="00F12A7E"/>
    <w:rsid w:val="00F12C4F"/>
    <w:rsid w:val="00F12DCB"/>
    <w:rsid w:val="00F130FE"/>
    <w:rsid w:val="00F1311F"/>
    <w:rsid w:val="00F13EA0"/>
    <w:rsid w:val="00F1407B"/>
    <w:rsid w:val="00F148A8"/>
    <w:rsid w:val="00F14F70"/>
    <w:rsid w:val="00F154BD"/>
    <w:rsid w:val="00F155A9"/>
    <w:rsid w:val="00F15728"/>
    <w:rsid w:val="00F161F8"/>
    <w:rsid w:val="00F1651B"/>
    <w:rsid w:val="00F1655D"/>
    <w:rsid w:val="00F16785"/>
    <w:rsid w:val="00F17077"/>
    <w:rsid w:val="00F172E4"/>
    <w:rsid w:val="00F1742E"/>
    <w:rsid w:val="00F1761B"/>
    <w:rsid w:val="00F20125"/>
    <w:rsid w:val="00F20285"/>
    <w:rsid w:val="00F203CA"/>
    <w:rsid w:val="00F205DD"/>
    <w:rsid w:val="00F20E6D"/>
    <w:rsid w:val="00F21463"/>
    <w:rsid w:val="00F21AD0"/>
    <w:rsid w:val="00F21D7E"/>
    <w:rsid w:val="00F21F75"/>
    <w:rsid w:val="00F2210E"/>
    <w:rsid w:val="00F22468"/>
    <w:rsid w:val="00F22DDA"/>
    <w:rsid w:val="00F23241"/>
    <w:rsid w:val="00F23437"/>
    <w:rsid w:val="00F239B7"/>
    <w:rsid w:val="00F23D4B"/>
    <w:rsid w:val="00F23E70"/>
    <w:rsid w:val="00F23EA8"/>
    <w:rsid w:val="00F23F7C"/>
    <w:rsid w:val="00F240DC"/>
    <w:rsid w:val="00F242D1"/>
    <w:rsid w:val="00F243DE"/>
    <w:rsid w:val="00F24731"/>
    <w:rsid w:val="00F2495B"/>
    <w:rsid w:val="00F24D78"/>
    <w:rsid w:val="00F24EAD"/>
    <w:rsid w:val="00F24F55"/>
    <w:rsid w:val="00F255DA"/>
    <w:rsid w:val="00F25668"/>
    <w:rsid w:val="00F25C17"/>
    <w:rsid w:val="00F25F5D"/>
    <w:rsid w:val="00F2600D"/>
    <w:rsid w:val="00F26081"/>
    <w:rsid w:val="00F26846"/>
    <w:rsid w:val="00F26DB5"/>
    <w:rsid w:val="00F274AE"/>
    <w:rsid w:val="00F30084"/>
    <w:rsid w:val="00F300F4"/>
    <w:rsid w:val="00F308E0"/>
    <w:rsid w:val="00F30A38"/>
    <w:rsid w:val="00F30AA9"/>
    <w:rsid w:val="00F30CCC"/>
    <w:rsid w:val="00F30E3E"/>
    <w:rsid w:val="00F31A8E"/>
    <w:rsid w:val="00F31AA1"/>
    <w:rsid w:val="00F32BD8"/>
    <w:rsid w:val="00F33195"/>
    <w:rsid w:val="00F33202"/>
    <w:rsid w:val="00F3327C"/>
    <w:rsid w:val="00F333A6"/>
    <w:rsid w:val="00F337E0"/>
    <w:rsid w:val="00F33979"/>
    <w:rsid w:val="00F33DB8"/>
    <w:rsid w:val="00F33DC8"/>
    <w:rsid w:val="00F34418"/>
    <w:rsid w:val="00F3460B"/>
    <w:rsid w:val="00F347CB"/>
    <w:rsid w:val="00F34B39"/>
    <w:rsid w:val="00F34F1B"/>
    <w:rsid w:val="00F35219"/>
    <w:rsid w:val="00F35B99"/>
    <w:rsid w:val="00F3609B"/>
    <w:rsid w:val="00F363B9"/>
    <w:rsid w:val="00F363D6"/>
    <w:rsid w:val="00F36C72"/>
    <w:rsid w:val="00F37218"/>
    <w:rsid w:val="00F37482"/>
    <w:rsid w:val="00F375C1"/>
    <w:rsid w:val="00F37923"/>
    <w:rsid w:val="00F37945"/>
    <w:rsid w:val="00F37A75"/>
    <w:rsid w:val="00F37F95"/>
    <w:rsid w:val="00F403BC"/>
    <w:rsid w:val="00F4048B"/>
    <w:rsid w:val="00F40C79"/>
    <w:rsid w:val="00F40FF7"/>
    <w:rsid w:val="00F411BA"/>
    <w:rsid w:val="00F415B9"/>
    <w:rsid w:val="00F415CD"/>
    <w:rsid w:val="00F4168E"/>
    <w:rsid w:val="00F41DB3"/>
    <w:rsid w:val="00F42154"/>
    <w:rsid w:val="00F4291F"/>
    <w:rsid w:val="00F42B5A"/>
    <w:rsid w:val="00F42FC3"/>
    <w:rsid w:val="00F435F6"/>
    <w:rsid w:val="00F439F0"/>
    <w:rsid w:val="00F43DC8"/>
    <w:rsid w:val="00F43E6E"/>
    <w:rsid w:val="00F44032"/>
    <w:rsid w:val="00F4409C"/>
    <w:rsid w:val="00F4426C"/>
    <w:rsid w:val="00F444CD"/>
    <w:rsid w:val="00F4482D"/>
    <w:rsid w:val="00F448CF"/>
    <w:rsid w:val="00F44AFA"/>
    <w:rsid w:val="00F44C82"/>
    <w:rsid w:val="00F44DC2"/>
    <w:rsid w:val="00F45D70"/>
    <w:rsid w:val="00F46444"/>
    <w:rsid w:val="00F46449"/>
    <w:rsid w:val="00F466E8"/>
    <w:rsid w:val="00F46776"/>
    <w:rsid w:val="00F470F0"/>
    <w:rsid w:val="00F4719E"/>
    <w:rsid w:val="00F473AD"/>
    <w:rsid w:val="00F479BE"/>
    <w:rsid w:val="00F47A85"/>
    <w:rsid w:val="00F47D4C"/>
    <w:rsid w:val="00F47EAE"/>
    <w:rsid w:val="00F504AB"/>
    <w:rsid w:val="00F51290"/>
    <w:rsid w:val="00F51540"/>
    <w:rsid w:val="00F516AE"/>
    <w:rsid w:val="00F51880"/>
    <w:rsid w:val="00F518EC"/>
    <w:rsid w:val="00F52794"/>
    <w:rsid w:val="00F52DC6"/>
    <w:rsid w:val="00F53172"/>
    <w:rsid w:val="00F53CD1"/>
    <w:rsid w:val="00F54172"/>
    <w:rsid w:val="00F5448B"/>
    <w:rsid w:val="00F548A7"/>
    <w:rsid w:val="00F549C6"/>
    <w:rsid w:val="00F55181"/>
    <w:rsid w:val="00F55542"/>
    <w:rsid w:val="00F556B9"/>
    <w:rsid w:val="00F5574F"/>
    <w:rsid w:val="00F55C34"/>
    <w:rsid w:val="00F562EA"/>
    <w:rsid w:val="00F56668"/>
    <w:rsid w:val="00F56AE6"/>
    <w:rsid w:val="00F56B7D"/>
    <w:rsid w:val="00F577E4"/>
    <w:rsid w:val="00F57BED"/>
    <w:rsid w:val="00F57EF3"/>
    <w:rsid w:val="00F57FD9"/>
    <w:rsid w:val="00F57FEF"/>
    <w:rsid w:val="00F60088"/>
    <w:rsid w:val="00F60198"/>
    <w:rsid w:val="00F6046A"/>
    <w:rsid w:val="00F60923"/>
    <w:rsid w:val="00F6097D"/>
    <w:rsid w:val="00F60C95"/>
    <w:rsid w:val="00F612AF"/>
    <w:rsid w:val="00F61AF4"/>
    <w:rsid w:val="00F61B2A"/>
    <w:rsid w:val="00F61BC1"/>
    <w:rsid w:val="00F620AD"/>
    <w:rsid w:val="00F62183"/>
    <w:rsid w:val="00F6286B"/>
    <w:rsid w:val="00F629AB"/>
    <w:rsid w:val="00F62D04"/>
    <w:rsid w:val="00F632E7"/>
    <w:rsid w:val="00F63858"/>
    <w:rsid w:val="00F63EB6"/>
    <w:rsid w:val="00F64037"/>
    <w:rsid w:val="00F641F3"/>
    <w:rsid w:val="00F64511"/>
    <w:rsid w:val="00F64571"/>
    <w:rsid w:val="00F64845"/>
    <w:rsid w:val="00F64943"/>
    <w:rsid w:val="00F6495F"/>
    <w:rsid w:val="00F650E1"/>
    <w:rsid w:val="00F65142"/>
    <w:rsid w:val="00F65384"/>
    <w:rsid w:val="00F653A3"/>
    <w:rsid w:val="00F6545F"/>
    <w:rsid w:val="00F65726"/>
    <w:rsid w:val="00F65894"/>
    <w:rsid w:val="00F659F9"/>
    <w:rsid w:val="00F65C05"/>
    <w:rsid w:val="00F65C10"/>
    <w:rsid w:val="00F65C9B"/>
    <w:rsid w:val="00F66109"/>
    <w:rsid w:val="00F661AB"/>
    <w:rsid w:val="00F662A0"/>
    <w:rsid w:val="00F66402"/>
    <w:rsid w:val="00F665A9"/>
    <w:rsid w:val="00F668DD"/>
    <w:rsid w:val="00F66D99"/>
    <w:rsid w:val="00F66FE8"/>
    <w:rsid w:val="00F670E5"/>
    <w:rsid w:val="00F6789D"/>
    <w:rsid w:val="00F6798D"/>
    <w:rsid w:val="00F67A36"/>
    <w:rsid w:val="00F70754"/>
    <w:rsid w:val="00F707A9"/>
    <w:rsid w:val="00F70B36"/>
    <w:rsid w:val="00F70B88"/>
    <w:rsid w:val="00F70C41"/>
    <w:rsid w:val="00F71007"/>
    <w:rsid w:val="00F710FB"/>
    <w:rsid w:val="00F7133C"/>
    <w:rsid w:val="00F715F1"/>
    <w:rsid w:val="00F71867"/>
    <w:rsid w:val="00F71A1B"/>
    <w:rsid w:val="00F721AC"/>
    <w:rsid w:val="00F7222C"/>
    <w:rsid w:val="00F7224F"/>
    <w:rsid w:val="00F72320"/>
    <w:rsid w:val="00F7238B"/>
    <w:rsid w:val="00F72D00"/>
    <w:rsid w:val="00F73013"/>
    <w:rsid w:val="00F73102"/>
    <w:rsid w:val="00F734CC"/>
    <w:rsid w:val="00F73717"/>
    <w:rsid w:val="00F73D2F"/>
    <w:rsid w:val="00F74644"/>
    <w:rsid w:val="00F7480A"/>
    <w:rsid w:val="00F74BCF"/>
    <w:rsid w:val="00F74E6B"/>
    <w:rsid w:val="00F74E76"/>
    <w:rsid w:val="00F75342"/>
    <w:rsid w:val="00F7534B"/>
    <w:rsid w:val="00F75841"/>
    <w:rsid w:val="00F75A3C"/>
    <w:rsid w:val="00F7613A"/>
    <w:rsid w:val="00F7615B"/>
    <w:rsid w:val="00F76527"/>
    <w:rsid w:val="00F76859"/>
    <w:rsid w:val="00F769D2"/>
    <w:rsid w:val="00F769EC"/>
    <w:rsid w:val="00F76D79"/>
    <w:rsid w:val="00F76EB8"/>
    <w:rsid w:val="00F77321"/>
    <w:rsid w:val="00F77492"/>
    <w:rsid w:val="00F801F6"/>
    <w:rsid w:val="00F808C3"/>
    <w:rsid w:val="00F80BFF"/>
    <w:rsid w:val="00F80DEE"/>
    <w:rsid w:val="00F80E02"/>
    <w:rsid w:val="00F81031"/>
    <w:rsid w:val="00F81122"/>
    <w:rsid w:val="00F81303"/>
    <w:rsid w:val="00F816B1"/>
    <w:rsid w:val="00F818B2"/>
    <w:rsid w:val="00F81A53"/>
    <w:rsid w:val="00F81D09"/>
    <w:rsid w:val="00F82361"/>
    <w:rsid w:val="00F82746"/>
    <w:rsid w:val="00F82F4C"/>
    <w:rsid w:val="00F83244"/>
    <w:rsid w:val="00F83592"/>
    <w:rsid w:val="00F836F9"/>
    <w:rsid w:val="00F83965"/>
    <w:rsid w:val="00F83E0C"/>
    <w:rsid w:val="00F83F9D"/>
    <w:rsid w:val="00F845D7"/>
    <w:rsid w:val="00F8487B"/>
    <w:rsid w:val="00F8490F"/>
    <w:rsid w:val="00F84A4B"/>
    <w:rsid w:val="00F84B82"/>
    <w:rsid w:val="00F84E2B"/>
    <w:rsid w:val="00F85100"/>
    <w:rsid w:val="00F85770"/>
    <w:rsid w:val="00F85785"/>
    <w:rsid w:val="00F85AD1"/>
    <w:rsid w:val="00F85C17"/>
    <w:rsid w:val="00F85E91"/>
    <w:rsid w:val="00F85EED"/>
    <w:rsid w:val="00F85FE1"/>
    <w:rsid w:val="00F86534"/>
    <w:rsid w:val="00F866D5"/>
    <w:rsid w:val="00F8688A"/>
    <w:rsid w:val="00F869B0"/>
    <w:rsid w:val="00F872CD"/>
    <w:rsid w:val="00F8751A"/>
    <w:rsid w:val="00F8768F"/>
    <w:rsid w:val="00F87C34"/>
    <w:rsid w:val="00F900B3"/>
    <w:rsid w:val="00F90471"/>
    <w:rsid w:val="00F9059C"/>
    <w:rsid w:val="00F9074C"/>
    <w:rsid w:val="00F90AF3"/>
    <w:rsid w:val="00F915C9"/>
    <w:rsid w:val="00F91605"/>
    <w:rsid w:val="00F91997"/>
    <w:rsid w:val="00F91B6B"/>
    <w:rsid w:val="00F92279"/>
    <w:rsid w:val="00F92519"/>
    <w:rsid w:val="00F925F8"/>
    <w:rsid w:val="00F9268D"/>
    <w:rsid w:val="00F92CA1"/>
    <w:rsid w:val="00F93A32"/>
    <w:rsid w:val="00F93C00"/>
    <w:rsid w:val="00F93ECA"/>
    <w:rsid w:val="00F93ED0"/>
    <w:rsid w:val="00F93FD0"/>
    <w:rsid w:val="00F94876"/>
    <w:rsid w:val="00F948F1"/>
    <w:rsid w:val="00F94B2C"/>
    <w:rsid w:val="00F94B35"/>
    <w:rsid w:val="00F95A34"/>
    <w:rsid w:val="00F95C74"/>
    <w:rsid w:val="00F95DD0"/>
    <w:rsid w:val="00F96438"/>
    <w:rsid w:val="00F9655C"/>
    <w:rsid w:val="00F9656A"/>
    <w:rsid w:val="00F9658B"/>
    <w:rsid w:val="00F96989"/>
    <w:rsid w:val="00F96ABF"/>
    <w:rsid w:val="00F96DA9"/>
    <w:rsid w:val="00F97469"/>
    <w:rsid w:val="00F974DB"/>
    <w:rsid w:val="00F9769D"/>
    <w:rsid w:val="00F97906"/>
    <w:rsid w:val="00F97B20"/>
    <w:rsid w:val="00F97D68"/>
    <w:rsid w:val="00FA0075"/>
    <w:rsid w:val="00FA02EC"/>
    <w:rsid w:val="00FA0E48"/>
    <w:rsid w:val="00FA1551"/>
    <w:rsid w:val="00FA16FE"/>
    <w:rsid w:val="00FA1DC9"/>
    <w:rsid w:val="00FA1DEE"/>
    <w:rsid w:val="00FA200E"/>
    <w:rsid w:val="00FA2285"/>
    <w:rsid w:val="00FA238B"/>
    <w:rsid w:val="00FA246A"/>
    <w:rsid w:val="00FA2896"/>
    <w:rsid w:val="00FA2940"/>
    <w:rsid w:val="00FA2C74"/>
    <w:rsid w:val="00FA3FF7"/>
    <w:rsid w:val="00FA4854"/>
    <w:rsid w:val="00FA4C98"/>
    <w:rsid w:val="00FA4CC9"/>
    <w:rsid w:val="00FA4D2D"/>
    <w:rsid w:val="00FA520A"/>
    <w:rsid w:val="00FA5961"/>
    <w:rsid w:val="00FA59E8"/>
    <w:rsid w:val="00FA5B02"/>
    <w:rsid w:val="00FA5DF5"/>
    <w:rsid w:val="00FA5EE7"/>
    <w:rsid w:val="00FA650E"/>
    <w:rsid w:val="00FA669B"/>
    <w:rsid w:val="00FA69A4"/>
    <w:rsid w:val="00FA6B58"/>
    <w:rsid w:val="00FA6E6A"/>
    <w:rsid w:val="00FA75E6"/>
    <w:rsid w:val="00FA7A80"/>
    <w:rsid w:val="00FB00C5"/>
    <w:rsid w:val="00FB0139"/>
    <w:rsid w:val="00FB014E"/>
    <w:rsid w:val="00FB05AE"/>
    <w:rsid w:val="00FB0CB0"/>
    <w:rsid w:val="00FB0D3A"/>
    <w:rsid w:val="00FB0E6F"/>
    <w:rsid w:val="00FB0EDF"/>
    <w:rsid w:val="00FB17B4"/>
    <w:rsid w:val="00FB1E59"/>
    <w:rsid w:val="00FB213C"/>
    <w:rsid w:val="00FB2478"/>
    <w:rsid w:val="00FB2498"/>
    <w:rsid w:val="00FB289B"/>
    <w:rsid w:val="00FB290C"/>
    <w:rsid w:val="00FB3052"/>
    <w:rsid w:val="00FB31EE"/>
    <w:rsid w:val="00FB3FFE"/>
    <w:rsid w:val="00FB403B"/>
    <w:rsid w:val="00FB41D6"/>
    <w:rsid w:val="00FB421E"/>
    <w:rsid w:val="00FB432B"/>
    <w:rsid w:val="00FB458B"/>
    <w:rsid w:val="00FB467A"/>
    <w:rsid w:val="00FB4D21"/>
    <w:rsid w:val="00FB4F0E"/>
    <w:rsid w:val="00FB5112"/>
    <w:rsid w:val="00FB55B3"/>
    <w:rsid w:val="00FB5846"/>
    <w:rsid w:val="00FB59AA"/>
    <w:rsid w:val="00FB6015"/>
    <w:rsid w:val="00FB61DF"/>
    <w:rsid w:val="00FB630A"/>
    <w:rsid w:val="00FB68FE"/>
    <w:rsid w:val="00FB69FE"/>
    <w:rsid w:val="00FB71F1"/>
    <w:rsid w:val="00FB743B"/>
    <w:rsid w:val="00FB74B7"/>
    <w:rsid w:val="00FB762B"/>
    <w:rsid w:val="00FB7B06"/>
    <w:rsid w:val="00FB7BC7"/>
    <w:rsid w:val="00FB7C95"/>
    <w:rsid w:val="00FB7F23"/>
    <w:rsid w:val="00FC0382"/>
    <w:rsid w:val="00FC07D6"/>
    <w:rsid w:val="00FC0B75"/>
    <w:rsid w:val="00FC1019"/>
    <w:rsid w:val="00FC11B2"/>
    <w:rsid w:val="00FC1994"/>
    <w:rsid w:val="00FC19E0"/>
    <w:rsid w:val="00FC1C5F"/>
    <w:rsid w:val="00FC2064"/>
    <w:rsid w:val="00FC2096"/>
    <w:rsid w:val="00FC20EC"/>
    <w:rsid w:val="00FC25FF"/>
    <w:rsid w:val="00FC2F10"/>
    <w:rsid w:val="00FC32D7"/>
    <w:rsid w:val="00FC3564"/>
    <w:rsid w:val="00FC36BE"/>
    <w:rsid w:val="00FC372D"/>
    <w:rsid w:val="00FC3802"/>
    <w:rsid w:val="00FC38DE"/>
    <w:rsid w:val="00FC3B65"/>
    <w:rsid w:val="00FC3DFB"/>
    <w:rsid w:val="00FC4065"/>
    <w:rsid w:val="00FC41A1"/>
    <w:rsid w:val="00FC42DA"/>
    <w:rsid w:val="00FC4495"/>
    <w:rsid w:val="00FC44B8"/>
    <w:rsid w:val="00FC47EE"/>
    <w:rsid w:val="00FC4BEB"/>
    <w:rsid w:val="00FC5133"/>
    <w:rsid w:val="00FC5209"/>
    <w:rsid w:val="00FC56D6"/>
    <w:rsid w:val="00FC59BD"/>
    <w:rsid w:val="00FC6058"/>
    <w:rsid w:val="00FC627D"/>
    <w:rsid w:val="00FC64DA"/>
    <w:rsid w:val="00FC6639"/>
    <w:rsid w:val="00FC6ADA"/>
    <w:rsid w:val="00FC6DC5"/>
    <w:rsid w:val="00FC6E13"/>
    <w:rsid w:val="00FC7B7E"/>
    <w:rsid w:val="00FC7E81"/>
    <w:rsid w:val="00FC7F4F"/>
    <w:rsid w:val="00FD0131"/>
    <w:rsid w:val="00FD0236"/>
    <w:rsid w:val="00FD02EB"/>
    <w:rsid w:val="00FD03D7"/>
    <w:rsid w:val="00FD0941"/>
    <w:rsid w:val="00FD0A9F"/>
    <w:rsid w:val="00FD0AC0"/>
    <w:rsid w:val="00FD0BEA"/>
    <w:rsid w:val="00FD16AC"/>
    <w:rsid w:val="00FD1B05"/>
    <w:rsid w:val="00FD1B66"/>
    <w:rsid w:val="00FD1DED"/>
    <w:rsid w:val="00FD23E3"/>
    <w:rsid w:val="00FD268C"/>
    <w:rsid w:val="00FD2836"/>
    <w:rsid w:val="00FD2EB9"/>
    <w:rsid w:val="00FD2EDB"/>
    <w:rsid w:val="00FD2EF1"/>
    <w:rsid w:val="00FD2F77"/>
    <w:rsid w:val="00FD4C44"/>
    <w:rsid w:val="00FD4E4B"/>
    <w:rsid w:val="00FD51B9"/>
    <w:rsid w:val="00FD5375"/>
    <w:rsid w:val="00FD5512"/>
    <w:rsid w:val="00FD5F4B"/>
    <w:rsid w:val="00FD600A"/>
    <w:rsid w:val="00FD6135"/>
    <w:rsid w:val="00FD615C"/>
    <w:rsid w:val="00FD61DE"/>
    <w:rsid w:val="00FD682D"/>
    <w:rsid w:val="00FD700F"/>
    <w:rsid w:val="00FD7474"/>
    <w:rsid w:val="00FD76B2"/>
    <w:rsid w:val="00FD77D5"/>
    <w:rsid w:val="00FD7D76"/>
    <w:rsid w:val="00FE0176"/>
    <w:rsid w:val="00FE02DE"/>
    <w:rsid w:val="00FE0517"/>
    <w:rsid w:val="00FE06EA"/>
    <w:rsid w:val="00FE072A"/>
    <w:rsid w:val="00FE0860"/>
    <w:rsid w:val="00FE09A3"/>
    <w:rsid w:val="00FE0A2F"/>
    <w:rsid w:val="00FE0ADB"/>
    <w:rsid w:val="00FE10CF"/>
    <w:rsid w:val="00FE135D"/>
    <w:rsid w:val="00FE154C"/>
    <w:rsid w:val="00FE1AFD"/>
    <w:rsid w:val="00FE1BCF"/>
    <w:rsid w:val="00FE21D4"/>
    <w:rsid w:val="00FE227A"/>
    <w:rsid w:val="00FE28A7"/>
    <w:rsid w:val="00FE2F8A"/>
    <w:rsid w:val="00FE30FE"/>
    <w:rsid w:val="00FE31E0"/>
    <w:rsid w:val="00FE3D0F"/>
    <w:rsid w:val="00FE4104"/>
    <w:rsid w:val="00FE4350"/>
    <w:rsid w:val="00FE4594"/>
    <w:rsid w:val="00FE4657"/>
    <w:rsid w:val="00FE473F"/>
    <w:rsid w:val="00FE478B"/>
    <w:rsid w:val="00FE47C2"/>
    <w:rsid w:val="00FE5CEB"/>
    <w:rsid w:val="00FE5D7D"/>
    <w:rsid w:val="00FE5DE9"/>
    <w:rsid w:val="00FE5E81"/>
    <w:rsid w:val="00FE6036"/>
    <w:rsid w:val="00FE60B5"/>
    <w:rsid w:val="00FE616E"/>
    <w:rsid w:val="00FE628C"/>
    <w:rsid w:val="00FE6636"/>
    <w:rsid w:val="00FE6A7F"/>
    <w:rsid w:val="00FE6D73"/>
    <w:rsid w:val="00FE6E61"/>
    <w:rsid w:val="00FE6FF1"/>
    <w:rsid w:val="00FE7414"/>
    <w:rsid w:val="00FE7EC4"/>
    <w:rsid w:val="00FF0195"/>
    <w:rsid w:val="00FF01AE"/>
    <w:rsid w:val="00FF01F3"/>
    <w:rsid w:val="00FF0709"/>
    <w:rsid w:val="00FF082A"/>
    <w:rsid w:val="00FF086B"/>
    <w:rsid w:val="00FF0920"/>
    <w:rsid w:val="00FF0EBB"/>
    <w:rsid w:val="00FF0F2E"/>
    <w:rsid w:val="00FF13D5"/>
    <w:rsid w:val="00FF1616"/>
    <w:rsid w:val="00FF1EBE"/>
    <w:rsid w:val="00FF1F14"/>
    <w:rsid w:val="00FF2068"/>
    <w:rsid w:val="00FF219B"/>
    <w:rsid w:val="00FF2383"/>
    <w:rsid w:val="00FF2396"/>
    <w:rsid w:val="00FF2A63"/>
    <w:rsid w:val="00FF2F1C"/>
    <w:rsid w:val="00FF2F5B"/>
    <w:rsid w:val="00FF30F4"/>
    <w:rsid w:val="00FF34F7"/>
    <w:rsid w:val="00FF35DA"/>
    <w:rsid w:val="00FF3906"/>
    <w:rsid w:val="00FF397B"/>
    <w:rsid w:val="00FF447A"/>
    <w:rsid w:val="00FF4650"/>
    <w:rsid w:val="00FF4992"/>
    <w:rsid w:val="00FF4B93"/>
    <w:rsid w:val="00FF4D14"/>
    <w:rsid w:val="00FF580B"/>
    <w:rsid w:val="00FF58C1"/>
    <w:rsid w:val="00FF58F9"/>
    <w:rsid w:val="00FF5950"/>
    <w:rsid w:val="00FF5AB1"/>
    <w:rsid w:val="00FF5B80"/>
    <w:rsid w:val="00FF669C"/>
    <w:rsid w:val="00FF67BB"/>
    <w:rsid w:val="00FF6AAD"/>
    <w:rsid w:val="00FF6B99"/>
    <w:rsid w:val="00FF6F00"/>
    <w:rsid w:val="00FF770C"/>
    <w:rsid w:val="00FF7897"/>
    <w:rsid w:val="00FF78EE"/>
    <w:rsid w:val="10279036"/>
    <w:rsid w:val="2766A795"/>
    <w:rsid w:val="32281481"/>
    <w:rsid w:val="6C49D1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47BAC"/>
    <w:pPr>
      <w:spacing w:before="480"/>
      <w:outlineLvl w:val="0"/>
    </w:pPr>
    <w:rPr>
      <w:bCs w:val="0"/>
      <w:color w:val="3A6FAF" w:themeColor="accent3"/>
    </w:rPr>
  </w:style>
  <w:style w:type="paragraph" w:styleId="Heading2">
    <w:name w:val="heading 2"/>
    <w:basedOn w:val="HeadingBase"/>
    <w:next w:val="Normal"/>
    <w:link w:val="Heading2Char"/>
    <w:qFormat/>
    <w:rsid w:val="00247BAC"/>
    <w:pPr>
      <w:spacing w:before="360"/>
      <w:outlineLvl w:val="1"/>
    </w:pPr>
    <w:rPr>
      <w:bCs w:val="0"/>
      <w:iCs/>
      <w:color w:val="3A6FAF" w:themeColor="accent3"/>
      <w:sz w:val="36"/>
      <w:szCs w:val="28"/>
    </w:rPr>
  </w:style>
  <w:style w:type="paragraph" w:styleId="Heading3">
    <w:name w:val="heading 3"/>
    <w:basedOn w:val="HeadingBase"/>
    <w:next w:val="Normal"/>
    <w:link w:val="Heading3Char"/>
    <w:qFormat/>
    <w:rsid w:val="00247BAC"/>
    <w:pPr>
      <w:spacing w:before="240"/>
      <w:outlineLvl w:val="2"/>
    </w:pPr>
    <w:rPr>
      <w:sz w:val="28"/>
      <w:szCs w:val="26"/>
    </w:rPr>
  </w:style>
  <w:style w:type="paragraph" w:styleId="Heading4">
    <w:name w:val="heading 4"/>
    <w:basedOn w:val="Heading3"/>
    <w:next w:val="Normal"/>
    <w:link w:val="Heading4Char"/>
    <w:qFormat/>
    <w:rsid w:val="00247BAC"/>
    <w:pPr>
      <w:outlineLvl w:val="3"/>
    </w:pPr>
    <w:rPr>
      <w:rFonts w:eastAsiaTheme="minorHAnsi"/>
      <w:b/>
      <w:sz w:val="22"/>
      <w:szCs w:val="22"/>
    </w:rPr>
  </w:style>
  <w:style w:type="paragraph" w:styleId="Heading5">
    <w:name w:val="heading 5"/>
    <w:basedOn w:val="HeadingBase"/>
    <w:next w:val="Normal"/>
    <w:link w:val="Heading5Char"/>
    <w:qFormat/>
    <w:rsid w:val="008F1FA0"/>
    <w:pPr>
      <w:outlineLvl w:val="4"/>
    </w:pPr>
    <w:rPr>
      <w:b/>
      <w:bCs w:val="0"/>
      <w:iCs/>
      <w:color w:val="00827F"/>
      <w:sz w:val="22"/>
    </w:rPr>
  </w:style>
  <w:style w:type="paragraph" w:styleId="Heading6">
    <w:name w:val="heading 6"/>
    <w:basedOn w:val="HeadingBase"/>
    <w:next w:val="Normal"/>
    <w:link w:val="Heading6Char"/>
    <w:qFormat/>
    <w:rsid w:val="008F1FA0"/>
    <w:pPr>
      <w:outlineLvl w:val="5"/>
    </w:pPr>
    <w:rPr>
      <w:bCs w:val="0"/>
      <w:color w:val="00827F"/>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BAC"/>
    <w:rPr>
      <w:rFonts w:ascii="Calibri" w:eastAsia="Times New Roman" w:hAnsi="Calibri" w:cs="Arial"/>
      <w:color w:val="3A6FAF" w:themeColor="accent3"/>
      <w:kern w:val="32"/>
      <w:sz w:val="48"/>
      <w:szCs w:val="36"/>
      <w:lang w:eastAsia="en-AU"/>
    </w:rPr>
  </w:style>
  <w:style w:type="character" w:customStyle="1" w:styleId="Heading2Char">
    <w:name w:val="Heading 2 Char"/>
    <w:basedOn w:val="DefaultParagraphFont"/>
    <w:link w:val="Heading2"/>
    <w:rsid w:val="00247BAC"/>
    <w:rPr>
      <w:rFonts w:ascii="Calibri" w:eastAsia="Times New Roman" w:hAnsi="Calibri" w:cs="Arial"/>
      <w:iCs/>
      <w:color w:val="3A6FAF" w:themeColor="accent3"/>
      <w:kern w:val="32"/>
      <w:sz w:val="36"/>
      <w:szCs w:val="28"/>
      <w:lang w:eastAsia="en-AU"/>
    </w:rPr>
  </w:style>
  <w:style w:type="character" w:customStyle="1" w:styleId="Heading3Char">
    <w:name w:val="Heading 3 Char"/>
    <w:basedOn w:val="DefaultParagraphFont"/>
    <w:link w:val="Heading3"/>
    <w:rsid w:val="00247BAC"/>
    <w:rPr>
      <w:rFonts w:ascii="Calibri" w:eastAsia="Times New Roman" w:hAnsi="Calibri" w:cs="Arial"/>
      <w:bCs/>
      <w:color w:val="002C47" w:themeColor="accent1"/>
      <w:kern w:val="32"/>
      <w:sz w:val="28"/>
      <w:szCs w:val="26"/>
      <w:lang w:eastAsia="en-AU"/>
    </w:rPr>
  </w:style>
  <w:style w:type="character" w:customStyle="1" w:styleId="Heading4Char">
    <w:name w:val="Heading 4 Char"/>
    <w:basedOn w:val="DefaultParagraphFont"/>
    <w:link w:val="Heading4"/>
    <w:rsid w:val="00247BAC"/>
    <w:rPr>
      <w:rFonts w:ascii="Calibri" w:hAnsi="Calibri" w:cs="Arial"/>
      <w:b/>
      <w:bCs/>
      <w:color w:val="002C47" w:themeColor="accent1"/>
      <w:kern w:val="32"/>
      <w:lang w:eastAsia="en-AU"/>
    </w:rPr>
  </w:style>
  <w:style w:type="character" w:customStyle="1" w:styleId="Heading5Char">
    <w:name w:val="Heading 5 Char"/>
    <w:basedOn w:val="DefaultParagraphFont"/>
    <w:link w:val="Heading5"/>
    <w:rsid w:val="008F1FA0"/>
    <w:rPr>
      <w:rFonts w:ascii="Calibri" w:eastAsia="Times New Roman" w:hAnsi="Calibri" w:cs="Arial"/>
      <w:b/>
      <w:iCs/>
      <w:color w:val="00827F"/>
      <w:kern w:val="32"/>
      <w:szCs w:val="36"/>
      <w:lang w:eastAsia="en-AU"/>
    </w:rPr>
  </w:style>
  <w:style w:type="character" w:customStyle="1" w:styleId="Heading6Char">
    <w:name w:val="Heading 6 Char"/>
    <w:basedOn w:val="DefaultParagraphFont"/>
    <w:link w:val="Heading6"/>
    <w:rsid w:val="008F1FA0"/>
    <w:rPr>
      <w:rFonts w:ascii="Calibri" w:eastAsia="Times New Roman" w:hAnsi="Calibri" w:cs="Arial"/>
      <w:color w:val="0082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pPr>
  </w:style>
  <w:style w:type="paragraph" w:customStyle="1" w:styleId="BoxDash">
    <w:name w:val="Box Dash"/>
    <w:basedOn w:val="Normal"/>
    <w:rsid w:val="000E0B74"/>
    <w:pPr>
      <w:numPr>
        <w:ilvl w:val="1"/>
        <w:numId w:val="2"/>
      </w:numPr>
      <w:spacing w:before="0"/>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A8308B"/>
    <w:pPr>
      <w:keepNext/>
      <w:spacing w:before="240"/>
    </w:pPr>
    <w:rPr>
      <w:b/>
      <w:color w:val="000000" w:themeColor="tex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45"/>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link w:val="DashChar"/>
    <w:rsid w:val="000E0490"/>
    <w:pPr>
      <w:tabs>
        <w:tab w:val="num" w:pos="1040"/>
      </w:tabs>
      <w:spacing w:before="0" w:line="274" w:lineRule="auto"/>
      <w:ind w:left="1040" w:hanging="520"/>
      <w:jc w:val="both"/>
    </w:pPr>
    <w:rPr>
      <w:rFonts w:asciiTheme="minorHAnsi" w:hAnsiTheme="minorHAnsi"/>
      <w:color w:val="262626" w:themeColor="text1" w:themeTint="D9"/>
    </w:rPr>
  </w:style>
  <w:style w:type="paragraph" w:customStyle="1" w:styleId="DoubleDot">
    <w:name w:val="Double Dot"/>
    <w:basedOn w:val="Normal"/>
    <w:link w:val="DoubleDotChar"/>
    <w:rsid w:val="000E0490"/>
    <w:pPr>
      <w:tabs>
        <w:tab w:val="num" w:pos="1560"/>
      </w:tabs>
      <w:spacing w:before="0" w:line="274" w:lineRule="auto"/>
      <w:ind w:left="1560" w:hanging="520"/>
      <w:jc w:val="both"/>
    </w:pPr>
    <w:rPr>
      <w:rFonts w:asciiTheme="minorHAnsi" w:hAnsiTheme="minorHAnsi"/>
      <w:color w:val="262626" w:themeColor="text1" w:themeTint="D9"/>
    </w:r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1F5FF9"/>
    <w:pPr>
      <w:keepNext/>
      <w:tabs>
        <w:tab w:val="clear" w:pos="4513"/>
        <w:tab w:val="clear" w:pos="9026"/>
      </w:tabs>
      <w:jc w:val="left"/>
    </w:pPr>
    <w:rPr>
      <w:noProof/>
      <w:color w:val="000000" w:themeColor="text1"/>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247BAC"/>
    <w:rPr>
      <w:color w:val="3A6FAF" w:themeColor="accent3"/>
      <w:u w:val="single"/>
    </w:rPr>
  </w:style>
  <w:style w:type="paragraph" w:customStyle="1" w:styleId="OutlineNumbered1">
    <w:name w:val="Outline Numbered 1"/>
    <w:basedOn w:val="Normal"/>
    <w:rsid w:val="00835350"/>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9"/>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00827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6564D3"/>
    <w:pPr>
      <w:tabs>
        <w:tab w:val="right" w:leader="dot" w:pos="9072"/>
      </w:tabs>
      <w:spacing w:before="20" w:after="0"/>
      <w:ind w:left="284" w:right="-2"/>
    </w:pPr>
    <w:rPr>
      <w:rFonts w:cs="Calibri"/>
      <w:noProof/>
      <w:color w:val="00827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4"/>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5103E4"/>
    <w:pPr>
      <w:spacing w:before="376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103E4"/>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7A24B5"/>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7A24B5"/>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rPr>
      <w:color w:val="002C47" w:themeColor="accent1"/>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qFormat/>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1"/>
      </w:numPr>
      <w:spacing w:before="0" w:line="259" w:lineRule="auto"/>
      <w:jc w:val="both"/>
    </w:pPr>
    <w:rPr>
      <w:rFonts w:asciiTheme="minorHAnsi" w:eastAsiaTheme="minorHAnsi" w:hAnsiTheme="minorHAnsi" w:cstheme="minorBidi"/>
      <w:color w:val="262626" w:themeColor="text1" w:themeTint="D9"/>
      <w:szCs w:val="22"/>
      <w:lang w:eastAsia="en-US"/>
    </w:rPr>
  </w:style>
  <w:style w:type="character" w:customStyle="1" w:styleId="BulletChar">
    <w:name w:val="Bullet Char"/>
    <w:basedOn w:val="Heading4Char"/>
    <w:link w:val="Bullet"/>
    <w:rsid w:val="00835350"/>
    <w:rPr>
      <w:rFonts w:ascii="Calibri" w:eastAsia="Times New Roman" w:hAnsi="Calibri" w:cs="Times New Roman"/>
      <w:b w:val="0"/>
      <w:bCs w:val="0"/>
      <w:color w:val="002C47" w:themeColor="accent1"/>
      <w:kern w:val="32"/>
      <w:szCs w:val="20"/>
      <w:lang w:eastAsia="en-AU"/>
    </w:rPr>
  </w:style>
  <w:style w:type="character" w:customStyle="1" w:styleId="ListParagraphChar">
    <w:name w:val="List Paragraph Char"/>
    <w:basedOn w:val="DefaultParagraphFont"/>
    <w:link w:val="ListParagraph"/>
    <w:uiPriority w:val="34"/>
    <w:rsid w:val="00835350"/>
    <w:rPr>
      <w:color w:val="262626" w:themeColor="text1" w:themeTint="D9"/>
    </w:rPr>
  </w:style>
  <w:style w:type="paragraph" w:customStyle="1" w:styleId="GRRParanumbers">
    <w:name w:val="GRR Para numbers"/>
    <w:basedOn w:val="ListParagraph"/>
    <w:link w:val="GRRParanumbersChar"/>
    <w:qFormat/>
    <w:rsid w:val="00835350"/>
    <w:pPr>
      <w:numPr>
        <w:numId w:val="12"/>
      </w:numPr>
    </w:pPr>
  </w:style>
  <w:style w:type="character" w:customStyle="1" w:styleId="GRRParanumbersChar">
    <w:name w:val="GRR Para numbers Char"/>
    <w:basedOn w:val="ListParagraphChar"/>
    <w:link w:val="GRRParanumbers"/>
    <w:rsid w:val="00835350"/>
    <w:rPr>
      <w:color w:val="262626"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style>
  <w:style w:type="paragraph" w:customStyle="1" w:styleId="OutlineNumberedDash">
    <w:name w:val="Outline Numbered Dash"/>
    <w:basedOn w:val="Normal"/>
    <w:qFormat/>
    <w:rsid w:val="005F3D66"/>
    <w:pPr>
      <w:tabs>
        <w:tab w:val="num" w:pos="567"/>
      </w:tabs>
      <w:spacing w:before="0"/>
      <w:ind w:left="567" w:hanging="284"/>
    </w:pPr>
  </w:style>
  <w:style w:type="paragraph" w:customStyle="1" w:styleId="BoxHeading2-Orange">
    <w:name w:val="Box Heading 2 - Orange"/>
    <w:basedOn w:val="BoxText"/>
    <w:qFormat/>
    <w:rsid w:val="00EA1AFD"/>
    <w:pPr>
      <w:shd w:val="clear" w:color="auto" w:fill="FDE7CD"/>
      <w:spacing w:before="240"/>
    </w:pPr>
  </w:style>
  <w:style w:type="paragraph" w:customStyle="1" w:styleId="BoxHeading2-Blue">
    <w:name w:val="Box Heading 2 - Blue"/>
    <w:basedOn w:val="BoxText"/>
    <w:qFormat/>
    <w:rsid w:val="00247BAC"/>
    <w:pPr>
      <w:shd w:val="clear" w:color="auto" w:fill="D8E2EF"/>
      <w:spacing w:before="240"/>
    </w:pPr>
  </w:style>
  <w:style w:type="paragraph" w:styleId="TOCHeading">
    <w:name w:val="TOC Heading"/>
    <w:basedOn w:val="Heading1"/>
    <w:next w:val="Normal"/>
    <w:uiPriority w:val="39"/>
    <w:unhideWhenUsed/>
    <w:qFormat/>
    <w:rsid w:val="004138D6"/>
    <w:pPr>
      <w:keepLines/>
      <w:spacing w:before="240" w:after="0"/>
      <w:outlineLvl w:val="9"/>
    </w:pPr>
    <w:rPr>
      <w:rFonts w:asciiTheme="majorHAnsi" w:eastAsiaTheme="majorEastAsia" w:hAnsiTheme="majorHAnsi" w:cstheme="majorBidi"/>
      <w:color w:val="002035" w:themeColor="accent1" w:themeShade="BF"/>
      <w:kern w:val="0"/>
      <w:sz w:val="32"/>
      <w:szCs w:val="32"/>
    </w:rPr>
  </w:style>
  <w:style w:type="character" w:styleId="UnresolvedMention">
    <w:name w:val="Unresolved Mention"/>
    <w:basedOn w:val="DefaultParagraphFont"/>
    <w:uiPriority w:val="99"/>
    <w:semiHidden/>
    <w:unhideWhenUsed/>
    <w:rsid w:val="000E0490"/>
    <w:rPr>
      <w:color w:val="605E5C"/>
      <w:shd w:val="clear" w:color="auto" w:fill="E1DFDD"/>
    </w:rPr>
  </w:style>
  <w:style w:type="character" w:styleId="SubtleReference">
    <w:name w:val="Subtle Reference"/>
    <w:basedOn w:val="DefaultParagraphFont"/>
    <w:uiPriority w:val="31"/>
    <w:qFormat/>
    <w:rsid w:val="000E0490"/>
    <w:rPr>
      <w:rFonts w:ascii="Calibri" w:hAnsi="Calibri"/>
      <w:b w:val="0"/>
      <w:caps w:val="0"/>
      <w:smallCaps w:val="0"/>
      <w:color w:val="5A5A5A" w:themeColor="text1" w:themeTint="A5"/>
      <w:sz w:val="18"/>
    </w:rPr>
  </w:style>
  <w:style w:type="character" w:styleId="CommentReference">
    <w:name w:val="annotation reference"/>
    <w:basedOn w:val="DefaultParagraphFont"/>
    <w:uiPriority w:val="99"/>
    <w:semiHidden/>
    <w:unhideWhenUsed/>
    <w:rsid w:val="000E0490"/>
    <w:rPr>
      <w:sz w:val="16"/>
      <w:szCs w:val="16"/>
    </w:rPr>
  </w:style>
  <w:style w:type="paragraph" w:styleId="CommentText">
    <w:name w:val="annotation text"/>
    <w:basedOn w:val="Normal"/>
    <w:link w:val="CommentTextChar"/>
    <w:uiPriority w:val="99"/>
    <w:unhideWhenUsed/>
    <w:rsid w:val="000E0490"/>
    <w:pPr>
      <w:jc w:val="both"/>
    </w:pPr>
    <w:rPr>
      <w:rFonts w:asciiTheme="minorHAnsi" w:hAnsiTheme="minorHAnsi"/>
      <w:color w:val="262626" w:themeColor="text1" w:themeTint="D9"/>
      <w:sz w:val="20"/>
    </w:rPr>
  </w:style>
  <w:style w:type="character" w:customStyle="1" w:styleId="CommentTextChar">
    <w:name w:val="Comment Text Char"/>
    <w:basedOn w:val="DefaultParagraphFont"/>
    <w:link w:val="CommentText"/>
    <w:uiPriority w:val="99"/>
    <w:rsid w:val="000E0490"/>
    <w:rPr>
      <w:rFonts w:eastAsia="Times New Roman" w:cs="Times New Roman"/>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0E0490"/>
    <w:rPr>
      <w:b/>
      <w:bCs/>
    </w:rPr>
  </w:style>
  <w:style w:type="character" w:customStyle="1" w:styleId="CommentSubjectChar">
    <w:name w:val="Comment Subject Char"/>
    <w:basedOn w:val="CommentTextChar"/>
    <w:link w:val="CommentSubject"/>
    <w:uiPriority w:val="99"/>
    <w:semiHidden/>
    <w:rsid w:val="000E0490"/>
    <w:rPr>
      <w:rFonts w:eastAsia="Times New Roman" w:cs="Times New Roman"/>
      <w:b/>
      <w:bCs/>
      <w:color w:val="262626" w:themeColor="text1" w:themeTint="D9"/>
      <w:sz w:val="20"/>
      <w:szCs w:val="20"/>
      <w:lang w:eastAsia="en-AU"/>
    </w:rPr>
  </w:style>
  <w:style w:type="character" w:styleId="FollowedHyperlink">
    <w:name w:val="FollowedHyperlink"/>
    <w:basedOn w:val="DefaultParagraphFont"/>
    <w:uiPriority w:val="99"/>
    <w:semiHidden/>
    <w:unhideWhenUsed/>
    <w:rsid w:val="000E0490"/>
    <w:rPr>
      <w:color w:val="3A6FAF" w:themeColor="followedHyperlink"/>
      <w:u w:val="single"/>
    </w:rPr>
  </w:style>
  <w:style w:type="paragraph" w:styleId="Revision">
    <w:name w:val="Revision"/>
    <w:hidden/>
    <w:uiPriority w:val="99"/>
    <w:semiHidden/>
    <w:rsid w:val="000E0490"/>
    <w:pPr>
      <w:spacing w:after="0" w:line="240" w:lineRule="auto"/>
    </w:pPr>
    <w:rPr>
      <w:rFonts w:eastAsia="Times New Roman" w:cs="Times New Roman"/>
      <w:color w:val="5F5F5F" w:themeColor="text2"/>
      <w:sz w:val="21"/>
      <w:szCs w:val="20"/>
      <w:lang w:eastAsia="en-AU"/>
    </w:rPr>
  </w:style>
  <w:style w:type="paragraph" w:customStyle="1" w:styleId="Default">
    <w:name w:val="Default"/>
    <w:link w:val="DefaultChar"/>
    <w:rsid w:val="000E0490"/>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DefaultChar">
    <w:name w:val="Default Char"/>
    <w:basedOn w:val="DefaultParagraphFont"/>
    <w:link w:val="Default"/>
    <w:rsid w:val="000E0490"/>
    <w:rPr>
      <w:rFonts w:ascii="Calibri" w:hAnsi="Calibri" w:cs="Calibri"/>
      <w:color w:val="000000"/>
      <w:sz w:val="24"/>
      <w:szCs w:val="24"/>
      <w14:ligatures w14:val="standardContextual"/>
    </w:rPr>
  </w:style>
  <w:style w:type="character" w:customStyle="1" w:styleId="normaltextrun">
    <w:name w:val="normaltextrun"/>
    <w:basedOn w:val="DefaultParagraphFont"/>
    <w:rsid w:val="000E0490"/>
  </w:style>
  <w:style w:type="character" w:customStyle="1" w:styleId="eop">
    <w:name w:val="eop"/>
    <w:basedOn w:val="DefaultParagraphFont"/>
    <w:rsid w:val="000E0490"/>
  </w:style>
  <w:style w:type="paragraph" w:customStyle="1" w:styleId="paragraph">
    <w:name w:val="paragraph"/>
    <w:basedOn w:val="Normal"/>
    <w:rsid w:val="000E0490"/>
    <w:pPr>
      <w:spacing w:before="100" w:beforeAutospacing="1" w:after="100" w:afterAutospacing="1"/>
    </w:pPr>
    <w:rPr>
      <w:rFonts w:ascii="Times New Roman" w:hAnsi="Times New Roman"/>
      <w:sz w:val="24"/>
      <w:szCs w:val="24"/>
    </w:rPr>
  </w:style>
  <w:style w:type="table" w:styleId="GridTable5Dark-Accent2">
    <w:name w:val="Grid Table 5 Dark Accent 2"/>
    <w:basedOn w:val="TableNormal"/>
    <w:uiPriority w:val="50"/>
    <w:rsid w:val="000E04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7F" w:themeFill="accent2"/>
      </w:tcPr>
    </w:tblStylePr>
    <w:tblStylePr w:type="band1Vert">
      <w:tblPr/>
      <w:tcPr>
        <w:shd w:val="clear" w:color="auto" w:fill="67FFFB" w:themeFill="accent2" w:themeFillTint="66"/>
      </w:tcPr>
    </w:tblStylePr>
    <w:tblStylePr w:type="band1Horz">
      <w:tblPr/>
      <w:tcPr>
        <w:shd w:val="clear" w:color="auto" w:fill="67FFFB" w:themeFill="accent2" w:themeFillTint="66"/>
      </w:tcPr>
    </w:tblStylePr>
  </w:style>
  <w:style w:type="table" w:styleId="ListTable4-Accent2">
    <w:name w:val="List Table 4 Accent 2"/>
    <w:basedOn w:val="TableNormal"/>
    <w:uiPriority w:val="49"/>
    <w:rsid w:val="000E0490"/>
    <w:pPr>
      <w:spacing w:after="0" w:line="240" w:lineRule="auto"/>
    </w:pPr>
    <w:tblPr>
      <w:tblStyleRowBandSize w:val="1"/>
      <w:tblStyleColBandSize w:val="1"/>
      <w:tblBorders>
        <w:top w:val="single" w:sz="4" w:space="0" w:color="1BFFF9" w:themeColor="accent2" w:themeTint="99"/>
        <w:left w:val="single" w:sz="4" w:space="0" w:color="1BFFF9" w:themeColor="accent2" w:themeTint="99"/>
        <w:bottom w:val="single" w:sz="4" w:space="0" w:color="1BFFF9" w:themeColor="accent2" w:themeTint="99"/>
        <w:right w:val="single" w:sz="4" w:space="0" w:color="1BFFF9" w:themeColor="accent2" w:themeTint="99"/>
        <w:insideH w:val="single" w:sz="4" w:space="0" w:color="1BFFF9" w:themeColor="accent2" w:themeTint="99"/>
      </w:tblBorders>
    </w:tblPr>
    <w:tblStylePr w:type="firstRow">
      <w:rPr>
        <w:b/>
        <w:bCs/>
        <w:color w:val="FFFFFF" w:themeColor="background1"/>
      </w:rPr>
      <w:tblPr/>
      <w:tcPr>
        <w:tcBorders>
          <w:top w:val="single" w:sz="4" w:space="0" w:color="00827F" w:themeColor="accent2"/>
          <w:left w:val="single" w:sz="4" w:space="0" w:color="00827F" w:themeColor="accent2"/>
          <w:bottom w:val="single" w:sz="4" w:space="0" w:color="00827F" w:themeColor="accent2"/>
          <w:right w:val="single" w:sz="4" w:space="0" w:color="00827F" w:themeColor="accent2"/>
          <w:insideH w:val="nil"/>
        </w:tcBorders>
        <w:shd w:val="clear" w:color="auto" w:fill="00827F" w:themeFill="accent2"/>
      </w:tcPr>
    </w:tblStylePr>
    <w:tblStylePr w:type="lastRow">
      <w:rPr>
        <w:b/>
        <w:bCs/>
      </w:rPr>
      <w:tblPr/>
      <w:tcPr>
        <w:tcBorders>
          <w:top w:val="double" w:sz="4" w:space="0" w:color="1BFFF9" w:themeColor="accent2" w:themeTint="99"/>
        </w:tcBorders>
      </w:tcPr>
    </w:tblStylePr>
    <w:tblStylePr w:type="firstCol">
      <w:rPr>
        <w:b/>
        <w:bCs/>
      </w:rPr>
    </w:tblStylePr>
    <w:tblStylePr w:type="lastCol">
      <w:rPr>
        <w:b/>
        <w:bCs/>
      </w:rPr>
    </w:tblStylePr>
    <w:tblStylePr w:type="band1Vert">
      <w:tblPr/>
      <w:tcPr>
        <w:shd w:val="clear" w:color="auto" w:fill="B3FFFD" w:themeFill="accent2" w:themeFillTint="33"/>
      </w:tcPr>
    </w:tblStylePr>
    <w:tblStylePr w:type="band1Horz">
      <w:tblPr/>
      <w:tcPr>
        <w:shd w:val="clear" w:color="auto" w:fill="B3FFFD" w:themeFill="accent2" w:themeFillTint="33"/>
      </w:tcPr>
    </w:tblStylePr>
  </w:style>
  <w:style w:type="paragraph" w:styleId="Caption">
    <w:name w:val="caption"/>
    <w:basedOn w:val="Normal"/>
    <w:next w:val="Normal"/>
    <w:uiPriority w:val="35"/>
    <w:unhideWhenUsed/>
    <w:qFormat/>
    <w:rsid w:val="000E0490"/>
    <w:pPr>
      <w:spacing w:before="0" w:after="200"/>
      <w:jc w:val="both"/>
    </w:pPr>
    <w:rPr>
      <w:rFonts w:asciiTheme="minorHAnsi" w:hAnsiTheme="minorHAnsi"/>
      <w:i/>
      <w:iCs/>
      <w:color w:val="5F5F5F" w:themeColor="text2"/>
      <w:sz w:val="18"/>
      <w:szCs w:val="18"/>
    </w:rPr>
  </w:style>
  <w:style w:type="paragraph" w:styleId="NormalWeb">
    <w:name w:val="Normal (Web)"/>
    <w:basedOn w:val="Normal"/>
    <w:uiPriority w:val="99"/>
    <w:unhideWhenUsed/>
    <w:rsid w:val="000E0490"/>
    <w:pPr>
      <w:spacing w:before="100" w:beforeAutospacing="1" w:after="100" w:afterAutospacing="1"/>
    </w:pPr>
    <w:rPr>
      <w:rFonts w:ascii="Times New Roman" w:hAnsi="Times New Roman"/>
      <w:sz w:val="24"/>
      <w:szCs w:val="24"/>
    </w:rPr>
  </w:style>
  <w:style w:type="table" w:styleId="GridTable6Colorful-Accent1">
    <w:name w:val="Grid Table 6 Colorful Accent 1"/>
    <w:basedOn w:val="TableNormal"/>
    <w:uiPriority w:val="51"/>
    <w:rsid w:val="000E0490"/>
    <w:pPr>
      <w:spacing w:after="0" w:line="240" w:lineRule="auto"/>
    </w:pPr>
    <w:rPr>
      <w:color w:val="002035" w:themeColor="accent1" w:themeShade="BF"/>
      <w:kern w:val="2"/>
      <w14:ligatures w14:val="standardContextual"/>
    </w:rPr>
    <w:tblPr>
      <w:tblStyleRowBandSize w:val="1"/>
      <w:tblStyleColBandSize w:val="1"/>
      <w:tblBorders>
        <w:top w:val="single" w:sz="4" w:space="0" w:color="0098F6" w:themeColor="accent1" w:themeTint="99"/>
        <w:left w:val="single" w:sz="4" w:space="0" w:color="0098F6" w:themeColor="accent1" w:themeTint="99"/>
        <w:bottom w:val="single" w:sz="4" w:space="0" w:color="0098F6" w:themeColor="accent1" w:themeTint="99"/>
        <w:right w:val="single" w:sz="4" w:space="0" w:color="0098F6" w:themeColor="accent1" w:themeTint="99"/>
        <w:insideH w:val="single" w:sz="4" w:space="0" w:color="0098F6" w:themeColor="accent1" w:themeTint="99"/>
        <w:insideV w:val="single" w:sz="4" w:space="0" w:color="0098F6" w:themeColor="accent1" w:themeTint="99"/>
      </w:tblBorders>
    </w:tblPr>
    <w:tblStylePr w:type="firstRow">
      <w:rPr>
        <w:b/>
        <w:bCs/>
      </w:rPr>
      <w:tblPr/>
      <w:tcPr>
        <w:tcBorders>
          <w:bottom w:val="single" w:sz="12" w:space="0" w:color="0098F6" w:themeColor="accent1" w:themeTint="99"/>
        </w:tcBorders>
      </w:tcPr>
    </w:tblStylePr>
    <w:tblStylePr w:type="lastRow">
      <w:rPr>
        <w:b/>
        <w:bCs/>
      </w:rPr>
      <w:tblPr/>
      <w:tcPr>
        <w:tcBorders>
          <w:top w:val="double" w:sz="4" w:space="0" w:color="0098F6" w:themeColor="accent1" w:themeTint="99"/>
        </w:tcBorders>
      </w:tcPr>
    </w:tblStylePr>
    <w:tblStylePr w:type="firstCol">
      <w:rPr>
        <w:b/>
        <w:bCs/>
      </w:rPr>
    </w:tblStylePr>
    <w:tblStylePr w:type="lastCol">
      <w:rPr>
        <w:b/>
        <w:bCs/>
      </w:rPr>
    </w:tblStylePr>
    <w:tblStylePr w:type="band1Vert">
      <w:tblPr/>
      <w:tcPr>
        <w:shd w:val="clear" w:color="auto" w:fill="A7DDFF" w:themeFill="accent1" w:themeFillTint="33"/>
      </w:tcPr>
    </w:tblStylePr>
    <w:tblStylePr w:type="band1Horz">
      <w:tblPr/>
      <w:tcPr>
        <w:shd w:val="clear" w:color="auto" w:fill="A7DDFF" w:themeFill="accent1" w:themeFillTint="33"/>
      </w:tcPr>
    </w:tblStylePr>
  </w:style>
  <w:style w:type="table" w:styleId="GridTable4-Accent2">
    <w:name w:val="Grid Table 4 Accent 2"/>
    <w:basedOn w:val="TableNormal"/>
    <w:uiPriority w:val="49"/>
    <w:rsid w:val="000E0490"/>
    <w:pPr>
      <w:spacing w:after="0" w:line="240" w:lineRule="auto"/>
    </w:pPr>
    <w:tblPr>
      <w:tblStyleRowBandSize w:val="1"/>
      <w:tblStyleColBandSize w:val="1"/>
      <w:tblBorders>
        <w:top w:val="single" w:sz="4" w:space="0" w:color="1BFFF9" w:themeColor="accent2" w:themeTint="99"/>
        <w:left w:val="single" w:sz="4" w:space="0" w:color="1BFFF9" w:themeColor="accent2" w:themeTint="99"/>
        <w:bottom w:val="single" w:sz="4" w:space="0" w:color="1BFFF9" w:themeColor="accent2" w:themeTint="99"/>
        <w:right w:val="single" w:sz="4" w:space="0" w:color="1BFFF9" w:themeColor="accent2" w:themeTint="99"/>
        <w:insideH w:val="single" w:sz="4" w:space="0" w:color="1BFFF9" w:themeColor="accent2" w:themeTint="99"/>
        <w:insideV w:val="single" w:sz="4" w:space="0" w:color="1BFFF9" w:themeColor="accent2" w:themeTint="99"/>
      </w:tblBorders>
    </w:tblPr>
    <w:tblStylePr w:type="firstRow">
      <w:rPr>
        <w:b/>
        <w:bCs/>
        <w:color w:val="FFFFFF" w:themeColor="background1"/>
      </w:rPr>
      <w:tblPr/>
      <w:tcPr>
        <w:tcBorders>
          <w:top w:val="single" w:sz="4" w:space="0" w:color="00827F" w:themeColor="accent2"/>
          <w:left w:val="single" w:sz="4" w:space="0" w:color="00827F" w:themeColor="accent2"/>
          <w:bottom w:val="single" w:sz="4" w:space="0" w:color="00827F" w:themeColor="accent2"/>
          <w:right w:val="single" w:sz="4" w:space="0" w:color="00827F" w:themeColor="accent2"/>
          <w:insideH w:val="nil"/>
          <w:insideV w:val="nil"/>
        </w:tcBorders>
        <w:shd w:val="clear" w:color="auto" w:fill="00827F" w:themeFill="accent2"/>
      </w:tcPr>
    </w:tblStylePr>
    <w:tblStylePr w:type="lastRow">
      <w:rPr>
        <w:b/>
        <w:bCs/>
      </w:rPr>
      <w:tblPr/>
      <w:tcPr>
        <w:tcBorders>
          <w:top w:val="double" w:sz="4" w:space="0" w:color="00827F" w:themeColor="accent2"/>
        </w:tcBorders>
      </w:tcPr>
    </w:tblStylePr>
    <w:tblStylePr w:type="firstCol">
      <w:rPr>
        <w:b/>
        <w:bCs/>
      </w:rPr>
    </w:tblStylePr>
    <w:tblStylePr w:type="lastCol">
      <w:rPr>
        <w:b/>
        <w:bCs/>
      </w:rPr>
    </w:tblStylePr>
    <w:tblStylePr w:type="band1Vert">
      <w:tblPr/>
      <w:tcPr>
        <w:shd w:val="clear" w:color="auto" w:fill="B3FFFD" w:themeFill="accent2" w:themeFillTint="33"/>
      </w:tcPr>
    </w:tblStylePr>
    <w:tblStylePr w:type="band1Horz">
      <w:tblPr/>
      <w:tcPr>
        <w:shd w:val="clear" w:color="auto" w:fill="B3FFFD" w:themeFill="accent2" w:themeFillTint="33"/>
      </w:tcPr>
    </w:tblStylePr>
  </w:style>
  <w:style w:type="table" w:styleId="ListTable4-Accent3">
    <w:name w:val="List Table 4 Accent 3"/>
    <w:basedOn w:val="TableNormal"/>
    <w:uiPriority w:val="49"/>
    <w:rsid w:val="000E0490"/>
    <w:pPr>
      <w:spacing w:after="0" w:line="240" w:lineRule="auto"/>
    </w:pPr>
    <w:rPr>
      <w:kern w:val="2"/>
      <w14:ligatures w14:val="standardContextual"/>
    </w:rPr>
    <w:tblPr>
      <w:tblStyleRowBandSize w:val="1"/>
      <w:tblStyleColBandSize w:val="1"/>
      <w:tblBorders>
        <w:top w:val="single" w:sz="4" w:space="0" w:color="82A7D5" w:themeColor="accent3" w:themeTint="99"/>
        <w:left w:val="single" w:sz="4" w:space="0" w:color="82A7D5" w:themeColor="accent3" w:themeTint="99"/>
        <w:bottom w:val="single" w:sz="4" w:space="0" w:color="82A7D5" w:themeColor="accent3" w:themeTint="99"/>
        <w:right w:val="single" w:sz="4" w:space="0" w:color="82A7D5" w:themeColor="accent3" w:themeTint="99"/>
        <w:insideH w:val="single" w:sz="4" w:space="0" w:color="82A7D5" w:themeColor="accent3" w:themeTint="99"/>
      </w:tblBorders>
    </w:tblPr>
    <w:tblStylePr w:type="firstRow">
      <w:rPr>
        <w:b/>
        <w:bCs/>
        <w:color w:val="FFFFFF" w:themeColor="background1"/>
      </w:rPr>
      <w:tblPr/>
      <w:tcPr>
        <w:tcBorders>
          <w:top w:val="single" w:sz="4" w:space="0" w:color="3A6FAF" w:themeColor="accent3"/>
          <w:left w:val="single" w:sz="4" w:space="0" w:color="3A6FAF" w:themeColor="accent3"/>
          <w:bottom w:val="single" w:sz="4" w:space="0" w:color="3A6FAF" w:themeColor="accent3"/>
          <w:right w:val="single" w:sz="4" w:space="0" w:color="3A6FAF" w:themeColor="accent3"/>
          <w:insideH w:val="nil"/>
        </w:tcBorders>
        <w:shd w:val="clear" w:color="auto" w:fill="3A6FAF" w:themeFill="accent3"/>
      </w:tcPr>
    </w:tblStylePr>
    <w:tblStylePr w:type="lastRow">
      <w:rPr>
        <w:b/>
        <w:bCs/>
      </w:rPr>
      <w:tblPr/>
      <w:tcPr>
        <w:tcBorders>
          <w:top w:val="double" w:sz="4" w:space="0" w:color="82A7D5" w:themeColor="accent3" w:themeTint="99"/>
        </w:tcBorders>
      </w:tcPr>
    </w:tblStylePr>
    <w:tblStylePr w:type="firstCol">
      <w:rPr>
        <w:b/>
        <w:bCs/>
      </w:rPr>
    </w:tblStylePr>
    <w:tblStylePr w:type="lastCol">
      <w:rPr>
        <w:b/>
        <w:bCs/>
      </w:rPr>
    </w:tblStylePr>
    <w:tblStylePr w:type="band1Vert">
      <w:tblPr/>
      <w:tcPr>
        <w:shd w:val="clear" w:color="auto" w:fill="D5E1F1" w:themeFill="accent3" w:themeFillTint="33"/>
      </w:tcPr>
    </w:tblStylePr>
    <w:tblStylePr w:type="band1Horz">
      <w:tblPr/>
      <w:tcPr>
        <w:shd w:val="clear" w:color="auto" w:fill="D5E1F1" w:themeFill="accent3" w:themeFillTint="33"/>
      </w:tcPr>
    </w:tblStylePr>
  </w:style>
  <w:style w:type="table" w:styleId="GridTable1Light-Accent1">
    <w:name w:val="Grid Table 1 Light Accent 1"/>
    <w:basedOn w:val="TableNormal"/>
    <w:uiPriority w:val="46"/>
    <w:rsid w:val="000E0490"/>
    <w:pPr>
      <w:spacing w:after="0" w:line="240" w:lineRule="auto"/>
    </w:pPr>
    <w:tblPr>
      <w:tblStyleRowBandSize w:val="1"/>
      <w:tblStyleColBandSize w:val="1"/>
      <w:tblBorders>
        <w:top w:val="single" w:sz="4" w:space="0" w:color="4FBCFF" w:themeColor="accent1" w:themeTint="66"/>
        <w:left w:val="single" w:sz="4" w:space="0" w:color="4FBCFF" w:themeColor="accent1" w:themeTint="66"/>
        <w:bottom w:val="single" w:sz="4" w:space="0" w:color="4FBCFF" w:themeColor="accent1" w:themeTint="66"/>
        <w:right w:val="single" w:sz="4" w:space="0" w:color="4FBCFF" w:themeColor="accent1" w:themeTint="66"/>
        <w:insideH w:val="single" w:sz="4" w:space="0" w:color="4FBCFF" w:themeColor="accent1" w:themeTint="66"/>
        <w:insideV w:val="single" w:sz="4" w:space="0" w:color="4FBCFF" w:themeColor="accent1" w:themeTint="66"/>
      </w:tblBorders>
    </w:tblPr>
    <w:tblStylePr w:type="firstRow">
      <w:rPr>
        <w:b/>
        <w:bCs/>
      </w:rPr>
      <w:tblPr/>
      <w:tcPr>
        <w:tcBorders>
          <w:bottom w:val="single" w:sz="12" w:space="0" w:color="0098F6" w:themeColor="accent1" w:themeTint="99"/>
        </w:tcBorders>
      </w:tcPr>
    </w:tblStylePr>
    <w:tblStylePr w:type="lastRow">
      <w:rPr>
        <w:b/>
        <w:bCs/>
      </w:rPr>
      <w:tblPr/>
      <w:tcPr>
        <w:tcBorders>
          <w:top w:val="double" w:sz="2" w:space="0" w:color="0098F6"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E04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0E0490"/>
    <w:pPr>
      <w:spacing w:before="0" w:after="100" w:line="259" w:lineRule="auto"/>
      <w:ind w:left="660"/>
    </w:pPr>
    <w:rPr>
      <w:rFonts w:asciiTheme="minorHAnsi" w:eastAsiaTheme="minorEastAsia" w:hAnsiTheme="minorHAnsi" w:cstheme="minorBidi"/>
      <w:kern w:val="2"/>
      <w:szCs w:val="22"/>
      <w14:ligatures w14:val="standardContextual"/>
    </w:rPr>
  </w:style>
  <w:style w:type="paragraph" w:styleId="TOC5">
    <w:name w:val="toc 5"/>
    <w:basedOn w:val="Normal"/>
    <w:next w:val="Normal"/>
    <w:autoRedefine/>
    <w:uiPriority w:val="39"/>
    <w:unhideWhenUsed/>
    <w:rsid w:val="000E0490"/>
    <w:pPr>
      <w:spacing w:before="0" w:after="100" w:line="259" w:lineRule="auto"/>
      <w:ind w:left="880"/>
    </w:pPr>
    <w:rPr>
      <w:rFonts w:asciiTheme="minorHAnsi" w:eastAsiaTheme="minorEastAsia" w:hAnsiTheme="minorHAnsi" w:cstheme="minorBidi"/>
      <w:kern w:val="2"/>
      <w:szCs w:val="22"/>
      <w14:ligatures w14:val="standardContextual"/>
    </w:rPr>
  </w:style>
  <w:style w:type="paragraph" w:styleId="TOC6">
    <w:name w:val="toc 6"/>
    <w:basedOn w:val="Normal"/>
    <w:next w:val="Normal"/>
    <w:autoRedefine/>
    <w:uiPriority w:val="39"/>
    <w:unhideWhenUsed/>
    <w:rsid w:val="000E0490"/>
    <w:pPr>
      <w:spacing w:before="0" w:after="100" w:line="259" w:lineRule="auto"/>
      <w:ind w:left="1100"/>
    </w:pPr>
    <w:rPr>
      <w:rFonts w:asciiTheme="minorHAnsi" w:eastAsiaTheme="minorEastAsia" w:hAnsiTheme="minorHAnsi" w:cstheme="minorBidi"/>
      <w:kern w:val="2"/>
      <w:szCs w:val="22"/>
      <w14:ligatures w14:val="standardContextual"/>
    </w:rPr>
  </w:style>
  <w:style w:type="paragraph" w:styleId="TOC7">
    <w:name w:val="toc 7"/>
    <w:basedOn w:val="Normal"/>
    <w:next w:val="Normal"/>
    <w:autoRedefine/>
    <w:uiPriority w:val="39"/>
    <w:unhideWhenUsed/>
    <w:rsid w:val="000E0490"/>
    <w:pPr>
      <w:spacing w:before="0" w:after="100" w:line="259" w:lineRule="auto"/>
      <w:ind w:left="1320"/>
    </w:pPr>
    <w:rPr>
      <w:rFonts w:asciiTheme="minorHAnsi" w:eastAsiaTheme="minorEastAsia" w:hAnsiTheme="minorHAnsi" w:cstheme="minorBidi"/>
      <w:kern w:val="2"/>
      <w:szCs w:val="22"/>
      <w14:ligatures w14:val="standardContextual"/>
    </w:rPr>
  </w:style>
  <w:style w:type="paragraph" w:styleId="TOC8">
    <w:name w:val="toc 8"/>
    <w:basedOn w:val="Normal"/>
    <w:next w:val="Normal"/>
    <w:autoRedefine/>
    <w:uiPriority w:val="39"/>
    <w:unhideWhenUsed/>
    <w:rsid w:val="000E0490"/>
    <w:pPr>
      <w:spacing w:before="0" w:after="100" w:line="259" w:lineRule="auto"/>
      <w:ind w:left="1540"/>
    </w:pPr>
    <w:rPr>
      <w:rFonts w:asciiTheme="minorHAnsi" w:eastAsiaTheme="minorEastAsia" w:hAnsiTheme="minorHAnsi" w:cstheme="minorBidi"/>
      <w:kern w:val="2"/>
      <w:szCs w:val="22"/>
      <w14:ligatures w14:val="standardContextual"/>
    </w:rPr>
  </w:style>
  <w:style w:type="paragraph" w:styleId="TOC9">
    <w:name w:val="toc 9"/>
    <w:basedOn w:val="Normal"/>
    <w:next w:val="Normal"/>
    <w:autoRedefine/>
    <w:uiPriority w:val="39"/>
    <w:unhideWhenUsed/>
    <w:rsid w:val="000E0490"/>
    <w:pPr>
      <w:spacing w:before="0" w:after="100" w:line="259" w:lineRule="auto"/>
      <w:ind w:left="1760"/>
    </w:pPr>
    <w:rPr>
      <w:rFonts w:asciiTheme="minorHAnsi" w:eastAsiaTheme="minorEastAsia" w:hAnsiTheme="minorHAnsi" w:cstheme="minorBidi"/>
      <w:kern w:val="2"/>
      <w:szCs w:val="22"/>
      <w14:ligatures w14:val="standardContextual"/>
    </w:rPr>
  </w:style>
  <w:style w:type="character" w:customStyle="1" w:styleId="katex-mathml">
    <w:name w:val="katex-mathml"/>
    <w:basedOn w:val="DefaultParagraphFont"/>
    <w:rsid w:val="000E0490"/>
  </w:style>
  <w:style w:type="character" w:customStyle="1" w:styleId="mopen">
    <w:name w:val="mopen"/>
    <w:basedOn w:val="DefaultParagraphFont"/>
    <w:rsid w:val="000E0490"/>
  </w:style>
  <w:style w:type="character" w:customStyle="1" w:styleId="mord">
    <w:name w:val="mord"/>
    <w:basedOn w:val="DefaultParagraphFont"/>
    <w:rsid w:val="000E0490"/>
  </w:style>
  <w:style w:type="character" w:customStyle="1" w:styleId="mrel">
    <w:name w:val="mrel"/>
    <w:basedOn w:val="DefaultParagraphFont"/>
    <w:rsid w:val="000E0490"/>
  </w:style>
  <w:style w:type="character" w:customStyle="1" w:styleId="mclose">
    <w:name w:val="mclose"/>
    <w:basedOn w:val="DefaultParagraphFont"/>
    <w:rsid w:val="000E0490"/>
  </w:style>
  <w:style w:type="character" w:customStyle="1" w:styleId="mbin">
    <w:name w:val="mbin"/>
    <w:basedOn w:val="DefaultParagraphFont"/>
    <w:rsid w:val="000E0490"/>
  </w:style>
  <w:style w:type="character" w:customStyle="1" w:styleId="DashChar">
    <w:name w:val="Dash Char"/>
    <w:basedOn w:val="ListParagraphChar"/>
    <w:link w:val="Dash"/>
    <w:rsid w:val="000E0490"/>
    <w:rPr>
      <w:rFonts w:eastAsia="Times New Roman" w:cs="Times New Roman"/>
      <w:color w:val="262626" w:themeColor="text1" w:themeTint="D9"/>
      <w:szCs w:val="20"/>
      <w:lang w:eastAsia="en-AU"/>
    </w:rPr>
  </w:style>
  <w:style w:type="character" w:customStyle="1" w:styleId="DoubleDotChar">
    <w:name w:val="Double Dot Char"/>
    <w:basedOn w:val="ListParagraphChar"/>
    <w:link w:val="DoubleDot"/>
    <w:rsid w:val="000E0490"/>
    <w:rPr>
      <w:rFonts w:eastAsia="Times New Roman" w:cs="Times New Roman"/>
      <w:color w:val="262626" w:themeColor="text1" w:themeTint="D9"/>
      <w:szCs w:val="20"/>
      <w:lang w:eastAsia="en-AU"/>
    </w:rPr>
  </w:style>
  <w:style w:type="character" w:styleId="HTMLCode">
    <w:name w:val="HTML Code"/>
    <w:basedOn w:val="DefaultParagraphFont"/>
    <w:uiPriority w:val="99"/>
    <w:semiHidden/>
    <w:unhideWhenUsed/>
    <w:rsid w:val="000E0490"/>
    <w:rPr>
      <w:rFonts w:ascii="Courier New" w:eastAsia="Times New Roman" w:hAnsi="Courier New" w:cs="Courier New"/>
      <w:sz w:val="20"/>
      <w:szCs w:val="20"/>
    </w:rPr>
  </w:style>
  <w:style w:type="character" w:customStyle="1" w:styleId="delimsizing">
    <w:name w:val="delimsizing"/>
    <w:basedOn w:val="DefaultParagraphFont"/>
    <w:rsid w:val="000E0490"/>
  </w:style>
  <w:style w:type="character" w:customStyle="1" w:styleId="vlist-s">
    <w:name w:val="vlist-s"/>
    <w:basedOn w:val="DefaultParagraphFont"/>
    <w:rsid w:val="000E0490"/>
  </w:style>
  <w:style w:type="character" w:customStyle="1" w:styleId="ui-provider">
    <w:name w:val="ui-provider"/>
    <w:basedOn w:val="DefaultParagraphFont"/>
    <w:rsid w:val="000E0490"/>
  </w:style>
  <w:style w:type="paragraph" w:customStyle="1" w:styleId="Cross-ref">
    <w:name w:val="Cross-ref"/>
    <w:basedOn w:val="HTMLAddress"/>
    <w:rsid w:val="000E0490"/>
    <w:pPr>
      <w:jc w:val="left"/>
    </w:pPr>
    <w:rPr>
      <w:i w:val="0"/>
      <w:iCs w:val="0"/>
      <w:color w:val="00827F" w:themeColor="accent2"/>
      <w:u w:val="single"/>
    </w:rPr>
  </w:style>
  <w:style w:type="paragraph" w:customStyle="1" w:styleId="Heading3noTOC">
    <w:name w:val="Heading 3 no TOC"/>
    <w:basedOn w:val="Heading3"/>
    <w:qFormat/>
    <w:rsid w:val="000E0490"/>
    <w:pPr>
      <w:spacing w:before="120" w:line="259" w:lineRule="auto"/>
    </w:pPr>
    <w:rPr>
      <w:rFonts w:cs="Calibri"/>
      <w:b/>
      <w:bCs w:val="0"/>
      <w:color w:val="0066A4"/>
    </w:rPr>
  </w:style>
  <w:style w:type="paragraph" w:styleId="HTMLAddress">
    <w:name w:val="HTML Address"/>
    <w:basedOn w:val="Normal"/>
    <w:link w:val="HTMLAddressChar"/>
    <w:uiPriority w:val="99"/>
    <w:semiHidden/>
    <w:unhideWhenUsed/>
    <w:rsid w:val="000E0490"/>
    <w:pPr>
      <w:spacing w:before="0" w:after="0"/>
      <w:jc w:val="both"/>
    </w:pPr>
    <w:rPr>
      <w:rFonts w:asciiTheme="minorHAnsi" w:hAnsiTheme="minorHAnsi"/>
      <w:i/>
      <w:iCs/>
      <w:color w:val="262626" w:themeColor="text1" w:themeTint="D9"/>
    </w:rPr>
  </w:style>
  <w:style w:type="character" w:customStyle="1" w:styleId="HTMLAddressChar">
    <w:name w:val="HTML Address Char"/>
    <w:basedOn w:val="DefaultParagraphFont"/>
    <w:link w:val="HTMLAddress"/>
    <w:uiPriority w:val="99"/>
    <w:semiHidden/>
    <w:rsid w:val="000E0490"/>
    <w:rPr>
      <w:rFonts w:eastAsia="Times New Roman" w:cs="Times New Roman"/>
      <w:i/>
      <w:iCs/>
      <w:color w:val="262626" w:themeColor="text1" w:themeTint="D9"/>
      <w:szCs w:val="20"/>
      <w:lang w:eastAsia="en-AU"/>
    </w:rPr>
  </w:style>
  <w:style w:type="character" w:customStyle="1" w:styleId="GRRLink">
    <w:name w:val="GRR Link"/>
    <w:basedOn w:val="DefaultParagraphFont"/>
    <w:uiPriority w:val="1"/>
    <w:qFormat/>
    <w:rsid w:val="000E0490"/>
  </w:style>
  <w:style w:type="character" w:styleId="Mention">
    <w:name w:val="Mention"/>
    <w:basedOn w:val="DefaultParagraphFont"/>
    <w:uiPriority w:val="99"/>
    <w:unhideWhenUsed/>
    <w:rsid w:val="000E0490"/>
    <w:rPr>
      <w:color w:val="2B579A"/>
      <w:shd w:val="clear" w:color="auto" w:fill="E1DFDD"/>
    </w:rPr>
  </w:style>
  <w:style w:type="table" w:styleId="PlainTable1">
    <w:name w:val="Plain Table 1"/>
    <w:basedOn w:val="TableNormal"/>
    <w:uiPriority w:val="41"/>
    <w:rsid w:val="00431C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1C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31C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31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9755">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hyperlink" Target="https://portal.paymenttimes.gov.au/" TargetMode="External"/><Relationship Id="rId47" Type="http://schemas.openxmlformats.org/officeDocument/2006/relationships/hyperlink" Target="https://register.paymenttimes.gov.au/" TargetMode="External"/><Relationship Id="rId63" Type="http://schemas.openxmlformats.org/officeDocument/2006/relationships/hyperlink" Target="https://portal.paymenttimes.gov.au/" TargetMode="External"/><Relationship Id="rId68" Type="http://schemas.openxmlformats.org/officeDocument/2006/relationships/hyperlink" Target="https://register.paymenttimes.gov.au/" TargetMode="External"/><Relationship Id="rId84" Type="http://schemas.openxmlformats.org/officeDocument/2006/relationships/footer" Target="footer9.xml"/><Relationship Id="rId16" Type="http://schemas.openxmlformats.org/officeDocument/2006/relationships/header" Target="header2.xml"/><Relationship Id="rId11" Type="http://schemas.openxmlformats.org/officeDocument/2006/relationships/hyperlink" Target="https://creativecommons.org/licenses/by/4.0/" TargetMode="External"/><Relationship Id="rId32" Type="http://schemas.openxmlformats.org/officeDocument/2006/relationships/hyperlink" Target="https://register.paymenttimes.gov.au/" TargetMode="External"/><Relationship Id="rId37" Type="http://schemas.openxmlformats.org/officeDocument/2006/relationships/hyperlink" Target="https://portal.paymenttimes.gov.au/" TargetMode="External"/><Relationship Id="rId53" Type="http://schemas.openxmlformats.org/officeDocument/2006/relationships/hyperlink" Target="https://portal.paymenttimes.gov.au/" TargetMode="External"/><Relationship Id="rId58" Type="http://schemas.openxmlformats.org/officeDocument/2006/relationships/hyperlink" Target="https://portal.paymenttimes.gov.au/" TargetMode="External"/><Relationship Id="rId74" Type="http://schemas.openxmlformats.org/officeDocument/2006/relationships/hyperlink" Target="https://register.paymenttimes.gov.au/" TargetMode="External"/><Relationship Id="rId79" Type="http://schemas.openxmlformats.org/officeDocument/2006/relationships/header" Target="header7.xml"/><Relationship Id="rId5"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finance.gov.au/government/managing-commonwealth-resources/structure-australian-government-public-sector/pgpa-act-flipchart-and-list" TargetMode="External"/><Relationship Id="rId30" Type="http://schemas.openxmlformats.org/officeDocument/2006/relationships/hyperlink" Target="https://portal.paymenttimes.gov.au/" TargetMode="External"/><Relationship Id="rId35" Type="http://schemas.openxmlformats.org/officeDocument/2006/relationships/hyperlink" Target="https://portal.paymenttimes.gov.au/" TargetMode="External"/><Relationship Id="rId43" Type="http://schemas.openxmlformats.org/officeDocument/2006/relationships/hyperlink" Target="https://portal.paymenttimes.gov.au/" TargetMode="External"/><Relationship Id="rId48" Type="http://schemas.openxmlformats.org/officeDocument/2006/relationships/hyperlink" Target="https://register.paymenttimes.gov.au/" TargetMode="External"/><Relationship Id="rId56" Type="http://schemas.openxmlformats.org/officeDocument/2006/relationships/hyperlink" Target="https://register.paymenttimes.gov.au/" TargetMode="External"/><Relationship Id="rId64" Type="http://schemas.openxmlformats.org/officeDocument/2006/relationships/hyperlink" Target="https://portal.paymenttimes.gov.au/" TargetMode="External"/><Relationship Id="rId69" Type="http://schemas.openxmlformats.org/officeDocument/2006/relationships/hyperlink" Target="https://www.aat.gov.au/apply-for-a-review/other-decisions/fees" TargetMode="External"/><Relationship Id="rId77" Type="http://schemas.openxmlformats.org/officeDocument/2006/relationships/hyperlink" Target="https://register.paymenttimes.gov.au/" TargetMode="External"/><Relationship Id="rId8" Type="http://schemas.openxmlformats.org/officeDocument/2006/relationships/hyperlink" Target="https://creativecommons.org/licenses/by/4.0/" TargetMode="External"/><Relationship Id="rId51" Type="http://schemas.openxmlformats.org/officeDocument/2006/relationships/hyperlink" Target="https://portal.paymenttimes.gov.au/" TargetMode="External"/><Relationship Id="rId72" Type="http://schemas.openxmlformats.org/officeDocument/2006/relationships/hyperlink" Target="https://register.paymenttimes.gov.au/"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register.paymenttimes.gov.au/" TargetMode="External"/><Relationship Id="rId38" Type="http://schemas.openxmlformats.org/officeDocument/2006/relationships/hyperlink" Target="https://portal.paymenttimes.gov.au/" TargetMode="External"/><Relationship Id="rId46" Type="http://schemas.openxmlformats.org/officeDocument/2006/relationships/hyperlink" Target="https://portal.paymenttimes.gov.au/" TargetMode="External"/><Relationship Id="rId59" Type="http://schemas.openxmlformats.org/officeDocument/2006/relationships/hyperlink" Target="https://register.paymenttimes.gov.au/" TargetMode="External"/><Relationship Id="rId67" Type="http://schemas.openxmlformats.org/officeDocument/2006/relationships/hyperlink" Target="https://portal.paymenttimes.gov.au/" TargetMode="External"/><Relationship Id="rId20" Type="http://schemas.openxmlformats.org/officeDocument/2006/relationships/hyperlink" Target="mailto:support@paymenttimes.gov.au" TargetMode="External"/><Relationship Id="rId41" Type="http://schemas.openxmlformats.org/officeDocument/2006/relationships/hyperlink" Target="https://register.paymenttimes.gov.au/" TargetMode="External"/><Relationship Id="rId54" Type="http://schemas.openxmlformats.org/officeDocument/2006/relationships/hyperlink" Target="https://register.paymenttimes.gov.au/" TargetMode="External"/><Relationship Id="rId62" Type="http://schemas.openxmlformats.org/officeDocument/2006/relationships/hyperlink" Target="https://portal.paymenttimes.gov.au/" TargetMode="External"/><Relationship Id="rId70" Type="http://schemas.openxmlformats.org/officeDocument/2006/relationships/hyperlink" Target="https://www.aat.gov.au/" TargetMode="External"/><Relationship Id="rId75" Type="http://schemas.openxmlformats.org/officeDocument/2006/relationships/hyperlink" Target="https://register.paymenttimes.gov.au/" TargetMode="External"/><Relationship Id="rId83"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portal.paymenttimes.gov.au/" TargetMode="External"/><Relationship Id="rId36" Type="http://schemas.openxmlformats.org/officeDocument/2006/relationships/hyperlink" Target="https://register.paymenttimes.gov.au/" TargetMode="External"/><Relationship Id="rId49" Type="http://schemas.openxmlformats.org/officeDocument/2006/relationships/hyperlink" Target="https://paymenttimes.gov.au/guidance" TargetMode="External"/><Relationship Id="rId57" Type="http://schemas.openxmlformats.org/officeDocument/2006/relationships/hyperlink" Target="https://portal.paymenttimes.gov.au/" TargetMode="External"/><Relationship Id="rId10" Type="http://schemas.openxmlformats.org/officeDocument/2006/relationships/image" Target="media/image2.wmf"/><Relationship Id="rId31" Type="http://schemas.openxmlformats.org/officeDocument/2006/relationships/hyperlink" Target="https://portal.paymenttimes.gov.au/" TargetMode="External"/><Relationship Id="rId44" Type="http://schemas.openxmlformats.org/officeDocument/2006/relationships/hyperlink" Target="https://paymenttimes.gov.au" TargetMode="External"/><Relationship Id="rId52" Type="http://schemas.openxmlformats.org/officeDocument/2006/relationships/hyperlink" Target="https://www.finance.gov.au/government/managing-commonwealth-resources/structure-australian-government-public-sector/pgpa-act-flipchart-and-list" TargetMode="External"/><Relationship Id="rId60" Type="http://schemas.openxmlformats.org/officeDocument/2006/relationships/hyperlink" Target="https://register.paymenttimes.gov.au/" TargetMode="External"/><Relationship Id="rId65" Type="http://schemas.openxmlformats.org/officeDocument/2006/relationships/hyperlink" Target="https://portal.paymenttimes.gov.au/" TargetMode="External"/><Relationship Id="rId73" Type="http://schemas.openxmlformats.org/officeDocument/2006/relationships/hyperlink" Target="https://register.paymenttimes.gov.au/" TargetMode="External"/><Relationship Id="rId78" Type="http://schemas.openxmlformats.org/officeDocument/2006/relationships/hyperlink" Target="https://register.paymenttimes.gov.au/" TargetMode="External"/><Relationship Id="rId81" Type="http://schemas.openxmlformats.org/officeDocument/2006/relationships/footer" Target="footer7.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39" Type="http://schemas.openxmlformats.org/officeDocument/2006/relationships/hyperlink" Target="https://register.paymenttimes.gov.au/" TargetMode="External"/><Relationship Id="rId34" Type="http://schemas.openxmlformats.org/officeDocument/2006/relationships/hyperlink" Target="https://portal.paymenttimes.gov.au/" TargetMode="External"/><Relationship Id="rId50" Type="http://schemas.openxmlformats.org/officeDocument/2006/relationships/hyperlink" Target="https://register.paymenttimes.gov.au/" TargetMode="External"/><Relationship Id="rId55" Type="http://schemas.openxmlformats.org/officeDocument/2006/relationships/hyperlink" Target="https://portal.paymenttimes.gov.au/" TargetMode="External"/><Relationship Id="rId76" Type="http://schemas.openxmlformats.org/officeDocument/2006/relationships/hyperlink" Target="https://register.paymenttimes.gov.au/" TargetMode="External"/><Relationship Id="rId7" Type="http://schemas.openxmlformats.org/officeDocument/2006/relationships/image" Target="media/image1.png"/><Relationship Id="rId71" Type="http://schemas.openxmlformats.org/officeDocument/2006/relationships/hyperlink" Target="https://register.paymenttimes.gov.au/" TargetMode="External"/><Relationship Id="rId2" Type="http://schemas.openxmlformats.org/officeDocument/2006/relationships/styles" Target="styles.xml"/><Relationship Id="rId29" Type="http://schemas.openxmlformats.org/officeDocument/2006/relationships/hyperlink" Target="https://portal.paymenttimes.gov.au/" TargetMode="External"/><Relationship Id="rId24" Type="http://schemas.openxmlformats.org/officeDocument/2006/relationships/footer" Target="footer5.xml"/><Relationship Id="rId40" Type="http://schemas.openxmlformats.org/officeDocument/2006/relationships/hyperlink" Target="https://portal.paymenttimes.gov.au/" TargetMode="External"/><Relationship Id="rId45" Type="http://schemas.openxmlformats.org/officeDocument/2006/relationships/hyperlink" Target="https://portal.paymenttimes.gov.au/" TargetMode="External"/><Relationship Id="rId66" Type="http://schemas.openxmlformats.org/officeDocument/2006/relationships/hyperlink" Target="https://portal.paymenttimes.gov.au/" TargetMode="External"/><Relationship Id="rId61" Type="http://schemas.openxmlformats.org/officeDocument/2006/relationships/hyperlink" Target="https://portal.paymenttimes.gov.au/" TargetMode="External"/><Relationship Id="rId8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SY Corporate">
  <a:themeElements>
    <a:clrScheme name="Payment Times Reporting Scheme">
      <a:dk1>
        <a:sysClr val="windowText" lastClr="000000"/>
      </a:dk1>
      <a:lt1>
        <a:sysClr val="window" lastClr="FFFFFF"/>
      </a:lt1>
      <a:dk2>
        <a:srgbClr val="5F5F5F"/>
      </a:dk2>
      <a:lt2>
        <a:srgbClr val="EEEEEE"/>
      </a:lt2>
      <a:accent1>
        <a:srgbClr val="002C47"/>
      </a:accent1>
      <a:accent2>
        <a:srgbClr val="00827F"/>
      </a:accent2>
      <a:accent3>
        <a:srgbClr val="3A6FAF"/>
      </a:accent3>
      <a:accent4>
        <a:srgbClr val="F7901E"/>
      </a:accent4>
      <a:accent5>
        <a:srgbClr val="FEF2E4"/>
      </a:accent5>
      <a:accent6>
        <a:srgbClr val="E5F2F2"/>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20299</Words>
  <Characters>115705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Payment Times Reporting: Guidance Materials</vt:lpstr>
    </vt:vector>
  </TitlesOfParts>
  <Company/>
  <LinksUpToDate>false</LinksUpToDate>
  <CharactersWithSpaces>135733</CharactersWithSpaces>
  <SharedDoc>false</SharedDoc>
  <HLinks>
    <vt:vector size="948" baseType="variant">
      <vt:variant>
        <vt:i4>1376277</vt:i4>
      </vt:variant>
      <vt:variant>
        <vt:i4>891</vt:i4>
      </vt:variant>
      <vt:variant>
        <vt:i4>0</vt:i4>
      </vt:variant>
      <vt:variant>
        <vt:i4>5</vt:i4>
      </vt:variant>
      <vt:variant>
        <vt:lpwstr>https://register.paymenttimes.gov.au/</vt:lpwstr>
      </vt:variant>
      <vt:variant>
        <vt:lpwstr/>
      </vt:variant>
      <vt:variant>
        <vt:i4>1376277</vt:i4>
      </vt:variant>
      <vt:variant>
        <vt:i4>888</vt:i4>
      </vt:variant>
      <vt:variant>
        <vt:i4>0</vt:i4>
      </vt:variant>
      <vt:variant>
        <vt:i4>5</vt:i4>
      </vt:variant>
      <vt:variant>
        <vt:lpwstr>https://register.paymenttimes.gov.au/</vt:lpwstr>
      </vt:variant>
      <vt:variant>
        <vt:lpwstr/>
      </vt:variant>
      <vt:variant>
        <vt:i4>1376277</vt:i4>
      </vt:variant>
      <vt:variant>
        <vt:i4>885</vt:i4>
      </vt:variant>
      <vt:variant>
        <vt:i4>0</vt:i4>
      </vt:variant>
      <vt:variant>
        <vt:i4>5</vt:i4>
      </vt:variant>
      <vt:variant>
        <vt:lpwstr>https://register.paymenttimes.gov.au/</vt:lpwstr>
      </vt:variant>
      <vt:variant>
        <vt:lpwstr/>
      </vt:variant>
      <vt:variant>
        <vt:i4>1376277</vt:i4>
      </vt:variant>
      <vt:variant>
        <vt:i4>882</vt:i4>
      </vt:variant>
      <vt:variant>
        <vt:i4>0</vt:i4>
      </vt:variant>
      <vt:variant>
        <vt:i4>5</vt:i4>
      </vt:variant>
      <vt:variant>
        <vt:lpwstr>https://register.paymenttimes.gov.au/</vt:lpwstr>
      </vt:variant>
      <vt:variant>
        <vt:lpwstr/>
      </vt:variant>
      <vt:variant>
        <vt:i4>1376277</vt:i4>
      </vt:variant>
      <vt:variant>
        <vt:i4>879</vt:i4>
      </vt:variant>
      <vt:variant>
        <vt:i4>0</vt:i4>
      </vt:variant>
      <vt:variant>
        <vt:i4>5</vt:i4>
      </vt:variant>
      <vt:variant>
        <vt:lpwstr>https://register.paymenttimes.gov.au/</vt:lpwstr>
      </vt:variant>
      <vt:variant>
        <vt:lpwstr/>
      </vt:variant>
      <vt:variant>
        <vt:i4>1376277</vt:i4>
      </vt:variant>
      <vt:variant>
        <vt:i4>876</vt:i4>
      </vt:variant>
      <vt:variant>
        <vt:i4>0</vt:i4>
      </vt:variant>
      <vt:variant>
        <vt:i4>5</vt:i4>
      </vt:variant>
      <vt:variant>
        <vt:lpwstr>https://register.paymenttimes.gov.au/</vt:lpwstr>
      </vt:variant>
      <vt:variant>
        <vt:lpwstr/>
      </vt:variant>
      <vt:variant>
        <vt:i4>1376277</vt:i4>
      </vt:variant>
      <vt:variant>
        <vt:i4>870</vt:i4>
      </vt:variant>
      <vt:variant>
        <vt:i4>0</vt:i4>
      </vt:variant>
      <vt:variant>
        <vt:i4>5</vt:i4>
      </vt:variant>
      <vt:variant>
        <vt:lpwstr>https://register.paymenttimes.gov.au/</vt:lpwstr>
      </vt:variant>
      <vt:variant>
        <vt:lpwstr/>
      </vt:variant>
      <vt:variant>
        <vt:i4>1376277</vt:i4>
      </vt:variant>
      <vt:variant>
        <vt:i4>867</vt:i4>
      </vt:variant>
      <vt:variant>
        <vt:i4>0</vt:i4>
      </vt:variant>
      <vt:variant>
        <vt:i4>5</vt:i4>
      </vt:variant>
      <vt:variant>
        <vt:lpwstr>https://register.paymenttimes.gov.au/</vt:lpwstr>
      </vt:variant>
      <vt:variant>
        <vt:lpwstr/>
      </vt:variant>
      <vt:variant>
        <vt:i4>3342373</vt:i4>
      </vt:variant>
      <vt:variant>
        <vt:i4>864</vt:i4>
      </vt:variant>
      <vt:variant>
        <vt:i4>0</vt:i4>
      </vt:variant>
      <vt:variant>
        <vt:i4>5</vt:i4>
      </vt:variant>
      <vt:variant>
        <vt:lpwstr>https://www.aat.gov.au/</vt:lpwstr>
      </vt:variant>
      <vt:variant>
        <vt:lpwstr/>
      </vt:variant>
      <vt:variant>
        <vt:i4>7209009</vt:i4>
      </vt:variant>
      <vt:variant>
        <vt:i4>861</vt:i4>
      </vt:variant>
      <vt:variant>
        <vt:i4>0</vt:i4>
      </vt:variant>
      <vt:variant>
        <vt:i4>5</vt:i4>
      </vt:variant>
      <vt:variant>
        <vt:lpwstr>https://www.aat.gov.au/apply-for-a-review/other-decisions/fees</vt:lpwstr>
      </vt:variant>
      <vt:variant>
        <vt:lpwstr/>
      </vt:variant>
      <vt:variant>
        <vt:i4>1376277</vt:i4>
      </vt:variant>
      <vt:variant>
        <vt:i4>858</vt:i4>
      </vt:variant>
      <vt:variant>
        <vt:i4>0</vt:i4>
      </vt:variant>
      <vt:variant>
        <vt:i4>5</vt:i4>
      </vt:variant>
      <vt:variant>
        <vt:lpwstr>https://register.paymenttimes.gov.au/</vt:lpwstr>
      </vt:variant>
      <vt:variant>
        <vt:lpwstr/>
      </vt:variant>
      <vt:variant>
        <vt:i4>6815861</vt:i4>
      </vt:variant>
      <vt:variant>
        <vt:i4>852</vt:i4>
      </vt:variant>
      <vt:variant>
        <vt:i4>0</vt:i4>
      </vt:variant>
      <vt:variant>
        <vt:i4>5</vt:i4>
      </vt:variant>
      <vt:variant>
        <vt:lpwstr>https://portal.paymenttimes.gov.au/</vt:lpwstr>
      </vt:variant>
      <vt:variant>
        <vt:lpwstr/>
      </vt:variant>
      <vt:variant>
        <vt:i4>6815861</vt:i4>
      </vt:variant>
      <vt:variant>
        <vt:i4>846</vt:i4>
      </vt:variant>
      <vt:variant>
        <vt:i4>0</vt:i4>
      </vt:variant>
      <vt:variant>
        <vt:i4>5</vt:i4>
      </vt:variant>
      <vt:variant>
        <vt:lpwstr>https://portal.paymenttimes.gov.au/</vt:lpwstr>
      </vt:variant>
      <vt:variant>
        <vt:lpwstr/>
      </vt:variant>
      <vt:variant>
        <vt:i4>6815861</vt:i4>
      </vt:variant>
      <vt:variant>
        <vt:i4>840</vt:i4>
      </vt:variant>
      <vt:variant>
        <vt:i4>0</vt:i4>
      </vt:variant>
      <vt:variant>
        <vt:i4>5</vt:i4>
      </vt:variant>
      <vt:variant>
        <vt:lpwstr>https://portal.paymenttimes.gov.au/</vt:lpwstr>
      </vt:variant>
      <vt:variant>
        <vt:lpwstr/>
      </vt:variant>
      <vt:variant>
        <vt:i4>6815861</vt:i4>
      </vt:variant>
      <vt:variant>
        <vt:i4>837</vt:i4>
      </vt:variant>
      <vt:variant>
        <vt:i4>0</vt:i4>
      </vt:variant>
      <vt:variant>
        <vt:i4>5</vt:i4>
      </vt:variant>
      <vt:variant>
        <vt:lpwstr>https://portal.paymenttimes.gov.au/</vt:lpwstr>
      </vt:variant>
      <vt:variant>
        <vt:lpwstr/>
      </vt:variant>
      <vt:variant>
        <vt:i4>6815861</vt:i4>
      </vt:variant>
      <vt:variant>
        <vt:i4>831</vt:i4>
      </vt:variant>
      <vt:variant>
        <vt:i4>0</vt:i4>
      </vt:variant>
      <vt:variant>
        <vt:i4>5</vt:i4>
      </vt:variant>
      <vt:variant>
        <vt:lpwstr>https://portal.paymenttimes.gov.au/</vt:lpwstr>
      </vt:variant>
      <vt:variant>
        <vt:lpwstr/>
      </vt:variant>
      <vt:variant>
        <vt:i4>6815861</vt:i4>
      </vt:variant>
      <vt:variant>
        <vt:i4>819</vt:i4>
      </vt:variant>
      <vt:variant>
        <vt:i4>0</vt:i4>
      </vt:variant>
      <vt:variant>
        <vt:i4>5</vt:i4>
      </vt:variant>
      <vt:variant>
        <vt:lpwstr>https://portal.paymenttimes.gov.au/</vt:lpwstr>
      </vt:variant>
      <vt:variant>
        <vt:lpwstr/>
      </vt:variant>
      <vt:variant>
        <vt:i4>6815861</vt:i4>
      </vt:variant>
      <vt:variant>
        <vt:i4>816</vt:i4>
      </vt:variant>
      <vt:variant>
        <vt:i4>0</vt:i4>
      </vt:variant>
      <vt:variant>
        <vt:i4>5</vt:i4>
      </vt:variant>
      <vt:variant>
        <vt:lpwstr>https://portal.paymenttimes.gov.au/</vt:lpwstr>
      </vt:variant>
      <vt:variant>
        <vt:lpwstr/>
      </vt:variant>
      <vt:variant>
        <vt:i4>1376277</vt:i4>
      </vt:variant>
      <vt:variant>
        <vt:i4>807</vt:i4>
      </vt:variant>
      <vt:variant>
        <vt:i4>0</vt:i4>
      </vt:variant>
      <vt:variant>
        <vt:i4>5</vt:i4>
      </vt:variant>
      <vt:variant>
        <vt:lpwstr>https://register.paymenttimes.gov.au/</vt:lpwstr>
      </vt:variant>
      <vt:variant>
        <vt:lpwstr/>
      </vt:variant>
      <vt:variant>
        <vt:i4>1376277</vt:i4>
      </vt:variant>
      <vt:variant>
        <vt:i4>804</vt:i4>
      </vt:variant>
      <vt:variant>
        <vt:i4>0</vt:i4>
      </vt:variant>
      <vt:variant>
        <vt:i4>5</vt:i4>
      </vt:variant>
      <vt:variant>
        <vt:lpwstr>https://register.paymenttimes.gov.au/</vt:lpwstr>
      </vt:variant>
      <vt:variant>
        <vt:lpwstr/>
      </vt:variant>
      <vt:variant>
        <vt:i4>6815861</vt:i4>
      </vt:variant>
      <vt:variant>
        <vt:i4>801</vt:i4>
      </vt:variant>
      <vt:variant>
        <vt:i4>0</vt:i4>
      </vt:variant>
      <vt:variant>
        <vt:i4>5</vt:i4>
      </vt:variant>
      <vt:variant>
        <vt:lpwstr>https://portal.paymenttimes.gov.au/</vt:lpwstr>
      </vt:variant>
      <vt:variant>
        <vt:lpwstr/>
      </vt:variant>
      <vt:variant>
        <vt:i4>6815861</vt:i4>
      </vt:variant>
      <vt:variant>
        <vt:i4>798</vt:i4>
      </vt:variant>
      <vt:variant>
        <vt:i4>0</vt:i4>
      </vt:variant>
      <vt:variant>
        <vt:i4>5</vt:i4>
      </vt:variant>
      <vt:variant>
        <vt:lpwstr>https://portal.paymenttimes.gov.au/</vt:lpwstr>
      </vt:variant>
      <vt:variant>
        <vt:lpwstr/>
      </vt:variant>
      <vt:variant>
        <vt:i4>1376277</vt:i4>
      </vt:variant>
      <vt:variant>
        <vt:i4>795</vt:i4>
      </vt:variant>
      <vt:variant>
        <vt:i4>0</vt:i4>
      </vt:variant>
      <vt:variant>
        <vt:i4>5</vt:i4>
      </vt:variant>
      <vt:variant>
        <vt:lpwstr>https://register.paymenttimes.gov.au/</vt:lpwstr>
      </vt:variant>
      <vt:variant>
        <vt:lpwstr/>
      </vt:variant>
      <vt:variant>
        <vt:i4>6815861</vt:i4>
      </vt:variant>
      <vt:variant>
        <vt:i4>792</vt:i4>
      </vt:variant>
      <vt:variant>
        <vt:i4>0</vt:i4>
      </vt:variant>
      <vt:variant>
        <vt:i4>5</vt:i4>
      </vt:variant>
      <vt:variant>
        <vt:lpwstr>https://portal.paymenttimes.gov.au/</vt:lpwstr>
      </vt:variant>
      <vt:variant>
        <vt:lpwstr/>
      </vt:variant>
      <vt:variant>
        <vt:i4>1376277</vt:i4>
      </vt:variant>
      <vt:variant>
        <vt:i4>789</vt:i4>
      </vt:variant>
      <vt:variant>
        <vt:i4>0</vt:i4>
      </vt:variant>
      <vt:variant>
        <vt:i4>5</vt:i4>
      </vt:variant>
      <vt:variant>
        <vt:lpwstr>https://register.paymenttimes.gov.au/</vt:lpwstr>
      </vt:variant>
      <vt:variant>
        <vt:lpwstr/>
      </vt:variant>
      <vt:variant>
        <vt:i4>6815861</vt:i4>
      </vt:variant>
      <vt:variant>
        <vt:i4>774</vt:i4>
      </vt:variant>
      <vt:variant>
        <vt:i4>0</vt:i4>
      </vt:variant>
      <vt:variant>
        <vt:i4>5</vt:i4>
      </vt:variant>
      <vt:variant>
        <vt:lpwstr>https://portal.paymenttimes.gov.au/</vt:lpwstr>
      </vt:variant>
      <vt:variant>
        <vt:lpwstr/>
      </vt:variant>
      <vt:variant>
        <vt:i4>4063287</vt:i4>
      </vt:variant>
      <vt:variant>
        <vt:i4>747</vt:i4>
      </vt:variant>
      <vt:variant>
        <vt:i4>0</vt:i4>
      </vt:variant>
      <vt:variant>
        <vt:i4>5</vt:i4>
      </vt:variant>
      <vt:variant>
        <vt:lpwstr>https://www.finance.gov.au/government/managing-commonwealth-resources/structure-australian-government-public-sector/pgpa-act-flipchart-and-list</vt:lpwstr>
      </vt:variant>
      <vt:variant>
        <vt:lpwstr/>
      </vt:variant>
      <vt:variant>
        <vt:i4>6815861</vt:i4>
      </vt:variant>
      <vt:variant>
        <vt:i4>741</vt:i4>
      </vt:variant>
      <vt:variant>
        <vt:i4>0</vt:i4>
      </vt:variant>
      <vt:variant>
        <vt:i4>5</vt:i4>
      </vt:variant>
      <vt:variant>
        <vt:lpwstr>https://portal.paymenttimes.gov.au/</vt:lpwstr>
      </vt:variant>
      <vt:variant>
        <vt:lpwstr/>
      </vt:variant>
      <vt:variant>
        <vt:i4>1376277</vt:i4>
      </vt:variant>
      <vt:variant>
        <vt:i4>714</vt:i4>
      </vt:variant>
      <vt:variant>
        <vt:i4>0</vt:i4>
      </vt:variant>
      <vt:variant>
        <vt:i4>5</vt:i4>
      </vt:variant>
      <vt:variant>
        <vt:lpwstr>https://register.paymenttimes.gov.au/</vt:lpwstr>
      </vt:variant>
      <vt:variant>
        <vt:lpwstr/>
      </vt:variant>
      <vt:variant>
        <vt:i4>6029378</vt:i4>
      </vt:variant>
      <vt:variant>
        <vt:i4>711</vt:i4>
      </vt:variant>
      <vt:variant>
        <vt:i4>0</vt:i4>
      </vt:variant>
      <vt:variant>
        <vt:i4>5</vt:i4>
      </vt:variant>
      <vt:variant>
        <vt:lpwstr>https://paymenttimes.gov.au/guidance</vt:lpwstr>
      </vt:variant>
      <vt:variant>
        <vt:lpwstr/>
      </vt:variant>
      <vt:variant>
        <vt:i4>1376277</vt:i4>
      </vt:variant>
      <vt:variant>
        <vt:i4>708</vt:i4>
      </vt:variant>
      <vt:variant>
        <vt:i4>0</vt:i4>
      </vt:variant>
      <vt:variant>
        <vt:i4>5</vt:i4>
      </vt:variant>
      <vt:variant>
        <vt:lpwstr>https://register.paymenttimes.gov.au/</vt:lpwstr>
      </vt:variant>
      <vt:variant>
        <vt:lpwstr/>
      </vt:variant>
      <vt:variant>
        <vt:i4>1376277</vt:i4>
      </vt:variant>
      <vt:variant>
        <vt:i4>705</vt:i4>
      </vt:variant>
      <vt:variant>
        <vt:i4>0</vt:i4>
      </vt:variant>
      <vt:variant>
        <vt:i4>5</vt:i4>
      </vt:variant>
      <vt:variant>
        <vt:lpwstr>https://register.paymenttimes.gov.au/</vt:lpwstr>
      </vt:variant>
      <vt:variant>
        <vt:lpwstr/>
      </vt:variant>
      <vt:variant>
        <vt:i4>6815861</vt:i4>
      </vt:variant>
      <vt:variant>
        <vt:i4>702</vt:i4>
      </vt:variant>
      <vt:variant>
        <vt:i4>0</vt:i4>
      </vt:variant>
      <vt:variant>
        <vt:i4>5</vt:i4>
      </vt:variant>
      <vt:variant>
        <vt:lpwstr>https://portal.paymenttimes.gov.au/</vt:lpwstr>
      </vt:variant>
      <vt:variant>
        <vt:lpwstr/>
      </vt:variant>
      <vt:variant>
        <vt:i4>6815861</vt:i4>
      </vt:variant>
      <vt:variant>
        <vt:i4>699</vt:i4>
      </vt:variant>
      <vt:variant>
        <vt:i4>0</vt:i4>
      </vt:variant>
      <vt:variant>
        <vt:i4>5</vt:i4>
      </vt:variant>
      <vt:variant>
        <vt:lpwstr>https://portal.paymenttimes.gov.au/</vt:lpwstr>
      </vt:variant>
      <vt:variant>
        <vt:lpwstr/>
      </vt:variant>
      <vt:variant>
        <vt:i4>4587598</vt:i4>
      </vt:variant>
      <vt:variant>
        <vt:i4>696</vt:i4>
      </vt:variant>
      <vt:variant>
        <vt:i4>0</vt:i4>
      </vt:variant>
      <vt:variant>
        <vt:i4>5</vt:i4>
      </vt:variant>
      <vt:variant>
        <vt:lpwstr>https://paymenttimes.gov.au/</vt:lpwstr>
      </vt:variant>
      <vt:variant>
        <vt:lpwstr/>
      </vt:variant>
      <vt:variant>
        <vt:i4>6815861</vt:i4>
      </vt:variant>
      <vt:variant>
        <vt:i4>693</vt:i4>
      </vt:variant>
      <vt:variant>
        <vt:i4>0</vt:i4>
      </vt:variant>
      <vt:variant>
        <vt:i4>5</vt:i4>
      </vt:variant>
      <vt:variant>
        <vt:lpwstr>https://portal.paymenttimes.gov.au/</vt:lpwstr>
      </vt:variant>
      <vt:variant>
        <vt:lpwstr/>
      </vt:variant>
      <vt:variant>
        <vt:i4>6815861</vt:i4>
      </vt:variant>
      <vt:variant>
        <vt:i4>690</vt:i4>
      </vt:variant>
      <vt:variant>
        <vt:i4>0</vt:i4>
      </vt:variant>
      <vt:variant>
        <vt:i4>5</vt:i4>
      </vt:variant>
      <vt:variant>
        <vt:lpwstr>https://portal.paymenttimes.gov.au/</vt:lpwstr>
      </vt:variant>
      <vt:variant>
        <vt:lpwstr/>
      </vt:variant>
      <vt:variant>
        <vt:i4>1376277</vt:i4>
      </vt:variant>
      <vt:variant>
        <vt:i4>684</vt:i4>
      </vt:variant>
      <vt:variant>
        <vt:i4>0</vt:i4>
      </vt:variant>
      <vt:variant>
        <vt:i4>5</vt:i4>
      </vt:variant>
      <vt:variant>
        <vt:lpwstr>https://register.paymenttimes.gov.au/</vt:lpwstr>
      </vt:variant>
      <vt:variant>
        <vt:lpwstr/>
      </vt:variant>
      <vt:variant>
        <vt:i4>6815861</vt:i4>
      </vt:variant>
      <vt:variant>
        <vt:i4>681</vt:i4>
      </vt:variant>
      <vt:variant>
        <vt:i4>0</vt:i4>
      </vt:variant>
      <vt:variant>
        <vt:i4>5</vt:i4>
      </vt:variant>
      <vt:variant>
        <vt:lpwstr>https://portal.paymenttimes.gov.au/</vt:lpwstr>
      </vt:variant>
      <vt:variant>
        <vt:lpwstr/>
      </vt:variant>
      <vt:variant>
        <vt:i4>1376277</vt:i4>
      </vt:variant>
      <vt:variant>
        <vt:i4>678</vt:i4>
      </vt:variant>
      <vt:variant>
        <vt:i4>0</vt:i4>
      </vt:variant>
      <vt:variant>
        <vt:i4>5</vt:i4>
      </vt:variant>
      <vt:variant>
        <vt:lpwstr>https://register.paymenttimes.gov.au/</vt:lpwstr>
      </vt:variant>
      <vt:variant>
        <vt:lpwstr/>
      </vt:variant>
      <vt:variant>
        <vt:i4>6815861</vt:i4>
      </vt:variant>
      <vt:variant>
        <vt:i4>672</vt:i4>
      </vt:variant>
      <vt:variant>
        <vt:i4>0</vt:i4>
      </vt:variant>
      <vt:variant>
        <vt:i4>5</vt:i4>
      </vt:variant>
      <vt:variant>
        <vt:lpwstr>https://portal.paymenttimes.gov.au/</vt:lpwstr>
      </vt:variant>
      <vt:variant>
        <vt:lpwstr/>
      </vt:variant>
      <vt:variant>
        <vt:i4>6815861</vt:i4>
      </vt:variant>
      <vt:variant>
        <vt:i4>669</vt:i4>
      </vt:variant>
      <vt:variant>
        <vt:i4>0</vt:i4>
      </vt:variant>
      <vt:variant>
        <vt:i4>5</vt:i4>
      </vt:variant>
      <vt:variant>
        <vt:lpwstr>https://portal.paymenttimes.gov.au/</vt:lpwstr>
      </vt:variant>
      <vt:variant>
        <vt:lpwstr/>
      </vt:variant>
      <vt:variant>
        <vt:i4>1376277</vt:i4>
      </vt:variant>
      <vt:variant>
        <vt:i4>663</vt:i4>
      </vt:variant>
      <vt:variant>
        <vt:i4>0</vt:i4>
      </vt:variant>
      <vt:variant>
        <vt:i4>5</vt:i4>
      </vt:variant>
      <vt:variant>
        <vt:lpwstr>https://register.paymenttimes.gov.au/</vt:lpwstr>
      </vt:variant>
      <vt:variant>
        <vt:lpwstr/>
      </vt:variant>
      <vt:variant>
        <vt:i4>6815861</vt:i4>
      </vt:variant>
      <vt:variant>
        <vt:i4>657</vt:i4>
      </vt:variant>
      <vt:variant>
        <vt:i4>0</vt:i4>
      </vt:variant>
      <vt:variant>
        <vt:i4>5</vt:i4>
      </vt:variant>
      <vt:variant>
        <vt:lpwstr>https://portal.paymenttimes.gov.au/</vt:lpwstr>
      </vt:variant>
      <vt:variant>
        <vt:lpwstr/>
      </vt:variant>
      <vt:variant>
        <vt:i4>6815861</vt:i4>
      </vt:variant>
      <vt:variant>
        <vt:i4>654</vt:i4>
      </vt:variant>
      <vt:variant>
        <vt:i4>0</vt:i4>
      </vt:variant>
      <vt:variant>
        <vt:i4>5</vt:i4>
      </vt:variant>
      <vt:variant>
        <vt:lpwstr>https://portal.paymenttimes.gov.au/</vt:lpwstr>
      </vt:variant>
      <vt:variant>
        <vt:lpwstr/>
      </vt:variant>
      <vt:variant>
        <vt:i4>1376277</vt:i4>
      </vt:variant>
      <vt:variant>
        <vt:i4>651</vt:i4>
      </vt:variant>
      <vt:variant>
        <vt:i4>0</vt:i4>
      </vt:variant>
      <vt:variant>
        <vt:i4>5</vt:i4>
      </vt:variant>
      <vt:variant>
        <vt:lpwstr>https://register.paymenttimes.gov.au/</vt:lpwstr>
      </vt:variant>
      <vt:variant>
        <vt:lpwstr/>
      </vt:variant>
      <vt:variant>
        <vt:i4>1376277</vt:i4>
      </vt:variant>
      <vt:variant>
        <vt:i4>648</vt:i4>
      </vt:variant>
      <vt:variant>
        <vt:i4>0</vt:i4>
      </vt:variant>
      <vt:variant>
        <vt:i4>5</vt:i4>
      </vt:variant>
      <vt:variant>
        <vt:lpwstr>https://register.paymenttimes.gov.au/</vt:lpwstr>
      </vt:variant>
      <vt:variant>
        <vt:lpwstr/>
      </vt:variant>
      <vt:variant>
        <vt:i4>6815861</vt:i4>
      </vt:variant>
      <vt:variant>
        <vt:i4>642</vt:i4>
      </vt:variant>
      <vt:variant>
        <vt:i4>0</vt:i4>
      </vt:variant>
      <vt:variant>
        <vt:i4>5</vt:i4>
      </vt:variant>
      <vt:variant>
        <vt:lpwstr>https://portal.paymenttimes.gov.au/</vt:lpwstr>
      </vt:variant>
      <vt:variant>
        <vt:lpwstr/>
      </vt:variant>
      <vt:variant>
        <vt:i4>6815861</vt:i4>
      </vt:variant>
      <vt:variant>
        <vt:i4>639</vt:i4>
      </vt:variant>
      <vt:variant>
        <vt:i4>0</vt:i4>
      </vt:variant>
      <vt:variant>
        <vt:i4>5</vt:i4>
      </vt:variant>
      <vt:variant>
        <vt:lpwstr>https://portal.paymenttimes.gov.au/</vt:lpwstr>
      </vt:variant>
      <vt:variant>
        <vt:lpwstr/>
      </vt:variant>
      <vt:variant>
        <vt:i4>6815861</vt:i4>
      </vt:variant>
      <vt:variant>
        <vt:i4>636</vt:i4>
      </vt:variant>
      <vt:variant>
        <vt:i4>0</vt:i4>
      </vt:variant>
      <vt:variant>
        <vt:i4>5</vt:i4>
      </vt:variant>
      <vt:variant>
        <vt:lpwstr>https://portal.paymenttimes.gov.au/</vt:lpwstr>
      </vt:variant>
      <vt:variant>
        <vt:lpwstr/>
      </vt:variant>
      <vt:variant>
        <vt:i4>6815861</vt:i4>
      </vt:variant>
      <vt:variant>
        <vt:i4>633</vt:i4>
      </vt:variant>
      <vt:variant>
        <vt:i4>0</vt:i4>
      </vt:variant>
      <vt:variant>
        <vt:i4>5</vt:i4>
      </vt:variant>
      <vt:variant>
        <vt:lpwstr>https://portal.paymenttimes.gov.au/</vt:lpwstr>
      </vt:variant>
      <vt:variant>
        <vt:lpwstr/>
      </vt:variant>
      <vt:variant>
        <vt:i4>4063287</vt:i4>
      </vt:variant>
      <vt:variant>
        <vt:i4>624</vt:i4>
      </vt:variant>
      <vt:variant>
        <vt:i4>0</vt:i4>
      </vt:variant>
      <vt:variant>
        <vt:i4>5</vt:i4>
      </vt:variant>
      <vt:variant>
        <vt:lpwstr>https://www.finance.gov.au/government/managing-commonwealth-resources/structure-australian-government-public-sector/pgpa-act-flipchart-and-list</vt:lpwstr>
      </vt:variant>
      <vt:variant>
        <vt:lpwstr/>
      </vt:variant>
      <vt:variant>
        <vt:i4>7602181</vt:i4>
      </vt:variant>
      <vt:variant>
        <vt:i4>618</vt:i4>
      </vt:variant>
      <vt:variant>
        <vt:i4>0</vt:i4>
      </vt:variant>
      <vt:variant>
        <vt:i4>5</vt:i4>
      </vt:variant>
      <vt:variant>
        <vt:lpwstr>mailto:support@paymenttimes.gov.au</vt:lpwstr>
      </vt:variant>
      <vt:variant>
        <vt:lpwstr/>
      </vt:variant>
      <vt:variant>
        <vt:i4>1376304</vt:i4>
      </vt:variant>
      <vt:variant>
        <vt:i4>611</vt:i4>
      </vt:variant>
      <vt:variant>
        <vt:i4>0</vt:i4>
      </vt:variant>
      <vt:variant>
        <vt:i4>5</vt:i4>
      </vt:variant>
      <vt:variant>
        <vt:lpwstr/>
      </vt:variant>
      <vt:variant>
        <vt:lpwstr>_Toc184805577</vt:lpwstr>
      </vt:variant>
      <vt:variant>
        <vt:i4>1376304</vt:i4>
      </vt:variant>
      <vt:variant>
        <vt:i4>605</vt:i4>
      </vt:variant>
      <vt:variant>
        <vt:i4>0</vt:i4>
      </vt:variant>
      <vt:variant>
        <vt:i4>5</vt:i4>
      </vt:variant>
      <vt:variant>
        <vt:lpwstr/>
      </vt:variant>
      <vt:variant>
        <vt:lpwstr>_Toc184805576</vt:lpwstr>
      </vt:variant>
      <vt:variant>
        <vt:i4>1376304</vt:i4>
      </vt:variant>
      <vt:variant>
        <vt:i4>599</vt:i4>
      </vt:variant>
      <vt:variant>
        <vt:i4>0</vt:i4>
      </vt:variant>
      <vt:variant>
        <vt:i4>5</vt:i4>
      </vt:variant>
      <vt:variant>
        <vt:lpwstr/>
      </vt:variant>
      <vt:variant>
        <vt:lpwstr>_Toc184805575</vt:lpwstr>
      </vt:variant>
      <vt:variant>
        <vt:i4>1376304</vt:i4>
      </vt:variant>
      <vt:variant>
        <vt:i4>593</vt:i4>
      </vt:variant>
      <vt:variant>
        <vt:i4>0</vt:i4>
      </vt:variant>
      <vt:variant>
        <vt:i4>5</vt:i4>
      </vt:variant>
      <vt:variant>
        <vt:lpwstr/>
      </vt:variant>
      <vt:variant>
        <vt:lpwstr>_Toc184805574</vt:lpwstr>
      </vt:variant>
      <vt:variant>
        <vt:i4>1376304</vt:i4>
      </vt:variant>
      <vt:variant>
        <vt:i4>587</vt:i4>
      </vt:variant>
      <vt:variant>
        <vt:i4>0</vt:i4>
      </vt:variant>
      <vt:variant>
        <vt:i4>5</vt:i4>
      </vt:variant>
      <vt:variant>
        <vt:lpwstr/>
      </vt:variant>
      <vt:variant>
        <vt:lpwstr>_Toc184805573</vt:lpwstr>
      </vt:variant>
      <vt:variant>
        <vt:i4>1376304</vt:i4>
      </vt:variant>
      <vt:variant>
        <vt:i4>581</vt:i4>
      </vt:variant>
      <vt:variant>
        <vt:i4>0</vt:i4>
      </vt:variant>
      <vt:variant>
        <vt:i4>5</vt:i4>
      </vt:variant>
      <vt:variant>
        <vt:lpwstr/>
      </vt:variant>
      <vt:variant>
        <vt:lpwstr>_Toc184805572</vt:lpwstr>
      </vt:variant>
      <vt:variant>
        <vt:i4>1376304</vt:i4>
      </vt:variant>
      <vt:variant>
        <vt:i4>575</vt:i4>
      </vt:variant>
      <vt:variant>
        <vt:i4>0</vt:i4>
      </vt:variant>
      <vt:variant>
        <vt:i4>5</vt:i4>
      </vt:variant>
      <vt:variant>
        <vt:lpwstr/>
      </vt:variant>
      <vt:variant>
        <vt:lpwstr>_Toc184805571</vt:lpwstr>
      </vt:variant>
      <vt:variant>
        <vt:i4>1376304</vt:i4>
      </vt:variant>
      <vt:variant>
        <vt:i4>569</vt:i4>
      </vt:variant>
      <vt:variant>
        <vt:i4>0</vt:i4>
      </vt:variant>
      <vt:variant>
        <vt:i4>5</vt:i4>
      </vt:variant>
      <vt:variant>
        <vt:lpwstr/>
      </vt:variant>
      <vt:variant>
        <vt:lpwstr>_Toc184805570</vt:lpwstr>
      </vt:variant>
      <vt:variant>
        <vt:i4>1310768</vt:i4>
      </vt:variant>
      <vt:variant>
        <vt:i4>563</vt:i4>
      </vt:variant>
      <vt:variant>
        <vt:i4>0</vt:i4>
      </vt:variant>
      <vt:variant>
        <vt:i4>5</vt:i4>
      </vt:variant>
      <vt:variant>
        <vt:lpwstr/>
      </vt:variant>
      <vt:variant>
        <vt:lpwstr>_Toc184805569</vt:lpwstr>
      </vt:variant>
      <vt:variant>
        <vt:i4>1310768</vt:i4>
      </vt:variant>
      <vt:variant>
        <vt:i4>557</vt:i4>
      </vt:variant>
      <vt:variant>
        <vt:i4>0</vt:i4>
      </vt:variant>
      <vt:variant>
        <vt:i4>5</vt:i4>
      </vt:variant>
      <vt:variant>
        <vt:lpwstr/>
      </vt:variant>
      <vt:variant>
        <vt:lpwstr>_Toc184805568</vt:lpwstr>
      </vt:variant>
      <vt:variant>
        <vt:i4>1310768</vt:i4>
      </vt:variant>
      <vt:variant>
        <vt:i4>551</vt:i4>
      </vt:variant>
      <vt:variant>
        <vt:i4>0</vt:i4>
      </vt:variant>
      <vt:variant>
        <vt:i4>5</vt:i4>
      </vt:variant>
      <vt:variant>
        <vt:lpwstr/>
      </vt:variant>
      <vt:variant>
        <vt:lpwstr>_Toc184805567</vt:lpwstr>
      </vt:variant>
      <vt:variant>
        <vt:i4>1310768</vt:i4>
      </vt:variant>
      <vt:variant>
        <vt:i4>545</vt:i4>
      </vt:variant>
      <vt:variant>
        <vt:i4>0</vt:i4>
      </vt:variant>
      <vt:variant>
        <vt:i4>5</vt:i4>
      </vt:variant>
      <vt:variant>
        <vt:lpwstr/>
      </vt:variant>
      <vt:variant>
        <vt:lpwstr>_Toc184805566</vt:lpwstr>
      </vt:variant>
      <vt:variant>
        <vt:i4>1310768</vt:i4>
      </vt:variant>
      <vt:variant>
        <vt:i4>539</vt:i4>
      </vt:variant>
      <vt:variant>
        <vt:i4>0</vt:i4>
      </vt:variant>
      <vt:variant>
        <vt:i4>5</vt:i4>
      </vt:variant>
      <vt:variant>
        <vt:lpwstr/>
      </vt:variant>
      <vt:variant>
        <vt:lpwstr>_Toc184805565</vt:lpwstr>
      </vt:variant>
      <vt:variant>
        <vt:i4>1310768</vt:i4>
      </vt:variant>
      <vt:variant>
        <vt:i4>533</vt:i4>
      </vt:variant>
      <vt:variant>
        <vt:i4>0</vt:i4>
      </vt:variant>
      <vt:variant>
        <vt:i4>5</vt:i4>
      </vt:variant>
      <vt:variant>
        <vt:lpwstr/>
      </vt:variant>
      <vt:variant>
        <vt:lpwstr>_Toc184805564</vt:lpwstr>
      </vt:variant>
      <vt:variant>
        <vt:i4>1310768</vt:i4>
      </vt:variant>
      <vt:variant>
        <vt:i4>527</vt:i4>
      </vt:variant>
      <vt:variant>
        <vt:i4>0</vt:i4>
      </vt:variant>
      <vt:variant>
        <vt:i4>5</vt:i4>
      </vt:variant>
      <vt:variant>
        <vt:lpwstr/>
      </vt:variant>
      <vt:variant>
        <vt:lpwstr>_Toc184805563</vt:lpwstr>
      </vt:variant>
      <vt:variant>
        <vt:i4>1310768</vt:i4>
      </vt:variant>
      <vt:variant>
        <vt:i4>521</vt:i4>
      </vt:variant>
      <vt:variant>
        <vt:i4>0</vt:i4>
      </vt:variant>
      <vt:variant>
        <vt:i4>5</vt:i4>
      </vt:variant>
      <vt:variant>
        <vt:lpwstr/>
      </vt:variant>
      <vt:variant>
        <vt:lpwstr>_Toc184805562</vt:lpwstr>
      </vt:variant>
      <vt:variant>
        <vt:i4>1310768</vt:i4>
      </vt:variant>
      <vt:variant>
        <vt:i4>515</vt:i4>
      </vt:variant>
      <vt:variant>
        <vt:i4>0</vt:i4>
      </vt:variant>
      <vt:variant>
        <vt:i4>5</vt:i4>
      </vt:variant>
      <vt:variant>
        <vt:lpwstr/>
      </vt:variant>
      <vt:variant>
        <vt:lpwstr>_Toc184805561</vt:lpwstr>
      </vt:variant>
      <vt:variant>
        <vt:i4>1310768</vt:i4>
      </vt:variant>
      <vt:variant>
        <vt:i4>509</vt:i4>
      </vt:variant>
      <vt:variant>
        <vt:i4>0</vt:i4>
      </vt:variant>
      <vt:variant>
        <vt:i4>5</vt:i4>
      </vt:variant>
      <vt:variant>
        <vt:lpwstr/>
      </vt:variant>
      <vt:variant>
        <vt:lpwstr>_Toc184805560</vt:lpwstr>
      </vt:variant>
      <vt:variant>
        <vt:i4>1507376</vt:i4>
      </vt:variant>
      <vt:variant>
        <vt:i4>503</vt:i4>
      </vt:variant>
      <vt:variant>
        <vt:i4>0</vt:i4>
      </vt:variant>
      <vt:variant>
        <vt:i4>5</vt:i4>
      </vt:variant>
      <vt:variant>
        <vt:lpwstr/>
      </vt:variant>
      <vt:variant>
        <vt:lpwstr>_Toc184805559</vt:lpwstr>
      </vt:variant>
      <vt:variant>
        <vt:i4>1507376</vt:i4>
      </vt:variant>
      <vt:variant>
        <vt:i4>497</vt:i4>
      </vt:variant>
      <vt:variant>
        <vt:i4>0</vt:i4>
      </vt:variant>
      <vt:variant>
        <vt:i4>5</vt:i4>
      </vt:variant>
      <vt:variant>
        <vt:lpwstr/>
      </vt:variant>
      <vt:variant>
        <vt:lpwstr>_Toc184805558</vt:lpwstr>
      </vt:variant>
      <vt:variant>
        <vt:i4>1507376</vt:i4>
      </vt:variant>
      <vt:variant>
        <vt:i4>491</vt:i4>
      </vt:variant>
      <vt:variant>
        <vt:i4>0</vt:i4>
      </vt:variant>
      <vt:variant>
        <vt:i4>5</vt:i4>
      </vt:variant>
      <vt:variant>
        <vt:lpwstr/>
      </vt:variant>
      <vt:variant>
        <vt:lpwstr>_Toc184805557</vt:lpwstr>
      </vt:variant>
      <vt:variant>
        <vt:i4>1507376</vt:i4>
      </vt:variant>
      <vt:variant>
        <vt:i4>485</vt:i4>
      </vt:variant>
      <vt:variant>
        <vt:i4>0</vt:i4>
      </vt:variant>
      <vt:variant>
        <vt:i4>5</vt:i4>
      </vt:variant>
      <vt:variant>
        <vt:lpwstr/>
      </vt:variant>
      <vt:variant>
        <vt:lpwstr>_Toc184805556</vt:lpwstr>
      </vt:variant>
      <vt:variant>
        <vt:i4>1507376</vt:i4>
      </vt:variant>
      <vt:variant>
        <vt:i4>479</vt:i4>
      </vt:variant>
      <vt:variant>
        <vt:i4>0</vt:i4>
      </vt:variant>
      <vt:variant>
        <vt:i4>5</vt:i4>
      </vt:variant>
      <vt:variant>
        <vt:lpwstr/>
      </vt:variant>
      <vt:variant>
        <vt:lpwstr>_Toc184805555</vt:lpwstr>
      </vt:variant>
      <vt:variant>
        <vt:i4>1507376</vt:i4>
      </vt:variant>
      <vt:variant>
        <vt:i4>473</vt:i4>
      </vt:variant>
      <vt:variant>
        <vt:i4>0</vt:i4>
      </vt:variant>
      <vt:variant>
        <vt:i4>5</vt:i4>
      </vt:variant>
      <vt:variant>
        <vt:lpwstr/>
      </vt:variant>
      <vt:variant>
        <vt:lpwstr>_Toc184805554</vt:lpwstr>
      </vt:variant>
      <vt:variant>
        <vt:i4>1507376</vt:i4>
      </vt:variant>
      <vt:variant>
        <vt:i4>467</vt:i4>
      </vt:variant>
      <vt:variant>
        <vt:i4>0</vt:i4>
      </vt:variant>
      <vt:variant>
        <vt:i4>5</vt:i4>
      </vt:variant>
      <vt:variant>
        <vt:lpwstr/>
      </vt:variant>
      <vt:variant>
        <vt:lpwstr>_Toc184805553</vt:lpwstr>
      </vt:variant>
      <vt:variant>
        <vt:i4>1507376</vt:i4>
      </vt:variant>
      <vt:variant>
        <vt:i4>461</vt:i4>
      </vt:variant>
      <vt:variant>
        <vt:i4>0</vt:i4>
      </vt:variant>
      <vt:variant>
        <vt:i4>5</vt:i4>
      </vt:variant>
      <vt:variant>
        <vt:lpwstr/>
      </vt:variant>
      <vt:variant>
        <vt:lpwstr>_Toc184805552</vt:lpwstr>
      </vt:variant>
      <vt:variant>
        <vt:i4>1507376</vt:i4>
      </vt:variant>
      <vt:variant>
        <vt:i4>455</vt:i4>
      </vt:variant>
      <vt:variant>
        <vt:i4>0</vt:i4>
      </vt:variant>
      <vt:variant>
        <vt:i4>5</vt:i4>
      </vt:variant>
      <vt:variant>
        <vt:lpwstr/>
      </vt:variant>
      <vt:variant>
        <vt:lpwstr>_Toc184805551</vt:lpwstr>
      </vt:variant>
      <vt:variant>
        <vt:i4>1507376</vt:i4>
      </vt:variant>
      <vt:variant>
        <vt:i4>449</vt:i4>
      </vt:variant>
      <vt:variant>
        <vt:i4>0</vt:i4>
      </vt:variant>
      <vt:variant>
        <vt:i4>5</vt:i4>
      </vt:variant>
      <vt:variant>
        <vt:lpwstr/>
      </vt:variant>
      <vt:variant>
        <vt:lpwstr>_Toc184805550</vt:lpwstr>
      </vt:variant>
      <vt:variant>
        <vt:i4>1441840</vt:i4>
      </vt:variant>
      <vt:variant>
        <vt:i4>443</vt:i4>
      </vt:variant>
      <vt:variant>
        <vt:i4>0</vt:i4>
      </vt:variant>
      <vt:variant>
        <vt:i4>5</vt:i4>
      </vt:variant>
      <vt:variant>
        <vt:lpwstr/>
      </vt:variant>
      <vt:variant>
        <vt:lpwstr>_Toc184805549</vt:lpwstr>
      </vt:variant>
      <vt:variant>
        <vt:i4>1441840</vt:i4>
      </vt:variant>
      <vt:variant>
        <vt:i4>437</vt:i4>
      </vt:variant>
      <vt:variant>
        <vt:i4>0</vt:i4>
      </vt:variant>
      <vt:variant>
        <vt:i4>5</vt:i4>
      </vt:variant>
      <vt:variant>
        <vt:lpwstr/>
      </vt:variant>
      <vt:variant>
        <vt:lpwstr>_Toc184805548</vt:lpwstr>
      </vt:variant>
      <vt:variant>
        <vt:i4>1441840</vt:i4>
      </vt:variant>
      <vt:variant>
        <vt:i4>431</vt:i4>
      </vt:variant>
      <vt:variant>
        <vt:i4>0</vt:i4>
      </vt:variant>
      <vt:variant>
        <vt:i4>5</vt:i4>
      </vt:variant>
      <vt:variant>
        <vt:lpwstr/>
      </vt:variant>
      <vt:variant>
        <vt:lpwstr>_Toc184805547</vt:lpwstr>
      </vt:variant>
      <vt:variant>
        <vt:i4>1441840</vt:i4>
      </vt:variant>
      <vt:variant>
        <vt:i4>425</vt:i4>
      </vt:variant>
      <vt:variant>
        <vt:i4>0</vt:i4>
      </vt:variant>
      <vt:variant>
        <vt:i4>5</vt:i4>
      </vt:variant>
      <vt:variant>
        <vt:lpwstr/>
      </vt:variant>
      <vt:variant>
        <vt:lpwstr>_Toc184805546</vt:lpwstr>
      </vt:variant>
      <vt:variant>
        <vt:i4>1441840</vt:i4>
      </vt:variant>
      <vt:variant>
        <vt:i4>419</vt:i4>
      </vt:variant>
      <vt:variant>
        <vt:i4>0</vt:i4>
      </vt:variant>
      <vt:variant>
        <vt:i4>5</vt:i4>
      </vt:variant>
      <vt:variant>
        <vt:lpwstr/>
      </vt:variant>
      <vt:variant>
        <vt:lpwstr>_Toc184805545</vt:lpwstr>
      </vt:variant>
      <vt:variant>
        <vt:i4>1441840</vt:i4>
      </vt:variant>
      <vt:variant>
        <vt:i4>413</vt:i4>
      </vt:variant>
      <vt:variant>
        <vt:i4>0</vt:i4>
      </vt:variant>
      <vt:variant>
        <vt:i4>5</vt:i4>
      </vt:variant>
      <vt:variant>
        <vt:lpwstr/>
      </vt:variant>
      <vt:variant>
        <vt:lpwstr>_Toc184805544</vt:lpwstr>
      </vt:variant>
      <vt:variant>
        <vt:i4>1441840</vt:i4>
      </vt:variant>
      <vt:variant>
        <vt:i4>407</vt:i4>
      </vt:variant>
      <vt:variant>
        <vt:i4>0</vt:i4>
      </vt:variant>
      <vt:variant>
        <vt:i4>5</vt:i4>
      </vt:variant>
      <vt:variant>
        <vt:lpwstr/>
      </vt:variant>
      <vt:variant>
        <vt:lpwstr>_Toc184805543</vt:lpwstr>
      </vt:variant>
      <vt:variant>
        <vt:i4>1441840</vt:i4>
      </vt:variant>
      <vt:variant>
        <vt:i4>401</vt:i4>
      </vt:variant>
      <vt:variant>
        <vt:i4>0</vt:i4>
      </vt:variant>
      <vt:variant>
        <vt:i4>5</vt:i4>
      </vt:variant>
      <vt:variant>
        <vt:lpwstr/>
      </vt:variant>
      <vt:variant>
        <vt:lpwstr>_Toc184805542</vt:lpwstr>
      </vt:variant>
      <vt:variant>
        <vt:i4>1441840</vt:i4>
      </vt:variant>
      <vt:variant>
        <vt:i4>395</vt:i4>
      </vt:variant>
      <vt:variant>
        <vt:i4>0</vt:i4>
      </vt:variant>
      <vt:variant>
        <vt:i4>5</vt:i4>
      </vt:variant>
      <vt:variant>
        <vt:lpwstr/>
      </vt:variant>
      <vt:variant>
        <vt:lpwstr>_Toc184805541</vt:lpwstr>
      </vt:variant>
      <vt:variant>
        <vt:i4>1441840</vt:i4>
      </vt:variant>
      <vt:variant>
        <vt:i4>389</vt:i4>
      </vt:variant>
      <vt:variant>
        <vt:i4>0</vt:i4>
      </vt:variant>
      <vt:variant>
        <vt:i4>5</vt:i4>
      </vt:variant>
      <vt:variant>
        <vt:lpwstr/>
      </vt:variant>
      <vt:variant>
        <vt:lpwstr>_Toc184805540</vt:lpwstr>
      </vt:variant>
      <vt:variant>
        <vt:i4>1114160</vt:i4>
      </vt:variant>
      <vt:variant>
        <vt:i4>383</vt:i4>
      </vt:variant>
      <vt:variant>
        <vt:i4>0</vt:i4>
      </vt:variant>
      <vt:variant>
        <vt:i4>5</vt:i4>
      </vt:variant>
      <vt:variant>
        <vt:lpwstr/>
      </vt:variant>
      <vt:variant>
        <vt:lpwstr>_Toc184805539</vt:lpwstr>
      </vt:variant>
      <vt:variant>
        <vt:i4>1114160</vt:i4>
      </vt:variant>
      <vt:variant>
        <vt:i4>377</vt:i4>
      </vt:variant>
      <vt:variant>
        <vt:i4>0</vt:i4>
      </vt:variant>
      <vt:variant>
        <vt:i4>5</vt:i4>
      </vt:variant>
      <vt:variant>
        <vt:lpwstr/>
      </vt:variant>
      <vt:variant>
        <vt:lpwstr>_Toc184805538</vt:lpwstr>
      </vt:variant>
      <vt:variant>
        <vt:i4>1114160</vt:i4>
      </vt:variant>
      <vt:variant>
        <vt:i4>371</vt:i4>
      </vt:variant>
      <vt:variant>
        <vt:i4>0</vt:i4>
      </vt:variant>
      <vt:variant>
        <vt:i4>5</vt:i4>
      </vt:variant>
      <vt:variant>
        <vt:lpwstr/>
      </vt:variant>
      <vt:variant>
        <vt:lpwstr>_Toc184805537</vt:lpwstr>
      </vt:variant>
      <vt:variant>
        <vt:i4>1114160</vt:i4>
      </vt:variant>
      <vt:variant>
        <vt:i4>365</vt:i4>
      </vt:variant>
      <vt:variant>
        <vt:i4>0</vt:i4>
      </vt:variant>
      <vt:variant>
        <vt:i4>5</vt:i4>
      </vt:variant>
      <vt:variant>
        <vt:lpwstr/>
      </vt:variant>
      <vt:variant>
        <vt:lpwstr>_Toc184805536</vt:lpwstr>
      </vt:variant>
      <vt:variant>
        <vt:i4>1114160</vt:i4>
      </vt:variant>
      <vt:variant>
        <vt:i4>359</vt:i4>
      </vt:variant>
      <vt:variant>
        <vt:i4>0</vt:i4>
      </vt:variant>
      <vt:variant>
        <vt:i4>5</vt:i4>
      </vt:variant>
      <vt:variant>
        <vt:lpwstr/>
      </vt:variant>
      <vt:variant>
        <vt:lpwstr>_Toc184805535</vt:lpwstr>
      </vt:variant>
      <vt:variant>
        <vt:i4>1114160</vt:i4>
      </vt:variant>
      <vt:variant>
        <vt:i4>353</vt:i4>
      </vt:variant>
      <vt:variant>
        <vt:i4>0</vt:i4>
      </vt:variant>
      <vt:variant>
        <vt:i4>5</vt:i4>
      </vt:variant>
      <vt:variant>
        <vt:lpwstr/>
      </vt:variant>
      <vt:variant>
        <vt:lpwstr>_Toc184805534</vt:lpwstr>
      </vt:variant>
      <vt:variant>
        <vt:i4>1114160</vt:i4>
      </vt:variant>
      <vt:variant>
        <vt:i4>347</vt:i4>
      </vt:variant>
      <vt:variant>
        <vt:i4>0</vt:i4>
      </vt:variant>
      <vt:variant>
        <vt:i4>5</vt:i4>
      </vt:variant>
      <vt:variant>
        <vt:lpwstr/>
      </vt:variant>
      <vt:variant>
        <vt:lpwstr>_Toc184805533</vt:lpwstr>
      </vt:variant>
      <vt:variant>
        <vt:i4>1114160</vt:i4>
      </vt:variant>
      <vt:variant>
        <vt:i4>341</vt:i4>
      </vt:variant>
      <vt:variant>
        <vt:i4>0</vt:i4>
      </vt:variant>
      <vt:variant>
        <vt:i4>5</vt:i4>
      </vt:variant>
      <vt:variant>
        <vt:lpwstr/>
      </vt:variant>
      <vt:variant>
        <vt:lpwstr>_Toc184805532</vt:lpwstr>
      </vt:variant>
      <vt:variant>
        <vt:i4>1114160</vt:i4>
      </vt:variant>
      <vt:variant>
        <vt:i4>335</vt:i4>
      </vt:variant>
      <vt:variant>
        <vt:i4>0</vt:i4>
      </vt:variant>
      <vt:variant>
        <vt:i4>5</vt:i4>
      </vt:variant>
      <vt:variant>
        <vt:lpwstr/>
      </vt:variant>
      <vt:variant>
        <vt:lpwstr>_Toc184805531</vt:lpwstr>
      </vt:variant>
      <vt:variant>
        <vt:i4>1114160</vt:i4>
      </vt:variant>
      <vt:variant>
        <vt:i4>329</vt:i4>
      </vt:variant>
      <vt:variant>
        <vt:i4>0</vt:i4>
      </vt:variant>
      <vt:variant>
        <vt:i4>5</vt:i4>
      </vt:variant>
      <vt:variant>
        <vt:lpwstr/>
      </vt:variant>
      <vt:variant>
        <vt:lpwstr>_Toc184805530</vt:lpwstr>
      </vt:variant>
      <vt:variant>
        <vt:i4>1048624</vt:i4>
      </vt:variant>
      <vt:variant>
        <vt:i4>323</vt:i4>
      </vt:variant>
      <vt:variant>
        <vt:i4>0</vt:i4>
      </vt:variant>
      <vt:variant>
        <vt:i4>5</vt:i4>
      </vt:variant>
      <vt:variant>
        <vt:lpwstr/>
      </vt:variant>
      <vt:variant>
        <vt:lpwstr>_Toc184805529</vt:lpwstr>
      </vt:variant>
      <vt:variant>
        <vt:i4>1048624</vt:i4>
      </vt:variant>
      <vt:variant>
        <vt:i4>317</vt:i4>
      </vt:variant>
      <vt:variant>
        <vt:i4>0</vt:i4>
      </vt:variant>
      <vt:variant>
        <vt:i4>5</vt:i4>
      </vt:variant>
      <vt:variant>
        <vt:lpwstr/>
      </vt:variant>
      <vt:variant>
        <vt:lpwstr>_Toc184805528</vt:lpwstr>
      </vt:variant>
      <vt:variant>
        <vt:i4>1048624</vt:i4>
      </vt:variant>
      <vt:variant>
        <vt:i4>311</vt:i4>
      </vt:variant>
      <vt:variant>
        <vt:i4>0</vt:i4>
      </vt:variant>
      <vt:variant>
        <vt:i4>5</vt:i4>
      </vt:variant>
      <vt:variant>
        <vt:lpwstr/>
      </vt:variant>
      <vt:variant>
        <vt:lpwstr>_Toc184805527</vt:lpwstr>
      </vt:variant>
      <vt:variant>
        <vt:i4>1048624</vt:i4>
      </vt:variant>
      <vt:variant>
        <vt:i4>305</vt:i4>
      </vt:variant>
      <vt:variant>
        <vt:i4>0</vt:i4>
      </vt:variant>
      <vt:variant>
        <vt:i4>5</vt:i4>
      </vt:variant>
      <vt:variant>
        <vt:lpwstr/>
      </vt:variant>
      <vt:variant>
        <vt:lpwstr>_Toc184805526</vt:lpwstr>
      </vt:variant>
      <vt:variant>
        <vt:i4>1048624</vt:i4>
      </vt:variant>
      <vt:variant>
        <vt:i4>299</vt:i4>
      </vt:variant>
      <vt:variant>
        <vt:i4>0</vt:i4>
      </vt:variant>
      <vt:variant>
        <vt:i4>5</vt:i4>
      </vt:variant>
      <vt:variant>
        <vt:lpwstr/>
      </vt:variant>
      <vt:variant>
        <vt:lpwstr>_Toc184805525</vt:lpwstr>
      </vt:variant>
      <vt:variant>
        <vt:i4>1048624</vt:i4>
      </vt:variant>
      <vt:variant>
        <vt:i4>293</vt:i4>
      </vt:variant>
      <vt:variant>
        <vt:i4>0</vt:i4>
      </vt:variant>
      <vt:variant>
        <vt:i4>5</vt:i4>
      </vt:variant>
      <vt:variant>
        <vt:lpwstr/>
      </vt:variant>
      <vt:variant>
        <vt:lpwstr>_Toc184805524</vt:lpwstr>
      </vt:variant>
      <vt:variant>
        <vt:i4>1048624</vt:i4>
      </vt:variant>
      <vt:variant>
        <vt:i4>287</vt:i4>
      </vt:variant>
      <vt:variant>
        <vt:i4>0</vt:i4>
      </vt:variant>
      <vt:variant>
        <vt:i4>5</vt:i4>
      </vt:variant>
      <vt:variant>
        <vt:lpwstr/>
      </vt:variant>
      <vt:variant>
        <vt:lpwstr>_Toc184805523</vt:lpwstr>
      </vt:variant>
      <vt:variant>
        <vt:i4>1048624</vt:i4>
      </vt:variant>
      <vt:variant>
        <vt:i4>281</vt:i4>
      </vt:variant>
      <vt:variant>
        <vt:i4>0</vt:i4>
      </vt:variant>
      <vt:variant>
        <vt:i4>5</vt:i4>
      </vt:variant>
      <vt:variant>
        <vt:lpwstr/>
      </vt:variant>
      <vt:variant>
        <vt:lpwstr>_Toc184805522</vt:lpwstr>
      </vt:variant>
      <vt:variant>
        <vt:i4>1048624</vt:i4>
      </vt:variant>
      <vt:variant>
        <vt:i4>275</vt:i4>
      </vt:variant>
      <vt:variant>
        <vt:i4>0</vt:i4>
      </vt:variant>
      <vt:variant>
        <vt:i4>5</vt:i4>
      </vt:variant>
      <vt:variant>
        <vt:lpwstr/>
      </vt:variant>
      <vt:variant>
        <vt:lpwstr>_Toc184805521</vt:lpwstr>
      </vt:variant>
      <vt:variant>
        <vt:i4>1048624</vt:i4>
      </vt:variant>
      <vt:variant>
        <vt:i4>269</vt:i4>
      </vt:variant>
      <vt:variant>
        <vt:i4>0</vt:i4>
      </vt:variant>
      <vt:variant>
        <vt:i4>5</vt:i4>
      </vt:variant>
      <vt:variant>
        <vt:lpwstr/>
      </vt:variant>
      <vt:variant>
        <vt:lpwstr>_Toc184805520</vt:lpwstr>
      </vt:variant>
      <vt:variant>
        <vt:i4>1245232</vt:i4>
      </vt:variant>
      <vt:variant>
        <vt:i4>263</vt:i4>
      </vt:variant>
      <vt:variant>
        <vt:i4>0</vt:i4>
      </vt:variant>
      <vt:variant>
        <vt:i4>5</vt:i4>
      </vt:variant>
      <vt:variant>
        <vt:lpwstr/>
      </vt:variant>
      <vt:variant>
        <vt:lpwstr>_Toc184805519</vt:lpwstr>
      </vt:variant>
      <vt:variant>
        <vt:i4>1245232</vt:i4>
      </vt:variant>
      <vt:variant>
        <vt:i4>257</vt:i4>
      </vt:variant>
      <vt:variant>
        <vt:i4>0</vt:i4>
      </vt:variant>
      <vt:variant>
        <vt:i4>5</vt:i4>
      </vt:variant>
      <vt:variant>
        <vt:lpwstr/>
      </vt:variant>
      <vt:variant>
        <vt:lpwstr>_Toc184805518</vt:lpwstr>
      </vt:variant>
      <vt:variant>
        <vt:i4>1245232</vt:i4>
      </vt:variant>
      <vt:variant>
        <vt:i4>251</vt:i4>
      </vt:variant>
      <vt:variant>
        <vt:i4>0</vt:i4>
      </vt:variant>
      <vt:variant>
        <vt:i4>5</vt:i4>
      </vt:variant>
      <vt:variant>
        <vt:lpwstr/>
      </vt:variant>
      <vt:variant>
        <vt:lpwstr>_Toc184805517</vt:lpwstr>
      </vt:variant>
      <vt:variant>
        <vt:i4>1245232</vt:i4>
      </vt:variant>
      <vt:variant>
        <vt:i4>245</vt:i4>
      </vt:variant>
      <vt:variant>
        <vt:i4>0</vt:i4>
      </vt:variant>
      <vt:variant>
        <vt:i4>5</vt:i4>
      </vt:variant>
      <vt:variant>
        <vt:lpwstr/>
      </vt:variant>
      <vt:variant>
        <vt:lpwstr>_Toc184805516</vt:lpwstr>
      </vt:variant>
      <vt:variant>
        <vt:i4>1245232</vt:i4>
      </vt:variant>
      <vt:variant>
        <vt:i4>239</vt:i4>
      </vt:variant>
      <vt:variant>
        <vt:i4>0</vt:i4>
      </vt:variant>
      <vt:variant>
        <vt:i4>5</vt:i4>
      </vt:variant>
      <vt:variant>
        <vt:lpwstr/>
      </vt:variant>
      <vt:variant>
        <vt:lpwstr>_Toc184805515</vt:lpwstr>
      </vt:variant>
      <vt:variant>
        <vt:i4>1245232</vt:i4>
      </vt:variant>
      <vt:variant>
        <vt:i4>233</vt:i4>
      </vt:variant>
      <vt:variant>
        <vt:i4>0</vt:i4>
      </vt:variant>
      <vt:variant>
        <vt:i4>5</vt:i4>
      </vt:variant>
      <vt:variant>
        <vt:lpwstr/>
      </vt:variant>
      <vt:variant>
        <vt:lpwstr>_Toc184805514</vt:lpwstr>
      </vt:variant>
      <vt:variant>
        <vt:i4>1245232</vt:i4>
      </vt:variant>
      <vt:variant>
        <vt:i4>227</vt:i4>
      </vt:variant>
      <vt:variant>
        <vt:i4>0</vt:i4>
      </vt:variant>
      <vt:variant>
        <vt:i4>5</vt:i4>
      </vt:variant>
      <vt:variant>
        <vt:lpwstr/>
      </vt:variant>
      <vt:variant>
        <vt:lpwstr>_Toc184805513</vt:lpwstr>
      </vt:variant>
      <vt:variant>
        <vt:i4>1245232</vt:i4>
      </vt:variant>
      <vt:variant>
        <vt:i4>221</vt:i4>
      </vt:variant>
      <vt:variant>
        <vt:i4>0</vt:i4>
      </vt:variant>
      <vt:variant>
        <vt:i4>5</vt:i4>
      </vt:variant>
      <vt:variant>
        <vt:lpwstr/>
      </vt:variant>
      <vt:variant>
        <vt:lpwstr>_Toc184805512</vt:lpwstr>
      </vt:variant>
      <vt:variant>
        <vt:i4>1245232</vt:i4>
      </vt:variant>
      <vt:variant>
        <vt:i4>215</vt:i4>
      </vt:variant>
      <vt:variant>
        <vt:i4>0</vt:i4>
      </vt:variant>
      <vt:variant>
        <vt:i4>5</vt:i4>
      </vt:variant>
      <vt:variant>
        <vt:lpwstr/>
      </vt:variant>
      <vt:variant>
        <vt:lpwstr>_Toc184805511</vt:lpwstr>
      </vt:variant>
      <vt:variant>
        <vt:i4>1245232</vt:i4>
      </vt:variant>
      <vt:variant>
        <vt:i4>209</vt:i4>
      </vt:variant>
      <vt:variant>
        <vt:i4>0</vt:i4>
      </vt:variant>
      <vt:variant>
        <vt:i4>5</vt:i4>
      </vt:variant>
      <vt:variant>
        <vt:lpwstr/>
      </vt:variant>
      <vt:variant>
        <vt:lpwstr>_Toc184805510</vt:lpwstr>
      </vt:variant>
      <vt:variant>
        <vt:i4>1179696</vt:i4>
      </vt:variant>
      <vt:variant>
        <vt:i4>203</vt:i4>
      </vt:variant>
      <vt:variant>
        <vt:i4>0</vt:i4>
      </vt:variant>
      <vt:variant>
        <vt:i4>5</vt:i4>
      </vt:variant>
      <vt:variant>
        <vt:lpwstr/>
      </vt:variant>
      <vt:variant>
        <vt:lpwstr>_Toc184805509</vt:lpwstr>
      </vt:variant>
      <vt:variant>
        <vt:i4>1179696</vt:i4>
      </vt:variant>
      <vt:variant>
        <vt:i4>197</vt:i4>
      </vt:variant>
      <vt:variant>
        <vt:i4>0</vt:i4>
      </vt:variant>
      <vt:variant>
        <vt:i4>5</vt:i4>
      </vt:variant>
      <vt:variant>
        <vt:lpwstr/>
      </vt:variant>
      <vt:variant>
        <vt:lpwstr>_Toc184805508</vt:lpwstr>
      </vt:variant>
      <vt:variant>
        <vt:i4>1179696</vt:i4>
      </vt:variant>
      <vt:variant>
        <vt:i4>191</vt:i4>
      </vt:variant>
      <vt:variant>
        <vt:i4>0</vt:i4>
      </vt:variant>
      <vt:variant>
        <vt:i4>5</vt:i4>
      </vt:variant>
      <vt:variant>
        <vt:lpwstr/>
      </vt:variant>
      <vt:variant>
        <vt:lpwstr>_Toc184805507</vt:lpwstr>
      </vt:variant>
      <vt:variant>
        <vt:i4>1179696</vt:i4>
      </vt:variant>
      <vt:variant>
        <vt:i4>185</vt:i4>
      </vt:variant>
      <vt:variant>
        <vt:i4>0</vt:i4>
      </vt:variant>
      <vt:variant>
        <vt:i4>5</vt:i4>
      </vt:variant>
      <vt:variant>
        <vt:lpwstr/>
      </vt:variant>
      <vt:variant>
        <vt:lpwstr>_Toc184805506</vt:lpwstr>
      </vt:variant>
      <vt:variant>
        <vt:i4>1179696</vt:i4>
      </vt:variant>
      <vt:variant>
        <vt:i4>179</vt:i4>
      </vt:variant>
      <vt:variant>
        <vt:i4>0</vt:i4>
      </vt:variant>
      <vt:variant>
        <vt:i4>5</vt:i4>
      </vt:variant>
      <vt:variant>
        <vt:lpwstr/>
      </vt:variant>
      <vt:variant>
        <vt:lpwstr>_Toc184805505</vt:lpwstr>
      </vt:variant>
      <vt:variant>
        <vt:i4>1179696</vt:i4>
      </vt:variant>
      <vt:variant>
        <vt:i4>173</vt:i4>
      </vt:variant>
      <vt:variant>
        <vt:i4>0</vt:i4>
      </vt:variant>
      <vt:variant>
        <vt:i4>5</vt:i4>
      </vt:variant>
      <vt:variant>
        <vt:lpwstr/>
      </vt:variant>
      <vt:variant>
        <vt:lpwstr>_Toc184805504</vt:lpwstr>
      </vt:variant>
      <vt:variant>
        <vt:i4>1179696</vt:i4>
      </vt:variant>
      <vt:variant>
        <vt:i4>167</vt:i4>
      </vt:variant>
      <vt:variant>
        <vt:i4>0</vt:i4>
      </vt:variant>
      <vt:variant>
        <vt:i4>5</vt:i4>
      </vt:variant>
      <vt:variant>
        <vt:lpwstr/>
      </vt:variant>
      <vt:variant>
        <vt:lpwstr>_Toc184805503</vt:lpwstr>
      </vt:variant>
      <vt:variant>
        <vt:i4>1179696</vt:i4>
      </vt:variant>
      <vt:variant>
        <vt:i4>161</vt:i4>
      </vt:variant>
      <vt:variant>
        <vt:i4>0</vt:i4>
      </vt:variant>
      <vt:variant>
        <vt:i4>5</vt:i4>
      </vt:variant>
      <vt:variant>
        <vt:lpwstr/>
      </vt:variant>
      <vt:variant>
        <vt:lpwstr>_Toc184805502</vt:lpwstr>
      </vt:variant>
      <vt:variant>
        <vt:i4>1179696</vt:i4>
      </vt:variant>
      <vt:variant>
        <vt:i4>155</vt:i4>
      </vt:variant>
      <vt:variant>
        <vt:i4>0</vt:i4>
      </vt:variant>
      <vt:variant>
        <vt:i4>5</vt:i4>
      </vt:variant>
      <vt:variant>
        <vt:lpwstr/>
      </vt:variant>
      <vt:variant>
        <vt:lpwstr>_Toc184805501</vt:lpwstr>
      </vt:variant>
      <vt:variant>
        <vt:i4>1179696</vt:i4>
      </vt:variant>
      <vt:variant>
        <vt:i4>149</vt:i4>
      </vt:variant>
      <vt:variant>
        <vt:i4>0</vt:i4>
      </vt:variant>
      <vt:variant>
        <vt:i4>5</vt:i4>
      </vt:variant>
      <vt:variant>
        <vt:lpwstr/>
      </vt:variant>
      <vt:variant>
        <vt:lpwstr>_Toc184805500</vt:lpwstr>
      </vt:variant>
      <vt:variant>
        <vt:i4>1769521</vt:i4>
      </vt:variant>
      <vt:variant>
        <vt:i4>143</vt:i4>
      </vt:variant>
      <vt:variant>
        <vt:i4>0</vt:i4>
      </vt:variant>
      <vt:variant>
        <vt:i4>5</vt:i4>
      </vt:variant>
      <vt:variant>
        <vt:lpwstr/>
      </vt:variant>
      <vt:variant>
        <vt:lpwstr>_Toc184805499</vt:lpwstr>
      </vt:variant>
      <vt:variant>
        <vt:i4>1769521</vt:i4>
      </vt:variant>
      <vt:variant>
        <vt:i4>137</vt:i4>
      </vt:variant>
      <vt:variant>
        <vt:i4>0</vt:i4>
      </vt:variant>
      <vt:variant>
        <vt:i4>5</vt:i4>
      </vt:variant>
      <vt:variant>
        <vt:lpwstr/>
      </vt:variant>
      <vt:variant>
        <vt:lpwstr>_Toc184805498</vt:lpwstr>
      </vt:variant>
      <vt:variant>
        <vt:i4>1769521</vt:i4>
      </vt:variant>
      <vt:variant>
        <vt:i4>131</vt:i4>
      </vt:variant>
      <vt:variant>
        <vt:i4>0</vt:i4>
      </vt:variant>
      <vt:variant>
        <vt:i4>5</vt:i4>
      </vt:variant>
      <vt:variant>
        <vt:lpwstr/>
      </vt:variant>
      <vt:variant>
        <vt:lpwstr>_Toc184805497</vt:lpwstr>
      </vt:variant>
      <vt:variant>
        <vt:i4>1769521</vt:i4>
      </vt:variant>
      <vt:variant>
        <vt:i4>125</vt:i4>
      </vt:variant>
      <vt:variant>
        <vt:i4>0</vt:i4>
      </vt:variant>
      <vt:variant>
        <vt:i4>5</vt:i4>
      </vt:variant>
      <vt:variant>
        <vt:lpwstr/>
      </vt:variant>
      <vt:variant>
        <vt:lpwstr>_Toc184805496</vt:lpwstr>
      </vt:variant>
      <vt:variant>
        <vt:i4>1769521</vt:i4>
      </vt:variant>
      <vt:variant>
        <vt:i4>119</vt:i4>
      </vt:variant>
      <vt:variant>
        <vt:i4>0</vt:i4>
      </vt:variant>
      <vt:variant>
        <vt:i4>5</vt:i4>
      </vt:variant>
      <vt:variant>
        <vt:lpwstr/>
      </vt:variant>
      <vt:variant>
        <vt:lpwstr>_Toc184805495</vt:lpwstr>
      </vt:variant>
      <vt:variant>
        <vt:i4>1769521</vt:i4>
      </vt:variant>
      <vt:variant>
        <vt:i4>113</vt:i4>
      </vt:variant>
      <vt:variant>
        <vt:i4>0</vt:i4>
      </vt:variant>
      <vt:variant>
        <vt:i4>5</vt:i4>
      </vt:variant>
      <vt:variant>
        <vt:lpwstr/>
      </vt:variant>
      <vt:variant>
        <vt:lpwstr>_Toc184805494</vt:lpwstr>
      </vt:variant>
      <vt:variant>
        <vt:i4>1769521</vt:i4>
      </vt:variant>
      <vt:variant>
        <vt:i4>107</vt:i4>
      </vt:variant>
      <vt:variant>
        <vt:i4>0</vt:i4>
      </vt:variant>
      <vt:variant>
        <vt:i4>5</vt:i4>
      </vt:variant>
      <vt:variant>
        <vt:lpwstr/>
      </vt:variant>
      <vt:variant>
        <vt:lpwstr>_Toc184805493</vt:lpwstr>
      </vt:variant>
      <vt:variant>
        <vt:i4>1769521</vt:i4>
      </vt:variant>
      <vt:variant>
        <vt:i4>101</vt:i4>
      </vt:variant>
      <vt:variant>
        <vt:i4>0</vt:i4>
      </vt:variant>
      <vt:variant>
        <vt:i4>5</vt:i4>
      </vt:variant>
      <vt:variant>
        <vt:lpwstr/>
      </vt:variant>
      <vt:variant>
        <vt:lpwstr>_Toc184805492</vt:lpwstr>
      </vt:variant>
      <vt:variant>
        <vt:i4>1769521</vt:i4>
      </vt:variant>
      <vt:variant>
        <vt:i4>95</vt:i4>
      </vt:variant>
      <vt:variant>
        <vt:i4>0</vt:i4>
      </vt:variant>
      <vt:variant>
        <vt:i4>5</vt:i4>
      </vt:variant>
      <vt:variant>
        <vt:lpwstr/>
      </vt:variant>
      <vt:variant>
        <vt:lpwstr>_Toc184805491</vt:lpwstr>
      </vt:variant>
      <vt:variant>
        <vt:i4>1769521</vt:i4>
      </vt:variant>
      <vt:variant>
        <vt:i4>89</vt:i4>
      </vt:variant>
      <vt:variant>
        <vt:i4>0</vt:i4>
      </vt:variant>
      <vt:variant>
        <vt:i4>5</vt:i4>
      </vt:variant>
      <vt:variant>
        <vt:lpwstr/>
      </vt:variant>
      <vt:variant>
        <vt:lpwstr>_Toc184805490</vt:lpwstr>
      </vt:variant>
      <vt:variant>
        <vt:i4>1703985</vt:i4>
      </vt:variant>
      <vt:variant>
        <vt:i4>83</vt:i4>
      </vt:variant>
      <vt:variant>
        <vt:i4>0</vt:i4>
      </vt:variant>
      <vt:variant>
        <vt:i4>5</vt:i4>
      </vt:variant>
      <vt:variant>
        <vt:lpwstr/>
      </vt:variant>
      <vt:variant>
        <vt:lpwstr>_Toc184805489</vt:lpwstr>
      </vt:variant>
      <vt:variant>
        <vt:i4>1703985</vt:i4>
      </vt:variant>
      <vt:variant>
        <vt:i4>77</vt:i4>
      </vt:variant>
      <vt:variant>
        <vt:i4>0</vt:i4>
      </vt:variant>
      <vt:variant>
        <vt:i4>5</vt:i4>
      </vt:variant>
      <vt:variant>
        <vt:lpwstr/>
      </vt:variant>
      <vt:variant>
        <vt:lpwstr>_Toc184805488</vt:lpwstr>
      </vt:variant>
      <vt:variant>
        <vt:i4>1703985</vt:i4>
      </vt:variant>
      <vt:variant>
        <vt:i4>71</vt:i4>
      </vt:variant>
      <vt:variant>
        <vt:i4>0</vt:i4>
      </vt:variant>
      <vt:variant>
        <vt:i4>5</vt:i4>
      </vt:variant>
      <vt:variant>
        <vt:lpwstr/>
      </vt:variant>
      <vt:variant>
        <vt:lpwstr>_Toc184805487</vt:lpwstr>
      </vt:variant>
      <vt:variant>
        <vt:i4>1703985</vt:i4>
      </vt:variant>
      <vt:variant>
        <vt:i4>65</vt:i4>
      </vt:variant>
      <vt:variant>
        <vt:i4>0</vt:i4>
      </vt:variant>
      <vt:variant>
        <vt:i4>5</vt:i4>
      </vt:variant>
      <vt:variant>
        <vt:lpwstr/>
      </vt:variant>
      <vt:variant>
        <vt:lpwstr>_Toc184805486</vt:lpwstr>
      </vt:variant>
      <vt:variant>
        <vt:i4>1703985</vt:i4>
      </vt:variant>
      <vt:variant>
        <vt:i4>59</vt:i4>
      </vt:variant>
      <vt:variant>
        <vt:i4>0</vt:i4>
      </vt:variant>
      <vt:variant>
        <vt:i4>5</vt:i4>
      </vt:variant>
      <vt:variant>
        <vt:lpwstr/>
      </vt:variant>
      <vt:variant>
        <vt:lpwstr>_Toc184805485</vt:lpwstr>
      </vt:variant>
      <vt:variant>
        <vt:i4>1703985</vt:i4>
      </vt:variant>
      <vt:variant>
        <vt:i4>53</vt:i4>
      </vt:variant>
      <vt:variant>
        <vt:i4>0</vt:i4>
      </vt:variant>
      <vt:variant>
        <vt:i4>5</vt:i4>
      </vt:variant>
      <vt:variant>
        <vt:lpwstr/>
      </vt:variant>
      <vt:variant>
        <vt:lpwstr>_Toc184805484</vt:lpwstr>
      </vt:variant>
      <vt:variant>
        <vt:i4>1703985</vt:i4>
      </vt:variant>
      <vt:variant>
        <vt:i4>47</vt:i4>
      </vt:variant>
      <vt:variant>
        <vt:i4>0</vt:i4>
      </vt:variant>
      <vt:variant>
        <vt:i4>5</vt:i4>
      </vt:variant>
      <vt:variant>
        <vt:lpwstr/>
      </vt:variant>
      <vt:variant>
        <vt:lpwstr>_Toc184805483</vt:lpwstr>
      </vt:variant>
      <vt:variant>
        <vt:i4>1703985</vt:i4>
      </vt:variant>
      <vt:variant>
        <vt:i4>41</vt:i4>
      </vt:variant>
      <vt:variant>
        <vt:i4>0</vt:i4>
      </vt:variant>
      <vt:variant>
        <vt:i4>5</vt:i4>
      </vt:variant>
      <vt:variant>
        <vt:lpwstr/>
      </vt:variant>
      <vt:variant>
        <vt:lpwstr>_Toc184805482</vt:lpwstr>
      </vt:variant>
      <vt:variant>
        <vt:i4>1703985</vt:i4>
      </vt:variant>
      <vt:variant>
        <vt:i4>35</vt:i4>
      </vt:variant>
      <vt:variant>
        <vt:i4>0</vt:i4>
      </vt:variant>
      <vt:variant>
        <vt:i4>5</vt:i4>
      </vt:variant>
      <vt:variant>
        <vt:lpwstr/>
      </vt:variant>
      <vt:variant>
        <vt:lpwstr>_Toc184805481</vt:lpwstr>
      </vt:variant>
      <vt:variant>
        <vt:i4>1703985</vt:i4>
      </vt:variant>
      <vt:variant>
        <vt:i4>29</vt:i4>
      </vt:variant>
      <vt:variant>
        <vt:i4>0</vt:i4>
      </vt:variant>
      <vt:variant>
        <vt:i4>5</vt:i4>
      </vt:variant>
      <vt:variant>
        <vt:lpwstr/>
      </vt:variant>
      <vt:variant>
        <vt:lpwstr>_Toc184805480</vt:lpwstr>
      </vt:variant>
      <vt:variant>
        <vt:i4>1376305</vt:i4>
      </vt:variant>
      <vt:variant>
        <vt:i4>23</vt:i4>
      </vt:variant>
      <vt:variant>
        <vt:i4>0</vt:i4>
      </vt:variant>
      <vt:variant>
        <vt:i4>5</vt:i4>
      </vt:variant>
      <vt:variant>
        <vt:lpwstr/>
      </vt:variant>
      <vt:variant>
        <vt:lpwstr>_Toc184805479</vt:lpwstr>
      </vt:variant>
      <vt:variant>
        <vt:i4>1376305</vt:i4>
      </vt:variant>
      <vt:variant>
        <vt:i4>17</vt:i4>
      </vt:variant>
      <vt:variant>
        <vt:i4>0</vt:i4>
      </vt:variant>
      <vt:variant>
        <vt:i4>5</vt:i4>
      </vt:variant>
      <vt:variant>
        <vt:lpwstr/>
      </vt:variant>
      <vt:variant>
        <vt:lpwstr>_Toc184805478</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Guidance Materials</dc:title>
  <dc:subject/>
  <dc:creator/>
  <cp:keywords/>
  <cp:lastModifiedBy/>
  <cp:revision>1</cp:revision>
  <dcterms:created xsi:type="dcterms:W3CDTF">2024-12-16T06:04:00Z</dcterms:created>
  <dcterms:modified xsi:type="dcterms:W3CDTF">2024-12-16T06:05:00Z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2024-12-16T06:04:58Z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56613afd-39f3-46a7-82b3-324e315dd4bf</vt:lpwstr>
  </property>
  <property fmtid="{D5CDD505-2E9C-101B-9397-08002B2CF9AE}" pid="8" name="MSIP_Label_4f932d64-9ab1-4d9b-81d2-a3a8b82dd47d_ContentBits">
    <vt:lpwstr>0</vt:lpwstr>
  </property>
</Properties>
</file>