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5645642"/>
        <w:docPartObj>
          <w:docPartGallery w:val="Cover Pages"/>
          <w:docPartUnique/>
        </w:docPartObj>
      </w:sdtPr>
      <w:sdtEndPr>
        <w:rPr>
          <w:noProof/>
        </w:rPr>
      </w:sdtEndPr>
      <w:sdtContent>
        <w:p w14:paraId="47973690" w14:textId="28690532" w:rsidR="00604EEF" w:rsidRPr="006D0240" w:rsidRDefault="00DE0431" w:rsidP="005103E4">
          <w:r>
            <w:rPr>
              <w:noProof/>
            </w:rPr>
            <w:drawing>
              <wp:anchor distT="0" distB="0" distL="114300" distR="114300" simplePos="0" relativeHeight="251658240" behindDoc="1" locked="0" layoutInCell="1" allowOverlap="1" wp14:anchorId="162663CB" wp14:editId="3AA11D91">
                <wp:simplePos x="0" y="0"/>
                <wp:positionH relativeFrom="page">
                  <wp:posOffset>-10633</wp:posOffset>
                </wp:positionH>
                <wp:positionV relativeFrom="page">
                  <wp:posOffset>-10633</wp:posOffset>
                </wp:positionV>
                <wp:extent cx="7577998" cy="1071920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998" cy="10719201"/>
                        </a:xfrm>
                        <a:prstGeom prst="rect">
                          <a:avLst/>
                        </a:prstGeom>
                      </pic:spPr>
                    </pic:pic>
                  </a:graphicData>
                </a:graphic>
                <wp14:sizeRelH relativeFrom="page">
                  <wp14:pctWidth>0</wp14:pctWidth>
                </wp14:sizeRelH>
                <wp14:sizeRelV relativeFrom="page">
                  <wp14:pctHeight>0</wp14:pctHeight>
                </wp14:sizeRelV>
              </wp:anchor>
            </w:drawing>
          </w:r>
        </w:p>
        <w:p w14:paraId="0F151DB0" w14:textId="134EBE5C" w:rsidR="00604EEF" w:rsidRPr="005103E4" w:rsidRDefault="0077328B" w:rsidP="005103E4">
          <w:pPr>
            <w:pStyle w:val="Title"/>
          </w:pPr>
          <w:r>
            <w:t>Payment Times Reporting: Guidance Materials</w:t>
          </w:r>
        </w:p>
        <w:p w14:paraId="3820A794" w14:textId="3C2D4D45" w:rsidR="00604EEF" w:rsidRPr="006923DF" w:rsidRDefault="00213964" w:rsidP="006923DF">
          <w:pPr>
            <w:pStyle w:val="Subtitle"/>
          </w:pPr>
          <w:r>
            <w:t xml:space="preserve">CONSULTATION </w:t>
          </w:r>
          <w:r w:rsidR="00E21863">
            <w:t xml:space="preserve">SUMMARY </w:t>
          </w:r>
          <w:r w:rsidR="00CC40C5">
            <w:t xml:space="preserve">AND </w:t>
          </w:r>
          <w:r>
            <w:t xml:space="preserve">RESPONSE </w:t>
          </w:r>
        </w:p>
        <w:p w14:paraId="57C9ACE9" w14:textId="1B4A0FB7" w:rsidR="00604EEF" w:rsidRPr="006923DF" w:rsidRDefault="00213964" w:rsidP="006923DF">
          <w:pPr>
            <w:pStyle w:val="ReportDate"/>
            <w:rPr>
              <w:rFonts w:ascii="Rockwell" w:hAnsi="Rockwell"/>
              <w:sz w:val="24"/>
            </w:rPr>
          </w:pPr>
          <w:r>
            <w:rPr>
              <w:rStyle w:val="ReportDateChar"/>
            </w:rPr>
            <w:t>December 2024</w:t>
          </w:r>
        </w:p>
        <w:p w14:paraId="6EFB3FCF" w14:textId="77777777" w:rsidR="00604EEF" w:rsidRDefault="00604EEF">
          <w:pPr>
            <w:spacing w:before="0" w:after="160" w:line="259" w:lineRule="auto"/>
            <w:rPr>
              <w:noProof/>
            </w:rPr>
          </w:pPr>
          <w:r>
            <w:rPr>
              <w:noProof/>
            </w:rPr>
            <w:br w:type="page"/>
          </w:r>
        </w:p>
      </w:sdtContent>
    </w:sdt>
    <w:p w14:paraId="3C1839B9" w14:textId="0D38AF62" w:rsidR="0050375C" w:rsidRDefault="0050375C" w:rsidP="0050375C">
      <w:pPr>
        <w:spacing w:before="0" w:after="160" w:line="259" w:lineRule="auto"/>
      </w:pPr>
      <w:r w:rsidRPr="00661BF0">
        <w:lastRenderedPageBreak/>
        <w:t xml:space="preserve">© Commonwealth of Australia </w:t>
      </w:r>
      <w:r w:rsidRPr="00DE3A09">
        <w:t>202</w:t>
      </w:r>
      <w:r w:rsidR="00DE3A09" w:rsidRPr="00DE3A09">
        <w:t>4</w:t>
      </w:r>
    </w:p>
    <w:p w14:paraId="141FC3E9" w14:textId="77777777" w:rsidR="0050375C" w:rsidRPr="00086F82" w:rsidRDefault="0050375C" w:rsidP="0050375C">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9" w:history="1">
        <w:r>
          <w:rPr>
            <w:rStyle w:val="Hyperlink"/>
          </w:rPr>
          <w:t>creativecommons.org/licenses/by/4.0/</w:t>
        </w:r>
        <w:proofErr w:type="spellStart"/>
        <w:r>
          <w:rPr>
            <w:rStyle w:val="Hyperlink"/>
          </w:rPr>
          <w:t>legalcode</w:t>
        </w:r>
        <w:proofErr w:type="spellEnd"/>
      </w:hyperlink>
      <w:r w:rsidRPr="00444CDB">
        <w:t>.</w:t>
      </w:r>
      <w:r w:rsidRPr="00D06A21">
        <w:rPr>
          <w:sz w:val="24"/>
          <w:szCs w:val="24"/>
        </w:rPr>
        <w:t xml:space="preserve"> </w:t>
      </w:r>
    </w:p>
    <w:p w14:paraId="21AB6D8E" w14:textId="77777777" w:rsidR="0050375C" w:rsidRDefault="0050375C" w:rsidP="0050375C">
      <w:pPr>
        <w:pStyle w:val="ChartGraphic"/>
        <w:jc w:val="left"/>
      </w:pPr>
      <w:r w:rsidRPr="00E56DFB">
        <w:rPr>
          <w:noProof/>
        </w:rPr>
        <w:drawing>
          <wp:inline distT="0" distB="0" distL="0" distR="0" wp14:anchorId="4C49F66A" wp14:editId="4C7F224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896A4FF" w14:textId="77777777" w:rsidR="0050375C" w:rsidRPr="006627B4" w:rsidRDefault="0050375C" w:rsidP="0050375C">
      <w:pPr>
        <w:tabs>
          <w:tab w:val="left" w:pos="1650"/>
        </w:tabs>
        <w:spacing w:before="240"/>
      </w:pPr>
      <w:r w:rsidRPr="006627B4">
        <w:t>Use of Treasury material under a</w:t>
      </w:r>
      <w:r w:rsidRPr="00476F09">
        <w:rPr>
          <w:rFonts w:cstheme="minorHAnsi"/>
          <w:sz w:val="24"/>
          <w:szCs w:val="24"/>
        </w:rPr>
        <w:t xml:space="preserve"> </w:t>
      </w:r>
      <w:hyperlink r:id="rId11" w:history="1">
        <w:r>
          <w:rPr>
            <w:rStyle w:val="Hyperlink"/>
          </w:rPr>
          <w:t>Creative Commons Attribution 4.0 International</w:t>
        </w:r>
      </w:hyperlink>
      <w:r>
        <w:t xml:space="preserve"> l</w:t>
      </w:r>
      <w:r w:rsidRPr="006627B4">
        <w:t>icence requires you to attribute the work (but not in any way that suggests that the Treasury endorse</w:t>
      </w:r>
      <w:r>
        <w:t>s you or your use of the work).</w:t>
      </w:r>
    </w:p>
    <w:p w14:paraId="56449E41" w14:textId="77777777" w:rsidR="0050375C" w:rsidRPr="00444CDB" w:rsidRDefault="0050375C" w:rsidP="0050375C">
      <w:pPr>
        <w:spacing w:before="240"/>
        <w:rPr>
          <w:rStyle w:val="Strong"/>
        </w:rPr>
      </w:pPr>
      <w:r w:rsidRPr="00444CDB">
        <w:rPr>
          <w:rStyle w:val="Strong"/>
        </w:rPr>
        <w:t xml:space="preserve">Treasury material used ‘as </w:t>
      </w:r>
      <w:proofErr w:type="gramStart"/>
      <w:r w:rsidRPr="00444CDB">
        <w:rPr>
          <w:rStyle w:val="Strong"/>
        </w:rPr>
        <w:t>supplied’</w:t>
      </w:r>
      <w:proofErr w:type="gramEnd"/>
    </w:p>
    <w:p w14:paraId="217818BA" w14:textId="77777777" w:rsidR="0050375C" w:rsidRPr="00476F09" w:rsidRDefault="0050375C" w:rsidP="0050375C">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Pr>
          <w:rFonts w:cs="Calibri Light"/>
        </w:rPr>
        <w:t>–</w:t>
      </w:r>
      <w:r>
        <w:t xml:space="preserve"> then Treasury prefers t</w:t>
      </w:r>
      <w:r w:rsidRPr="00476F09">
        <w:t xml:space="preserve">he following attribution: </w:t>
      </w:r>
    </w:p>
    <w:p w14:paraId="17596DBE" w14:textId="77777777" w:rsidR="0050375C" w:rsidRPr="00A13A11" w:rsidRDefault="0050375C" w:rsidP="0050375C">
      <w:pPr>
        <w:ind w:firstLine="720"/>
      </w:pPr>
      <w:r w:rsidRPr="00E17231">
        <w:rPr>
          <w:iCs/>
        </w:rPr>
        <w:t>Source:</w:t>
      </w:r>
      <w:r w:rsidRPr="002F1BC2">
        <w:rPr>
          <w:i/>
        </w:rPr>
        <w:t xml:space="preserve"> </w:t>
      </w:r>
      <w:r w:rsidRPr="00AC2B70">
        <w:rPr>
          <w:rStyle w:val="Emphasis"/>
        </w:rPr>
        <w:t>The Commonwealth of Australia.</w:t>
      </w:r>
    </w:p>
    <w:p w14:paraId="5CD3C127" w14:textId="77777777" w:rsidR="0050375C" w:rsidRPr="00444CDB" w:rsidRDefault="0050375C" w:rsidP="0050375C">
      <w:pPr>
        <w:spacing w:before="240"/>
        <w:rPr>
          <w:rStyle w:val="Strong"/>
        </w:rPr>
      </w:pPr>
      <w:r w:rsidRPr="00444CDB">
        <w:rPr>
          <w:rStyle w:val="Strong"/>
        </w:rPr>
        <w:t>Derivative material</w:t>
      </w:r>
    </w:p>
    <w:p w14:paraId="42A5D8AC" w14:textId="77777777" w:rsidR="0050375C" w:rsidRPr="006627B4" w:rsidRDefault="0050375C" w:rsidP="0050375C">
      <w:r w:rsidRPr="006627B4">
        <w:t xml:space="preserve">If you have modified or transformed Treasury material, or derived new material from those of the Treasury in any way, then Treasury prefers the following attribution: </w:t>
      </w:r>
    </w:p>
    <w:p w14:paraId="6F7620B6" w14:textId="77777777" w:rsidR="0050375C" w:rsidRPr="00AC2B70" w:rsidRDefault="0050375C" w:rsidP="0050375C">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21D1EB58" w14:textId="77777777" w:rsidR="0050375C" w:rsidRPr="00444CDB" w:rsidRDefault="0050375C" w:rsidP="0050375C">
      <w:pPr>
        <w:spacing w:before="240"/>
        <w:rPr>
          <w:rStyle w:val="Strong"/>
        </w:rPr>
      </w:pPr>
      <w:r w:rsidRPr="00444CDB">
        <w:rPr>
          <w:rStyle w:val="Strong"/>
        </w:rPr>
        <w:t>Use of the Coat of Arms</w:t>
      </w:r>
    </w:p>
    <w:p w14:paraId="0D3E40F3" w14:textId="77777777" w:rsidR="0050375C" w:rsidRPr="005C503A" w:rsidRDefault="0050375C" w:rsidP="0050375C">
      <w:pPr>
        <w:spacing w:before="240"/>
      </w:pPr>
      <w:r w:rsidRPr="005C503A">
        <w:t>The terms under which the Coat of Arms can be used are set out on the Department of the Prime Minister and Cabinet website (</w:t>
      </w:r>
      <w:r w:rsidRPr="00DE3A09">
        <w:t>see</w:t>
      </w:r>
      <w:r w:rsidRPr="005C503A">
        <w:t xml:space="preserve"> </w:t>
      </w:r>
      <w:hyperlink r:id="rId12" w:history="1">
        <w:r>
          <w:rPr>
            <w:rStyle w:val="Hyperlink"/>
          </w:rPr>
          <w:t>www.pmc.gov.au/government/commonwealth-coat-arms</w:t>
        </w:r>
      </w:hyperlink>
      <w:r w:rsidRPr="005C503A">
        <w:t>).</w:t>
      </w:r>
    </w:p>
    <w:p w14:paraId="284E63AD" w14:textId="77777777" w:rsidR="0050375C" w:rsidRPr="00444CDB" w:rsidRDefault="0050375C" w:rsidP="0050375C">
      <w:pPr>
        <w:spacing w:before="240"/>
        <w:rPr>
          <w:rStyle w:val="Strong"/>
        </w:rPr>
      </w:pPr>
      <w:r w:rsidRPr="00444CDB">
        <w:rPr>
          <w:rStyle w:val="Strong"/>
        </w:rPr>
        <w:t>Other uses</w:t>
      </w:r>
    </w:p>
    <w:p w14:paraId="62529C91" w14:textId="77777777" w:rsidR="0050375C" w:rsidRPr="006627B4" w:rsidRDefault="0050375C" w:rsidP="0050375C">
      <w:r>
        <w:t>E</w:t>
      </w:r>
      <w:r w:rsidRPr="006627B4">
        <w:t>nquiries regarding this licence and any other use of this document are welcome at:</w:t>
      </w:r>
    </w:p>
    <w:p w14:paraId="3F26D905" w14:textId="2496CFB5" w:rsidR="00081879" w:rsidRDefault="0050375C" w:rsidP="00081879">
      <w:pPr>
        <w:spacing w:after="240"/>
        <w:ind w:left="720"/>
        <w:rPr>
          <w:rStyle w:val="Hyperlink"/>
        </w:rPr>
      </w:pPr>
      <w:r w:rsidRPr="006627B4">
        <w:t>Manager</w:t>
      </w:r>
      <w:r>
        <w:b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3" w:history="1">
        <w:r>
          <w:rPr>
            <w:rStyle w:val="Hyperlink"/>
          </w:rPr>
          <w:t>media@treasury.gov.au</w:t>
        </w:r>
      </w:hyperlink>
    </w:p>
    <w:p w14:paraId="2F939864" w14:textId="77777777" w:rsidR="0050375C" w:rsidRPr="003F1597" w:rsidRDefault="0050375C" w:rsidP="0050375C">
      <w:pPr>
        <w:rPr>
          <w:rStyle w:val="Emphasis"/>
        </w:rPr>
      </w:pPr>
      <w:r w:rsidRPr="003F1597">
        <w:rPr>
          <w:rStyle w:val="Emphasis"/>
        </w:rPr>
        <w:t xml:space="preserve">In the spirit of reconciliation, the Treasury acknowledges the Traditional Custodians of country throughout Australia and their connections to land, </w:t>
      </w:r>
      <w:proofErr w:type="gramStart"/>
      <w:r w:rsidRPr="003F1597">
        <w:rPr>
          <w:rStyle w:val="Emphasis"/>
        </w:rPr>
        <w:t>sea</w:t>
      </w:r>
      <w:proofErr w:type="gramEnd"/>
      <w:r w:rsidRPr="003F1597">
        <w:rPr>
          <w:rStyle w:val="Emphasis"/>
        </w:rPr>
        <w:t xml:space="preserve"> and community. We pay our respect to their Elders past and present and extend that respect to all Aboriginal and Torres Strait Islander peoples.</w:t>
      </w:r>
    </w:p>
    <w:p w14:paraId="2CB847F4" w14:textId="77777777" w:rsidR="00F836F9" w:rsidRPr="0050375C" w:rsidRDefault="00F836F9" w:rsidP="0050375C"/>
    <w:p w14:paraId="6B304A4B" w14:textId="77777777" w:rsidR="0050375C" w:rsidRPr="0050375C" w:rsidRDefault="0050375C" w:rsidP="0050375C">
      <w:pPr>
        <w:sectPr w:rsidR="0050375C" w:rsidRPr="0050375C" w:rsidSect="00917E28">
          <w:headerReference w:type="even" r:id="rId14"/>
          <w:headerReference w:type="default" r:id="rId15"/>
          <w:footerReference w:type="even" r:id="rId16"/>
          <w:footerReference w:type="default" r:id="rId17"/>
          <w:pgSz w:w="11906" w:h="16838" w:code="9"/>
          <w:pgMar w:top="1418" w:right="1418" w:bottom="1418" w:left="1418" w:header="709" w:footer="709" w:gutter="0"/>
          <w:pgNumType w:fmt="lowerRoman" w:start="0"/>
          <w:cols w:space="708"/>
          <w:titlePg/>
          <w:docGrid w:linePitch="360"/>
        </w:sectPr>
      </w:pPr>
    </w:p>
    <w:p w14:paraId="369F17CE" w14:textId="77777777" w:rsidR="000E0B74" w:rsidRDefault="000E0B74" w:rsidP="001F1B27">
      <w:pPr>
        <w:pStyle w:val="Heading1"/>
      </w:pPr>
      <w:bookmarkStart w:id="0" w:name="_Toc184816126"/>
      <w:r w:rsidRPr="001F1B27">
        <w:lastRenderedPageBreak/>
        <w:t>Contents</w:t>
      </w:r>
      <w:bookmarkEnd w:id="0"/>
    </w:p>
    <w:p w14:paraId="0BD4F0EA" w14:textId="21D5B6F4" w:rsidR="00E43191" w:rsidRDefault="000E0B74">
      <w:pPr>
        <w:pStyle w:val="TOC1"/>
        <w:rPr>
          <w:rFonts w:asciiTheme="minorHAnsi" w:eastAsiaTheme="minorEastAsia" w:hAnsiTheme="minorHAnsi" w:cstheme="minorBidi"/>
          <w:b w:val="0"/>
          <w:color w:val="auto"/>
          <w:kern w:val="2"/>
          <w14:ligatures w14:val="standardContextual"/>
        </w:rPr>
      </w:pPr>
      <w:r>
        <w:rPr>
          <w:color w:val="004A7F"/>
        </w:rPr>
        <w:fldChar w:fldCharType="begin"/>
      </w:r>
      <w:r w:rsidRPr="0025652F">
        <w:instrText xml:space="preserve"> TOC \o "1-3" \h \z \u </w:instrText>
      </w:r>
      <w:r>
        <w:rPr>
          <w:color w:val="004A7F"/>
        </w:rPr>
        <w:fldChar w:fldCharType="separate"/>
      </w:r>
      <w:hyperlink w:anchor="_Toc184816126" w:history="1">
        <w:r w:rsidR="00E43191" w:rsidRPr="00A56EDC">
          <w:rPr>
            <w:rStyle w:val="Hyperlink"/>
          </w:rPr>
          <w:t>Contents</w:t>
        </w:r>
        <w:r w:rsidR="00E43191">
          <w:rPr>
            <w:webHidden/>
          </w:rPr>
          <w:tab/>
        </w:r>
        <w:r w:rsidR="00E43191">
          <w:rPr>
            <w:webHidden/>
          </w:rPr>
          <w:fldChar w:fldCharType="begin"/>
        </w:r>
        <w:r w:rsidR="00E43191">
          <w:rPr>
            <w:webHidden/>
          </w:rPr>
          <w:instrText xml:space="preserve"> PAGEREF _Toc184816126 \h </w:instrText>
        </w:r>
        <w:r w:rsidR="00E43191">
          <w:rPr>
            <w:webHidden/>
          </w:rPr>
        </w:r>
        <w:r w:rsidR="00E43191">
          <w:rPr>
            <w:webHidden/>
          </w:rPr>
          <w:fldChar w:fldCharType="separate"/>
        </w:r>
        <w:r w:rsidR="00E43191">
          <w:rPr>
            <w:webHidden/>
          </w:rPr>
          <w:t>ii</w:t>
        </w:r>
        <w:r w:rsidR="00E43191">
          <w:rPr>
            <w:webHidden/>
          </w:rPr>
          <w:fldChar w:fldCharType="end"/>
        </w:r>
      </w:hyperlink>
    </w:p>
    <w:p w14:paraId="032B0892" w14:textId="4F420B80" w:rsidR="00E43191" w:rsidRDefault="005219F3">
      <w:pPr>
        <w:pStyle w:val="TOC1"/>
        <w:rPr>
          <w:rFonts w:asciiTheme="minorHAnsi" w:eastAsiaTheme="minorEastAsia" w:hAnsiTheme="minorHAnsi" w:cstheme="minorBidi"/>
          <w:b w:val="0"/>
          <w:color w:val="auto"/>
          <w:kern w:val="2"/>
          <w14:ligatures w14:val="standardContextual"/>
        </w:rPr>
      </w:pPr>
      <w:hyperlink w:anchor="_Toc184816127" w:history="1">
        <w:r w:rsidR="00E43191" w:rsidRPr="00A56EDC">
          <w:rPr>
            <w:rStyle w:val="Hyperlink"/>
          </w:rPr>
          <w:t>Consultation Summary</w:t>
        </w:r>
        <w:r w:rsidR="00E43191">
          <w:rPr>
            <w:webHidden/>
          </w:rPr>
          <w:tab/>
        </w:r>
        <w:r w:rsidR="00E43191">
          <w:rPr>
            <w:webHidden/>
          </w:rPr>
          <w:fldChar w:fldCharType="begin"/>
        </w:r>
        <w:r w:rsidR="00E43191">
          <w:rPr>
            <w:webHidden/>
          </w:rPr>
          <w:instrText xml:space="preserve"> PAGEREF _Toc184816127 \h </w:instrText>
        </w:r>
        <w:r w:rsidR="00E43191">
          <w:rPr>
            <w:webHidden/>
          </w:rPr>
        </w:r>
        <w:r w:rsidR="00E43191">
          <w:rPr>
            <w:webHidden/>
          </w:rPr>
          <w:fldChar w:fldCharType="separate"/>
        </w:r>
        <w:r w:rsidR="00E43191">
          <w:rPr>
            <w:webHidden/>
          </w:rPr>
          <w:t>3</w:t>
        </w:r>
        <w:r w:rsidR="00E43191">
          <w:rPr>
            <w:webHidden/>
          </w:rPr>
          <w:fldChar w:fldCharType="end"/>
        </w:r>
      </w:hyperlink>
    </w:p>
    <w:p w14:paraId="24F46810" w14:textId="0B7AD357" w:rsidR="00E43191" w:rsidRDefault="005219F3">
      <w:pPr>
        <w:pStyle w:val="TOC2"/>
        <w:rPr>
          <w:rFonts w:asciiTheme="minorHAnsi" w:eastAsiaTheme="minorEastAsia" w:hAnsiTheme="minorHAnsi" w:cstheme="minorBidi"/>
          <w:color w:val="auto"/>
          <w:kern w:val="2"/>
          <w:szCs w:val="22"/>
          <w14:ligatures w14:val="standardContextual"/>
        </w:rPr>
      </w:pPr>
      <w:hyperlink w:anchor="_Toc184816128" w:history="1">
        <w:r w:rsidR="00E43191" w:rsidRPr="00A56EDC">
          <w:rPr>
            <w:rStyle w:val="Hyperlink"/>
          </w:rPr>
          <w:t>Summary of feedback and changes</w:t>
        </w:r>
        <w:r w:rsidR="00E43191">
          <w:rPr>
            <w:webHidden/>
          </w:rPr>
          <w:tab/>
        </w:r>
        <w:r w:rsidR="00E43191">
          <w:rPr>
            <w:webHidden/>
          </w:rPr>
          <w:fldChar w:fldCharType="begin"/>
        </w:r>
        <w:r w:rsidR="00E43191">
          <w:rPr>
            <w:webHidden/>
          </w:rPr>
          <w:instrText xml:space="preserve"> PAGEREF _Toc184816128 \h </w:instrText>
        </w:r>
        <w:r w:rsidR="00E43191">
          <w:rPr>
            <w:webHidden/>
          </w:rPr>
        </w:r>
        <w:r w:rsidR="00E43191">
          <w:rPr>
            <w:webHidden/>
          </w:rPr>
          <w:fldChar w:fldCharType="separate"/>
        </w:r>
        <w:r w:rsidR="00E43191">
          <w:rPr>
            <w:webHidden/>
          </w:rPr>
          <w:t>3</w:t>
        </w:r>
        <w:r w:rsidR="00E43191">
          <w:rPr>
            <w:webHidden/>
          </w:rPr>
          <w:fldChar w:fldCharType="end"/>
        </w:r>
      </w:hyperlink>
    </w:p>
    <w:p w14:paraId="4F48E8EF" w14:textId="207AB61C" w:rsidR="00E43191" w:rsidRDefault="005219F3">
      <w:pPr>
        <w:pStyle w:val="TOC2"/>
        <w:rPr>
          <w:rFonts w:asciiTheme="minorHAnsi" w:eastAsiaTheme="minorEastAsia" w:hAnsiTheme="minorHAnsi" w:cstheme="minorBidi"/>
          <w:color w:val="auto"/>
          <w:kern w:val="2"/>
          <w:szCs w:val="22"/>
          <w14:ligatures w14:val="standardContextual"/>
        </w:rPr>
      </w:pPr>
      <w:hyperlink w:anchor="_Toc184816129" w:history="1">
        <w:r w:rsidR="00E43191" w:rsidRPr="00A56EDC">
          <w:rPr>
            <w:rStyle w:val="Hyperlink"/>
          </w:rPr>
          <w:t>Publication of other information</w:t>
        </w:r>
        <w:r w:rsidR="00E43191">
          <w:rPr>
            <w:webHidden/>
          </w:rPr>
          <w:tab/>
        </w:r>
        <w:r w:rsidR="00E43191">
          <w:rPr>
            <w:webHidden/>
          </w:rPr>
          <w:fldChar w:fldCharType="begin"/>
        </w:r>
        <w:r w:rsidR="00E43191">
          <w:rPr>
            <w:webHidden/>
          </w:rPr>
          <w:instrText xml:space="preserve"> PAGEREF _Toc184816129 \h </w:instrText>
        </w:r>
        <w:r w:rsidR="00E43191">
          <w:rPr>
            <w:webHidden/>
          </w:rPr>
        </w:r>
        <w:r w:rsidR="00E43191">
          <w:rPr>
            <w:webHidden/>
          </w:rPr>
          <w:fldChar w:fldCharType="separate"/>
        </w:r>
        <w:r w:rsidR="00E43191">
          <w:rPr>
            <w:webHidden/>
          </w:rPr>
          <w:t>3</w:t>
        </w:r>
        <w:r w:rsidR="00E43191">
          <w:rPr>
            <w:webHidden/>
          </w:rPr>
          <w:fldChar w:fldCharType="end"/>
        </w:r>
      </w:hyperlink>
    </w:p>
    <w:p w14:paraId="3B1CEF5E" w14:textId="36E6AA42" w:rsidR="00E43191" w:rsidRDefault="005219F3">
      <w:pPr>
        <w:pStyle w:val="TOC2"/>
        <w:rPr>
          <w:rFonts w:asciiTheme="minorHAnsi" w:eastAsiaTheme="minorEastAsia" w:hAnsiTheme="minorHAnsi" w:cstheme="minorBidi"/>
          <w:color w:val="auto"/>
          <w:kern w:val="2"/>
          <w:szCs w:val="22"/>
          <w14:ligatures w14:val="standardContextual"/>
        </w:rPr>
      </w:pPr>
      <w:hyperlink w:anchor="_Toc184816130" w:history="1">
        <w:r w:rsidR="00E43191" w:rsidRPr="00A56EDC">
          <w:rPr>
            <w:rStyle w:val="Hyperlink"/>
          </w:rPr>
          <w:t>Amendments made to Guidance Materials</w:t>
        </w:r>
        <w:r w:rsidR="00E43191">
          <w:rPr>
            <w:webHidden/>
          </w:rPr>
          <w:tab/>
        </w:r>
        <w:r w:rsidR="00E43191">
          <w:rPr>
            <w:webHidden/>
          </w:rPr>
          <w:fldChar w:fldCharType="begin"/>
        </w:r>
        <w:r w:rsidR="00E43191">
          <w:rPr>
            <w:webHidden/>
          </w:rPr>
          <w:instrText xml:space="preserve"> PAGEREF _Toc184816130 \h </w:instrText>
        </w:r>
        <w:r w:rsidR="00E43191">
          <w:rPr>
            <w:webHidden/>
          </w:rPr>
        </w:r>
        <w:r w:rsidR="00E43191">
          <w:rPr>
            <w:webHidden/>
          </w:rPr>
          <w:fldChar w:fldCharType="separate"/>
        </w:r>
        <w:r w:rsidR="00E43191">
          <w:rPr>
            <w:webHidden/>
          </w:rPr>
          <w:t>4</w:t>
        </w:r>
        <w:r w:rsidR="00E43191">
          <w:rPr>
            <w:webHidden/>
          </w:rPr>
          <w:fldChar w:fldCharType="end"/>
        </w:r>
      </w:hyperlink>
    </w:p>
    <w:p w14:paraId="7211A784" w14:textId="6017BB1E" w:rsidR="00976FBD" w:rsidRDefault="000E0B74" w:rsidP="001F5FF9">
      <w:pPr>
        <w:pStyle w:val="SingleParagraph"/>
        <w:ind w:right="-2"/>
      </w:pPr>
      <w:r>
        <w:fldChar w:fldCharType="end"/>
      </w:r>
      <w:bookmarkStart w:id="1" w:name="_Toc432067103"/>
      <w:bookmarkStart w:id="2" w:name="_Toc452635030"/>
    </w:p>
    <w:p w14:paraId="309E48EB" w14:textId="77777777" w:rsidR="00F836F9" w:rsidRDefault="00F836F9" w:rsidP="0056582C">
      <w:pPr>
        <w:pStyle w:val="SingleParagraph"/>
        <w:ind w:right="-2"/>
      </w:pPr>
    </w:p>
    <w:p w14:paraId="074F9002" w14:textId="77777777" w:rsidR="00E43191" w:rsidRPr="00E43191" w:rsidRDefault="00E43191" w:rsidP="00E43191"/>
    <w:p w14:paraId="491F7AD8" w14:textId="77777777" w:rsidR="00E43191" w:rsidRPr="00E43191" w:rsidRDefault="00E43191" w:rsidP="00E43191"/>
    <w:p w14:paraId="6CC37F46" w14:textId="77777777" w:rsidR="00E43191" w:rsidRDefault="00E43191" w:rsidP="00E43191">
      <w:pPr>
        <w:jc w:val="center"/>
      </w:pPr>
    </w:p>
    <w:p w14:paraId="4B295FB6" w14:textId="77777777" w:rsidR="00E43191" w:rsidRDefault="00E43191" w:rsidP="00E43191"/>
    <w:p w14:paraId="2A54690B" w14:textId="77777777" w:rsidR="00E43191" w:rsidRPr="00E43191" w:rsidRDefault="00E43191" w:rsidP="00E43191">
      <w:pPr>
        <w:sectPr w:rsidR="00E43191" w:rsidRPr="00E43191" w:rsidSect="003C24B4">
          <w:headerReference w:type="even" r:id="rId18"/>
          <w:headerReference w:type="default" r:id="rId19"/>
          <w:footerReference w:type="even" r:id="rId20"/>
          <w:headerReference w:type="first" r:id="rId21"/>
          <w:footerReference w:type="first" r:id="rId22"/>
          <w:pgSz w:w="11906" w:h="16838" w:code="9"/>
          <w:pgMar w:top="1418" w:right="1418" w:bottom="1418" w:left="1418" w:header="709" w:footer="709" w:gutter="0"/>
          <w:pgNumType w:fmt="lowerRoman"/>
          <w:cols w:space="708"/>
          <w:docGrid w:linePitch="360"/>
        </w:sectPr>
      </w:pPr>
    </w:p>
    <w:p w14:paraId="50C36878" w14:textId="3BAB1749" w:rsidR="000264AF" w:rsidRDefault="00DA2D8B" w:rsidP="00663C0D">
      <w:pPr>
        <w:pStyle w:val="Heading1"/>
      </w:pPr>
      <w:bookmarkStart w:id="3" w:name="_Toc184816127"/>
      <w:bookmarkEnd w:id="1"/>
      <w:bookmarkEnd w:id="2"/>
      <w:r>
        <w:lastRenderedPageBreak/>
        <w:t>Consultation Summary</w:t>
      </w:r>
      <w:bookmarkEnd w:id="3"/>
    </w:p>
    <w:p w14:paraId="33F78501" w14:textId="4AAE47E2" w:rsidR="00DA2D8B" w:rsidRDefault="00DA2D8B" w:rsidP="008C48C7">
      <w:pPr>
        <w:pStyle w:val="Heading2"/>
        <w:spacing w:before="240"/>
      </w:pPr>
      <w:bookmarkStart w:id="4" w:name="_Toc184816128"/>
      <w:r>
        <w:t>Summary of feedback</w:t>
      </w:r>
      <w:r w:rsidR="002772B1">
        <w:t xml:space="preserve"> and changes</w:t>
      </w:r>
      <w:bookmarkEnd w:id="4"/>
    </w:p>
    <w:p w14:paraId="28F125A6" w14:textId="3B41FB43" w:rsidR="00DA2D8B" w:rsidRDefault="00302B88" w:rsidP="00F50048">
      <w:pPr>
        <w:spacing w:line="264" w:lineRule="auto"/>
      </w:pPr>
      <w:r>
        <w:t xml:space="preserve">We received </w:t>
      </w:r>
      <w:r w:rsidR="0079754D">
        <w:t xml:space="preserve">13 </w:t>
      </w:r>
      <w:r w:rsidR="003F4639">
        <w:t xml:space="preserve">written </w:t>
      </w:r>
      <w:r w:rsidR="0079754D">
        <w:t xml:space="preserve">submissions in addition to feedback </w:t>
      </w:r>
      <w:r w:rsidR="00C276E5">
        <w:t>provided</w:t>
      </w:r>
      <w:r w:rsidR="00F9606A">
        <w:t xml:space="preserve"> </w:t>
      </w:r>
      <w:r w:rsidR="0079754D">
        <w:t>informally</w:t>
      </w:r>
      <w:r w:rsidR="00EC53EB">
        <w:t xml:space="preserve"> during industry consultation sessions</w:t>
      </w:r>
      <w:r w:rsidR="0079754D">
        <w:t xml:space="preserve"> and </w:t>
      </w:r>
      <w:r w:rsidR="00C276E5">
        <w:t>through</w:t>
      </w:r>
      <w:r w:rsidR="0079754D">
        <w:t xml:space="preserve"> enquiries. </w:t>
      </w:r>
    </w:p>
    <w:p w14:paraId="74699505" w14:textId="29C83196" w:rsidR="002772B1" w:rsidRDefault="00A735FF" w:rsidP="00F50048">
      <w:pPr>
        <w:spacing w:line="264" w:lineRule="auto"/>
      </w:pPr>
      <w:r>
        <w:t>As specified in the Exposure Draft</w:t>
      </w:r>
      <w:r w:rsidR="00C56F00">
        <w:t xml:space="preserve"> Guidance, the Regulator does not intend to publish submissions </w:t>
      </w:r>
      <w:r w:rsidR="00C276E5">
        <w:t xml:space="preserve">received during the consultation process </w:t>
      </w:r>
      <w:r w:rsidR="005C4308">
        <w:t>in their varying formats</w:t>
      </w:r>
      <w:r w:rsidR="004E6D27">
        <w:t xml:space="preserve">. </w:t>
      </w:r>
      <w:r w:rsidR="003061C4">
        <w:t xml:space="preserve">Instead, </w:t>
      </w:r>
      <w:r w:rsidR="004E6D27">
        <w:t xml:space="preserve">we have prepared this </w:t>
      </w:r>
      <w:r w:rsidR="007A6833">
        <w:t xml:space="preserve">consultation summary as a consolidation of </w:t>
      </w:r>
      <w:r w:rsidR="00EB22F5">
        <w:t xml:space="preserve">feedback received and </w:t>
      </w:r>
      <w:r w:rsidR="007A6833">
        <w:t xml:space="preserve">amendments made to the </w:t>
      </w:r>
      <w:r w:rsidR="00192315">
        <w:t>G</w:t>
      </w:r>
      <w:r w:rsidR="007A6833">
        <w:t>uidance</w:t>
      </w:r>
      <w:r w:rsidR="00192315">
        <w:t xml:space="preserve"> Materials</w:t>
      </w:r>
      <w:r w:rsidR="007A6833">
        <w:t xml:space="preserve"> </w:t>
      </w:r>
      <w:proofErr w:type="gramStart"/>
      <w:r w:rsidR="008E759C">
        <w:t>as a result of</w:t>
      </w:r>
      <w:proofErr w:type="gramEnd"/>
      <w:r w:rsidR="008E759C">
        <w:t xml:space="preserve"> </w:t>
      </w:r>
      <w:r w:rsidR="00A30D25">
        <w:t xml:space="preserve">that </w:t>
      </w:r>
      <w:r w:rsidR="008E759C">
        <w:t xml:space="preserve">feedback. If </w:t>
      </w:r>
      <w:r w:rsidR="00D61FFC">
        <w:t xml:space="preserve">an entity wishes to discuss its individual submission, contact us directly at </w:t>
      </w:r>
      <w:hyperlink r:id="rId23" w:history="1">
        <w:r w:rsidR="00D61FFC" w:rsidRPr="00C86F74">
          <w:rPr>
            <w:rStyle w:val="Hyperlink"/>
          </w:rPr>
          <w:t>support@paymenttimes.gov.au</w:t>
        </w:r>
      </w:hyperlink>
      <w:r w:rsidR="00D61FFC">
        <w:t>.</w:t>
      </w:r>
    </w:p>
    <w:p w14:paraId="3EEB46EE" w14:textId="5C1DCFEC" w:rsidR="00120F96" w:rsidRDefault="00887AD0" w:rsidP="00F50048">
      <w:pPr>
        <w:spacing w:line="264" w:lineRule="auto"/>
      </w:pPr>
      <w:r>
        <w:t xml:space="preserve">The most significant </w:t>
      </w:r>
      <w:r w:rsidR="003A5421">
        <w:t>c</w:t>
      </w:r>
      <w:r w:rsidR="0072072C">
        <w:t xml:space="preserve">hanges to the </w:t>
      </w:r>
      <w:r w:rsidR="00EF2E13">
        <w:t>Guidance Materials</w:t>
      </w:r>
      <w:r w:rsidR="0072072C">
        <w:t xml:space="preserve"> </w:t>
      </w:r>
      <w:r>
        <w:t xml:space="preserve">in response to </w:t>
      </w:r>
      <w:r w:rsidR="002F556D">
        <w:t>feedback</w:t>
      </w:r>
      <w:r w:rsidR="006A2BA4">
        <w:t xml:space="preserve"> </w:t>
      </w:r>
      <w:r>
        <w:t>are</w:t>
      </w:r>
      <w:r w:rsidR="00120F96">
        <w:t>:</w:t>
      </w:r>
    </w:p>
    <w:p w14:paraId="2C3352BC" w14:textId="63E991CB" w:rsidR="00262484" w:rsidRDefault="00C276E5" w:rsidP="00F50048">
      <w:pPr>
        <w:pStyle w:val="ListParagraph"/>
        <w:numPr>
          <w:ilvl w:val="0"/>
          <w:numId w:val="21"/>
        </w:numPr>
        <w:spacing w:before="120" w:line="264" w:lineRule="auto"/>
      </w:pPr>
      <w:r>
        <w:t>i</w:t>
      </w:r>
      <w:r w:rsidR="00887AD0">
        <w:t>nclu</w:t>
      </w:r>
      <w:r w:rsidR="00B07A43">
        <w:t>ding</w:t>
      </w:r>
      <w:r w:rsidR="00887AD0">
        <w:t xml:space="preserve"> </w:t>
      </w:r>
      <w:r w:rsidR="00D63EDE">
        <w:t>more</w:t>
      </w:r>
      <w:r w:rsidR="000F5A38">
        <w:t xml:space="preserve"> technical detail to better explain different </w:t>
      </w:r>
      <w:proofErr w:type="gramStart"/>
      <w:r w:rsidR="000F5A38">
        <w:t>circumstances</w:t>
      </w:r>
      <w:proofErr w:type="gramEnd"/>
    </w:p>
    <w:p w14:paraId="1F249B5A" w14:textId="48AA18A1" w:rsidR="0091719C" w:rsidRDefault="00C276E5" w:rsidP="00F50048">
      <w:pPr>
        <w:pStyle w:val="ListParagraph"/>
        <w:numPr>
          <w:ilvl w:val="0"/>
          <w:numId w:val="21"/>
        </w:numPr>
        <w:spacing w:before="120" w:line="264" w:lineRule="auto"/>
      </w:pPr>
      <w:r>
        <w:t>r</w:t>
      </w:r>
      <w:r w:rsidR="0091719C">
        <w:t>evis</w:t>
      </w:r>
      <w:r w:rsidR="00CA7202">
        <w:t>i</w:t>
      </w:r>
      <w:r w:rsidR="00B07A43">
        <w:t>ng</w:t>
      </w:r>
      <w:r w:rsidR="001555E1">
        <w:t xml:space="preserve"> the</w:t>
      </w:r>
      <w:r w:rsidR="0091719C">
        <w:t xml:space="preserve"> examples </w:t>
      </w:r>
      <w:r>
        <w:t>to improve</w:t>
      </w:r>
      <w:r w:rsidR="007958D0">
        <w:t xml:space="preserve"> </w:t>
      </w:r>
      <w:proofErr w:type="gramStart"/>
      <w:r w:rsidR="007958D0">
        <w:t>clarity</w:t>
      </w:r>
      <w:proofErr w:type="gramEnd"/>
    </w:p>
    <w:p w14:paraId="69095D2A" w14:textId="6518F0A1" w:rsidR="006B1177" w:rsidRDefault="001555E1" w:rsidP="00F50048">
      <w:pPr>
        <w:pStyle w:val="ListParagraph"/>
        <w:numPr>
          <w:ilvl w:val="0"/>
          <w:numId w:val="21"/>
        </w:numPr>
        <w:spacing w:before="120" w:line="264" w:lineRule="auto"/>
      </w:pPr>
      <w:r>
        <w:t>a</w:t>
      </w:r>
      <w:r w:rsidR="006B1177">
        <w:t>ddi</w:t>
      </w:r>
      <w:r>
        <w:t>ng more</w:t>
      </w:r>
      <w:r w:rsidR="006B1177">
        <w:t xml:space="preserve"> examples to cater for more varied </w:t>
      </w:r>
      <w:proofErr w:type="gramStart"/>
      <w:r w:rsidR="006B1177">
        <w:t>circumstances</w:t>
      </w:r>
      <w:proofErr w:type="gramEnd"/>
    </w:p>
    <w:p w14:paraId="70ACEF04" w14:textId="736F3F72" w:rsidR="00FD2674" w:rsidRDefault="001555E1" w:rsidP="00F50048">
      <w:pPr>
        <w:pStyle w:val="ListParagraph"/>
        <w:numPr>
          <w:ilvl w:val="0"/>
          <w:numId w:val="21"/>
        </w:numPr>
        <w:spacing w:before="120" w:line="264" w:lineRule="auto"/>
      </w:pPr>
      <w:r>
        <w:t>i</w:t>
      </w:r>
      <w:r w:rsidR="005F7CB8">
        <w:t>nclu</w:t>
      </w:r>
      <w:r>
        <w:t>ding</w:t>
      </w:r>
      <w:r w:rsidR="005F7CB8">
        <w:t xml:space="preserve"> more detail </w:t>
      </w:r>
      <w:r w:rsidR="00244F3B">
        <w:t xml:space="preserve">in the </w:t>
      </w:r>
      <w:r w:rsidR="003535B9">
        <w:t>steps</w:t>
      </w:r>
      <w:r w:rsidR="00602D1A">
        <w:t xml:space="preserve"> </w:t>
      </w:r>
      <w:r w:rsidR="00DD6869">
        <w:t xml:space="preserve">for </w:t>
      </w:r>
      <w:r w:rsidR="00602D1A">
        <w:t>preparing</w:t>
      </w:r>
      <w:r w:rsidR="00DD6869">
        <w:t xml:space="preserve"> reports</w:t>
      </w:r>
    </w:p>
    <w:p w14:paraId="4534CB1B" w14:textId="3393D3CA" w:rsidR="00CF33F5" w:rsidRDefault="001555E1" w:rsidP="00F50048">
      <w:pPr>
        <w:pStyle w:val="ListParagraph"/>
        <w:numPr>
          <w:ilvl w:val="0"/>
          <w:numId w:val="21"/>
        </w:numPr>
        <w:spacing w:before="120" w:line="264" w:lineRule="auto"/>
      </w:pPr>
      <w:r>
        <w:t>r</w:t>
      </w:r>
      <w:r w:rsidR="007D64F5">
        <w:t>evis</w:t>
      </w:r>
      <w:r>
        <w:t>ing</w:t>
      </w:r>
      <w:r w:rsidR="00CF33F5">
        <w:t xml:space="preserve"> content</w:t>
      </w:r>
      <w:r w:rsidR="000741FC">
        <w:t xml:space="preserve"> </w:t>
      </w:r>
      <w:r w:rsidR="00C82B2E">
        <w:t xml:space="preserve">to better align with </w:t>
      </w:r>
      <w:r w:rsidR="00981759">
        <w:t>legislative requirements</w:t>
      </w:r>
      <w:r>
        <w:t>.</w:t>
      </w:r>
    </w:p>
    <w:p w14:paraId="723D515E" w14:textId="45F3DB7E" w:rsidR="00A13707" w:rsidRDefault="006E7FF8" w:rsidP="00F50048">
      <w:pPr>
        <w:spacing w:line="264" w:lineRule="auto"/>
      </w:pPr>
      <w:r>
        <w:t>Detail</w:t>
      </w:r>
      <w:r w:rsidR="00FD0672">
        <w:t>s</w:t>
      </w:r>
      <w:r>
        <w:t xml:space="preserve"> of </w:t>
      </w:r>
      <w:r w:rsidR="00526022">
        <w:t xml:space="preserve">the </w:t>
      </w:r>
      <w:r w:rsidR="007E14F0">
        <w:t>changes</w:t>
      </w:r>
      <w:r w:rsidR="0018454C">
        <w:t xml:space="preserve"> </w:t>
      </w:r>
      <w:r w:rsidR="00A13707">
        <w:t xml:space="preserve">are set out </w:t>
      </w:r>
      <w:r w:rsidR="001555E1">
        <w:t>in this document</w:t>
      </w:r>
      <w:r w:rsidR="00F92A67" w:rsidRPr="00F92A67">
        <w:t xml:space="preserve"> </w:t>
      </w:r>
      <w:r w:rsidR="00F92A67">
        <w:t>on a section-by-section basis</w:t>
      </w:r>
      <w:r w:rsidR="00A13707">
        <w:t>. In addition to the</w:t>
      </w:r>
      <w:r w:rsidR="001555E1">
        <w:t>se</w:t>
      </w:r>
      <w:r w:rsidR="00A13707">
        <w:t xml:space="preserve"> changes</w:t>
      </w:r>
      <w:r w:rsidR="00A17C24">
        <w:t>, we made</w:t>
      </w:r>
      <w:r w:rsidR="00A13707">
        <w:t xml:space="preserve"> other typographical</w:t>
      </w:r>
      <w:r w:rsidR="00A17C24">
        <w:t xml:space="preserve"> and</w:t>
      </w:r>
      <w:r w:rsidR="00A13707">
        <w:t xml:space="preserve"> formatting corrections and </w:t>
      </w:r>
      <w:r w:rsidR="00A17C24">
        <w:t xml:space="preserve">updated the </w:t>
      </w:r>
      <w:r w:rsidR="00A13707">
        <w:t>cross reference</w:t>
      </w:r>
      <w:r w:rsidR="00A17C24">
        <w:t>s</w:t>
      </w:r>
      <w:r w:rsidR="00A13707">
        <w:t>.</w:t>
      </w:r>
    </w:p>
    <w:p w14:paraId="3F8BA270" w14:textId="41DCDC8F" w:rsidR="00D61FFC" w:rsidRDefault="001B2A57" w:rsidP="00F50048">
      <w:pPr>
        <w:spacing w:line="264" w:lineRule="auto"/>
      </w:pPr>
      <w:r>
        <w:t>Some of the</w:t>
      </w:r>
      <w:r w:rsidR="00712CF9">
        <w:t xml:space="preserve"> feedback </w:t>
      </w:r>
      <w:r w:rsidR="00A17C24">
        <w:t xml:space="preserve">we </w:t>
      </w:r>
      <w:r>
        <w:t>received</w:t>
      </w:r>
      <w:r w:rsidR="00074846">
        <w:t xml:space="preserve"> </w:t>
      </w:r>
      <w:r w:rsidR="00712CF9">
        <w:t>did not relate to the</w:t>
      </w:r>
      <w:r w:rsidR="008B6787">
        <w:t xml:space="preserve"> Guidance Materials or </w:t>
      </w:r>
      <w:r w:rsidR="00074846">
        <w:t xml:space="preserve">was not within the remit of the Guidance Materials as </w:t>
      </w:r>
      <w:r w:rsidR="00541C2D">
        <w:t xml:space="preserve">it would require changes to the </w:t>
      </w:r>
      <w:r w:rsidR="00541C2D">
        <w:rPr>
          <w:i/>
          <w:iCs/>
        </w:rPr>
        <w:t xml:space="preserve">Payment Times Reporting Act 2020 </w:t>
      </w:r>
      <w:r w:rsidR="00541C2D">
        <w:t xml:space="preserve">(the </w:t>
      </w:r>
      <w:r w:rsidR="00541C2D" w:rsidRPr="00232416">
        <w:rPr>
          <w:b/>
        </w:rPr>
        <w:t>Act</w:t>
      </w:r>
      <w:r w:rsidR="00541C2D">
        <w:t xml:space="preserve">) or the </w:t>
      </w:r>
      <w:r w:rsidR="00C20CF5">
        <w:rPr>
          <w:i/>
          <w:iCs/>
        </w:rPr>
        <w:t>Payment Times Reporting Rules 2024</w:t>
      </w:r>
      <w:r w:rsidR="00C20CF5">
        <w:t xml:space="preserve"> (the </w:t>
      </w:r>
      <w:r w:rsidR="00C20CF5" w:rsidRPr="00232416">
        <w:rPr>
          <w:b/>
        </w:rPr>
        <w:t>Rules</w:t>
      </w:r>
      <w:r w:rsidR="00C20CF5">
        <w:t xml:space="preserve">). </w:t>
      </w:r>
      <w:r w:rsidR="00AD0355">
        <w:t>The s</w:t>
      </w:r>
      <w:r w:rsidR="006A058E">
        <w:t>ubmissions contained</w:t>
      </w:r>
      <w:r w:rsidR="00AD0355">
        <w:t>:</w:t>
      </w:r>
    </w:p>
    <w:p w14:paraId="7B2A4CD8" w14:textId="0D262D9F" w:rsidR="00C20CF5" w:rsidRDefault="00A36CCF" w:rsidP="00F50048">
      <w:pPr>
        <w:pStyle w:val="ListParagraph"/>
        <w:numPr>
          <w:ilvl w:val="0"/>
          <w:numId w:val="21"/>
        </w:numPr>
        <w:spacing w:before="120" w:line="264" w:lineRule="auto"/>
      </w:pPr>
      <w:r>
        <w:t>g</w:t>
      </w:r>
      <w:r w:rsidR="00C43A8E">
        <w:t xml:space="preserve">eneral comments about the complexity of the overhauled scheme compared with the old </w:t>
      </w:r>
      <w:proofErr w:type="gramStart"/>
      <w:r w:rsidR="00C43A8E">
        <w:t>scheme</w:t>
      </w:r>
      <w:proofErr w:type="gramEnd"/>
    </w:p>
    <w:p w14:paraId="1DC634A5" w14:textId="45FF45FF" w:rsidR="002723D1" w:rsidRDefault="00A36CCF" w:rsidP="00F50048">
      <w:pPr>
        <w:pStyle w:val="ListParagraph"/>
        <w:numPr>
          <w:ilvl w:val="0"/>
          <w:numId w:val="21"/>
        </w:numPr>
        <w:spacing w:before="120" w:line="264" w:lineRule="auto"/>
      </w:pPr>
      <w:r>
        <w:t>e</w:t>
      </w:r>
      <w:r w:rsidR="002723D1">
        <w:t xml:space="preserve">nquiries </w:t>
      </w:r>
      <w:r w:rsidR="001872F1">
        <w:t>on specific aspects of the scheme</w:t>
      </w:r>
    </w:p>
    <w:p w14:paraId="47EAA1D3" w14:textId="363E1F01" w:rsidR="00062FE8" w:rsidRDefault="00A36CCF" w:rsidP="00F50048">
      <w:pPr>
        <w:pStyle w:val="ListParagraph"/>
        <w:numPr>
          <w:ilvl w:val="0"/>
          <w:numId w:val="21"/>
        </w:numPr>
        <w:spacing w:before="120" w:line="264" w:lineRule="auto"/>
      </w:pPr>
      <w:r>
        <w:t>s</w:t>
      </w:r>
      <w:r w:rsidR="00062FE8">
        <w:t>uggestions on policy matters</w:t>
      </w:r>
    </w:p>
    <w:p w14:paraId="2CCF7B06" w14:textId="4AE2BD95" w:rsidR="001C6C3B" w:rsidRDefault="00A36CCF" w:rsidP="00F50048">
      <w:pPr>
        <w:pStyle w:val="ListParagraph"/>
        <w:numPr>
          <w:ilvl w:val="0"/>
          <w:numId w:val="21"/>
        </w:numPr>
        <w:spacing w:before="120" w:line="264" w:lineRule="auto"/>
      </w:pPr>
      <w:r>
        <w:t>s</w:t>
      </w:r>
      <w:r w:rsidR="000753EA">
        <w:t xml:space="preserve">uggestions that would require amendments to the </w:t>
      </w:r>
      <w:proofErr w:type="gramStart"/>
      <w:r w:rsidR="000753EA">
        <w:t>Act</w:t>
      </w:r>
      <w:proofErr w:type="gramEnd"/>
    </w:p>
    <w:p w14:paraId="0179B806" w14:textId="4B753D6B" w:rsidR="000753EA" w:rsidRDefault="00A36CCF" w:rsidP="00F50048">
      <w:pPr>
        <w:pStyle w:val="ListParagraph"/>
        <w:numPr>
          <w:ilvl w:val="0"/>
          <w:numId w:val="21"/>
        </w:numPr>
        <w:spacing w:before="120" w:line="264" w:lineRule="auto"/>
      </w:pPr>
      <w:r>
        <w:t>s</w:t>
      </w:r>
      <w:r w:rsidR="000753EA">
        <w:t xml:space="preserve">uggestions that would require amendments to the </w:t>
      </w:r>
      <w:proofErr w:type="gramStart"/>
      <w:r w:rsidR="000753EA">
        <w:t>Rules</w:t>
      </w:r>
      <w:proofErr w:type="gramEnd"/>
    </w:p>
    <w:p w14:paraId="218A7A77" w14:textId="1E732FBD" w:rsidR="00871CED" w:rsidRPr="00C20CF5" w:rsidRDefault="007572AA" w:rsidP="00F50048">
      <w:pPr>
        <w:spacing w:line="264" w:lineRule="auto"/>
      </w:pPr>
      <w:r>
        <w:t>We will consider g</w:t>
      </w:r>
      <w:r w:rsidR="00871CED">
        <w:t xml:space="preserve">eneral feedback </w:t>
      </w:r>
      <w:r>
        <w:t xml:space="preserve">outside the scope of the </w:t>
      </w:r>
      <w:r w:rsidR="00871CED">
        <w:t>Guidance Materials in future policy development, legislative amendments and</w:t>
      </w:r>
      <w:r w:rsidR="00561EFF">
        <w:t>/or</w:t>
      </w:r>
      <w:r w:rsidR="00871CED">
        <w:t xml:space="preserve"> IT system updates.</w:t>
      </w:r>
      <w:r w:rsidR="00A23B2E">
        <w:t xml:space="preserve"> </w:t>
      </w:r>
      <w:r>
        <w:t xml:space="preserve">We will </w:t>
      </w:r>
      <w:r w:rsidR="00D17F06">
        <w:t>respond to e</w:t>
      </w:r>
      <w:r w:rsidR="00A23B2E">
        <w:t xml:space="preserve">nquiries </w:t>
      </w:r>
      <w:r w:rsidR="003D52FC">
        <w:t xml:space="preserve">on specific matters </w:t>
      </w:r>
      <w:r w:rsidR="00A90BE4">
        <w:t xml:space="preserve">directly. </w:t>
      </w:r>
    </w:p>
    <w:p w14:paraId="778F8904" w14:textId="4886290A" w:rsidR="00880487" w:rsidRDefault="00880487" w:rsidP="008C48C7">
      <w:pPr>
        <w:pStyle w:val="Heading2"/>
        <w:spacing w:before="240"/>
      </w:pPr>
      <w:bookmarkStart w:id="5" w:name="_Toc184816129"/>
      <w:r>
        <w:t xml:space="preserve">Publication of </w:t>
      </w:r>
      <w:r w:rsidR="005C2F83">
        <w:t>other information</w:t>
      </w:r>
      <w:bookmarkEnd w:id="5"/>
    </w:p>
    <w:p w14:paraId="596FB3F5" w14:textId="056397C3" w:rsidR="005C2F83" w:rsidRDefault="00910569" w:rsidP="00D17F06">
      <w:pPr>
        <w:spacing w:line="264" w:lineRule="auto"/>
      </w:pPr>
      <w:r>
        <w:t xml:space="preserve">We </w:t>
      </w:r>
      <w:r w:rsidR="00D17F06">
        <w:t>updated</w:t>
      </w:r>
      <w:r>
        <w:t xml:space="preserve"> the following</w:t>
      </w:r>
      <w:r w:rsidR="005C2F83">
        <w:t xml:space="preserve"> </w:t>
      </w:r>
      <w:r w:rsidR="00240E60">
        <w:t>I</w:t>
      </w:r>
      <w:r w:rsidR="005C2F83">
        <w:t>nformation sheets</w:t>
      </w:r>
      <w:r>
        <w:t xml:space="preserve"> </w:t>
      </w:r>
      <w:r w:rsidR="00107F0D">
        <w:t>in line with the</w:t>
      </w:r>
      <w:r>
        <w:t xml:space="preserve"> reforms and </w:t>
      </w:r>
      <w:r w:rsidR="005C2F83">
        <w:t>Guidance Materials:</w:t>
      </w:r>
    </w:p>
    <w:p w14:paraId="2D579E10" w14:textId="5DE13E2C" w:rsidR="005C2F83" w:rsidRDefault="005C2F83" w:rsidP="00D17F06">
      <w:pPr>
        <w:pStyle w:val="ListParagraph"/>
        <w:numPr>
          <w:ilvl w:val="0"/>
          <w:numId w:val="21"/>
        </w:numPr>
        <w:spacing w:before="120" w:line="264" w:lineRule="auto"/>
      </w:pPr>
      <w:r>
        <w:t xml:space="preserve">Information sheet </w:t>
      </w:r>
      <w:r w:rsidR="00765739">
        <w:t>2: Regulator decisions – Your rights</w:t>
      </w:r>
    </w:p>
    <w:p w14:paraId="1A815EE6" w14:textId="709916B8" w:rsidR="00765739" w:rsidRDefault="00765739" w:rsidP="00D17F06">
      <w:pPr>
        <w:pStyle w:val="ListParagraph"/>
        <w:numPr>
          <w:ilvl w:val="0"/>
          <w:numId w:val="21"/>
        </w:numPr>
        <w:spacing w:before="120" w:line="264" w:lineRule="auto"/>
      </w:pPr>
      <w:r>
        <w:t xml:space="preserve">Information sheet </w:t>
      </w:r>
      <w:r w:rsidR="00D10157">
        <w:t>6: Small Business Identification (SBI) Tool</w:t>
      </w:r>
    </w:p>
    <w:p w14:paraId="41ADD6F6" w14:textId="4E8DD6F0" w:rsidR="00D10157" w:rsidRDefault="00D06065" w:rsidP="00D17F06">
      <w:pPr>
        <w:pStyle w:val="ListParagraph"/>
        <w:numPr>
          <w:ilvl w:val="0"/>
          <w:numId w:val="21"/>
        </w:numPr>
        <w:spacing w:before="120" w:line="264" w:lineRule="auto"/>
      </w:pPr>
      <w:r>
        <w:t>Information sheet 7: Our regulatory powers</w:t>
      </w:r>
    </w:p>
    <w:p w14:paraId="5888622D" w14:textId="75DB54F5" w:rsidR="00880487" w:rsidRDefault="00377D4C" w:rsidP="00D17F06">
      <w:pPr>
        <w:spacing w:line="264" w:lineRule="auto"/>
      </w:pPr>
      <w:r>
        <w:lastRenderedPageBreak/>
        <w:t>T</w:t>
      </w:r>
      <w:r w:rsidR="00880487">
        <w:t>he</w:t>
      </w:r>
      <w:r w:rsidR="002B3929">
        <w:t>se</w:t>
      </w:r>
      <w:r w:rsidR="00880487">
        <w:t xml:space="preserve"> </w:t>
      </w:r>
      <w:r w:rsidR="002B3929">
        <w:t>I</w:t>
      </w:r>
      <w:r w:rsidR="00880487">
        <w:t xml:space="preserve">nformation sheets </w:t>
      </w:r>
      <w:r w:rsidR="005936DC">
        <w:t xml:space="preserve">have been </w:t>
      </w:r>
      <w:r w:rsidR="00C2347E">
        <w:t xml:space="preserve">moved to the </w:t>
      </w:r>
      <w:r w:rsidR="002B3929">
        <w:t>Archived Guidance section of the Regulator’s website and</w:t>
      </w:r>
      <w:r w:rsidR="00DE0FA0">
        <w:t xml:space="preserve"> </w:t>
      </w:r>
      <w:r>
        <w:t>marked as only applicable in relation to reporting periods</w:t>
      </w:r>
      <w:r w:rsidR="00DC05BD">
        <w:t xml:space="preserve"> that commenced prior to 1</w:t>
      </w:r>
      <w:r w:rsidR="00DE0FA0">
        <w:t> </w:t>
      </w:r>
      <w:r w:rsidR="00DC05BD">
        <w:t>July</w:t>
      </w:r>
      <w:r w:rsidR="00DE0FA0">
        <w:t> </w:t>
      </w:r>
      <w:r w:rsidR="00DC05BD">
        <w:t>2024</w:t>
      </w:r>
      <w:r w:rsidR="00880487">
        <w:t>:</w:t>
      </w:r>
    </w:p>
    <w:p w14:paraId="3E09EDE5" w14:textId="4E1E7172" w:rsidR="00376CF0" w:rsidRDefault="00880487" w:rsidP="00D17F06">
      <w:pPr>
        <w:pStyle w:val="ListParagraph"/>
        <w:spacing w:before="120" w:line="264" w:lineRule="auto"/>
      </w:pPr>
      <w:r>
        <w:t xml:space="preserve">Information Sheet </w:t>
      </w:r>
      <w:r w:rsidR="00376CF0">
        <w:t xml:space="preserve">3: Who must </w:t>
      </w:r>
      <w:proofErr w:type="gramStart"/>
      <w:r w:rsidR="00376CF0">
        <w:t>report</w:t>
      </w:r>
      <w:proofErr w:type="gramEnd"/>
    </w:p>
    <w:p w14:paraId="6A25F073" w14:textId="6A828E11" w:rsidR="0BFC5EFF" w:rsidRDefault="0BFC5EFF" w:rsidP="00D17F06">
      <w:pPr>
        <w:pStyle w:val="ListParagraph"/>
        <w:spacing w:before="120" w:line="264" w:lineRule="auto"/>
      </w:pPr>
      <w:r>
        <w:t>Information Sheet 4: Corporate Groups</w:t>
      </w:r>
    </w:p>
    <w:p w14:paraId="5E9372A0" w14:textId="2DB57BDC" w:rsidR="00CD20F4" w:rsidRDefault="00CD20F4" w:rsidP="00D17F06">
      <w:pPr>
        <w:pStyle w:val="ListParagraph"/>
        <w:numPr>
          <w:ilvl w:val="0"/>
          <w:numId w:val="21"/>
        </w:numPr>
        <w:spacing w:before="120" w:line="264" w:lineRule="auto"/>
      </w:pPr>
      <w:r>
        <w:t xml:space="preserve">Information Sheet 5: Acquisitions, divestments and winding </w:t>
      </w:r>
      <w:proofErr w:type="gramStart"/>
      <w:r>
        <w:t>up</w:t>
      </w:r>
      <w:proofErr w:type="gramEnd"/>
    </w:p>
    <w:p w14:paraId="69E3B96E" w14:textId="6FB1D253" w:rsidR="00880487" w:rsidRDefault="004E3721" w:rsidP="00D17F06">
      <w:pPr>
        <w:pStyle w:val="ListParagraph"/>
        <w:spacing w:before="120" w:line="264" w:lineRule="auto"/>
      </w:pPr>
      <w:r>
        <w:t xml:space="preserve">Information Sheet </w:t>
      </w:r>
      <w:r w:rsidR="00B40457">
        <w:t>8: Reporting credit card transactions</w:t>
      </w:r>
    </w:p>
    <w:p w14:paraId="0923FEBD" w14:textId="125304CD" w:rsidR="00D32F4B" w:rsidRDefault="00D32F4B" w:rsidP="00D17F06">
      <w:pPr>
        <w:spacing w:line="264" w:lineRule="auto"/>
      </w:pPr>
      <w:r>
        <w:t xml:space="preserve">We will continually review, </w:t>
      </w:r>
      <w:proofErr w:type="gramStart"/>
      <w:r>
        <w:t>update</w:t>
      </w:r>
      <w:proofErr w:type="gramEnd"/>
      <w:r>
        <w:t xml:space="preserve"> and add </w:t>
      </w:r>
      <w:r w:rsidR="00DE0FA0">
        <w:t>I</w:t>
      </w:r>
      <w:r>
        <w:t>nformation sheets in response to emerging trends in reporting, compliance and feedback from reporting entities.</w:t>
      </w:r>
    </w:p>
    <w:p w14:paraId="78734020" w14:textId="0167F1EE" w:rsidR="00233274" w:rsidRDefault="00DE0FA0" w:rsidP="00D17F06">
      <w:pPr>
        <w:spacing w:line="264" w:lineRule="auto"/>
      </w:pPr>
      <w:r>
        <w:t>We received</w:t>
      </w:r>
      <w:r w:rsidR="00460D71">
        <w:t xml:space="preserve"> multiple requests for </w:t>
      </w:r>
      <w:r w:rsidR="00F77628">
        <w:t xml:space="preserve">the Regulator to release reporting templates in advance, to allow reporting entities to </w:t>
      </w:r>
      <w:r>
        <w:t>begin</w:t>
      </w:r>
      <w:r w:rsidR="00F77628">
        <w:t xml:space="preserve"> prepar</w:t>
      </w:r>
      <w:r>
        <w:t>ing</w:t>
      </w:r>
      <w:r w:rsidR="00F77628">
        <w:t xml:space="preserve"> reports. </w:t>
      </w:r>
      <w:r w:rsidR="00CA3223">
        <w:t xml:space="preserve">Alongside the Guidance Materials, we </w:t>
      </w:r>
      <w:r w:rsidR="0007231C">
        <w:t xml:space="preserve">have published </w:t>
      </w:r>
      <w:r w:rsidR="00CA3223">
        <w:t>a</w:t>
      </w:r>
      <w:r w:rsidR="00233274">
        <w:t>n</w:t>
      </w:r>
      <w:r w:rsidR="00233274" w:rsidRPr="00233274">
        <w:t xml:space="preserve"> </w:t>
      </w:r>
      <w:r w:rsidR="008131B7">
        <w:t>interim</w:t>
      </w:r>
      <w:r w:rsidR="00233274">
        <w:t xml:space="preserve"> guide </w:t>
      </w:r>
      <w:r w:rsidR="0007231C">
        <w:t xml:space="preserve">on the </w:t>
      </w:r>
      <w:r w:rsidR="006E06C8">
        <w:t xml:space="preserve">Regulator’s website </w:t>
      </w:r>
      <w:r w:rsidR="00233274">
        <w:t xml:space="preserve">to help entities understand the reporting fields that will be required in the new payment times reports for periods commencing on or after 1 July 2024. Please note that this </w:t>
      </w:r>
      <w:r w:rsidR="00047373">
        <w:t>guide</w:t>
      </w:r>
      <w:r w:rsidR="00233274">
        <w:t xml:space="preserve"> is intended to give an early indication of the reporting fields and is not yet final or comprehensive.</w:t>
      </w:r>
      <w:r w:rsidR="006C60FB">
        <w:t xml:space="preserve"> </w:t>
      </w:r>
      <w:r w:rsidR="008131B7">
        <w:t>We will release the</w:t>
      </w:r>
      <w:r w:rsidR="00233274">
        <w:t xml:space="preserve"> updated version of this </w:t>
      </w:r>
      <w:r w:rsidR="00047373">
        <w:t>guide</w:t>
      </w:r>
      <w:r w:rsidR="00233274">
        <w:t xml:space="preserve"> </w:t>
      </w:r>
      <w:r w:rsidR="008131B7">
        <w:t xml:space="preserve">in </w:t>
      </w:r>
      <w:r w:rsidR="00233274">
        <w:t xml:space="preserve">early </w:t>
      </w:r>
      <w:r w:rsidR="00AF34E7">
        <w:t>2025</w:t>
      </w:r>
      <w:r w:rsidR="00233274">
        <w:t xml:space="preserve"> which will include</w:t>
      </w:r>
      <w:r w:rsidR="00047373">
        <w:t>:</w:t>
      </w:r>
    </w:p>
    <w:p w14:paraId="786FFD23" w14:textId="209ABBA6" w:rsidR="00233274" w:rsidRDefault="00233274" w:rsidP="00D17F06">
      <w:pPr>
        <w:pStyle w:val="ListParagraph"/>
        <w:numPr>
          <w:ilvl w:val="0"/>
          <w:numId w:val="21"/>
        </w:numPr>
        <w:spacing w:before="120" w:line="264" w:lineRule="auto"/>
      </w:pPr>
      <w:r>
        <w:t>additional guidance on the report submission process</w:t>
      </w:r>
    </w:p>
    <w:p w14:paraId="7B4F2F1B" w14:textId="65E496BF" w:rsidR="00233274" w:rsidRDefault="00233274" w:rsidP="00D17F06">
      <w:pPr>
        <w:pStyle w:val="ListParagraph"/>
        <w:numPr>
          <w:ilvl w:val="0"/>
          <w:numId w:val="21"/>
        </w:numPr>
        <w:spacing w:before="120" w:line="264" w:lineRule="auto"/>
      </w:pPr>
      <w:r>
        <w:t>expanded guidance and validation information for each reporting field</w:t>
      </w:r>
      <w:r w:rsidR="00047373">
        <w:t>.</w:t>
      </w:r>
    </w:p>
    <w:p w14:paraId="4BBFE339" w14:textId="6BCE6645" w:rsidR="0040746C" w:rsidRDefault="008131B7" w:rsidP="00D17F06">
      <w:pPr>
        <w:spacing w:line="264" w:lineRule="auto"/>
      </w:pPr>
      <w:r>
        <w:t xml:space="preserve">We will publish a </w:t>
      </w:r>
      <w:r w:rsidR="00233274">
        <w:t>worked example to further assist entities in completing their reports.</w:t>
      </w:r>
      <w:r w:rsidR="00F77628">
        <w:t xml:space="preserve"> </w:t>
      </w:r>
    </w:p>
    <w:p w14:paraId="17A96D50" w14:textId="633BFB51" w:rsidR="002772B1" w:rsidRDefault="000563C8" w:rsidP="00D17F06">
      <w:pPr>
        <w:spacing w:line="264" w:lineRule="auto"/>
      </w:pPr>
      <w:r>
        <w:t xml:space="preserve">The Regulator will </w:t>
      </w:r>
      <w:r w:rsidR="0040746C">
        <w:t>hold</w:t>
      </w:r>
      <w:r>
        <w:t xml:space="preserve"> </w:t>
      </w:r>
      <w:proofErr w:type="gramStart"/>
      <w:r>
        <w:t>a number of</w:t>
      </w:r>
      <w:proofErr w:type="gramEnd"/>
      <w:r>
        <w:t xml:space="preserve"> </w:t>
      </w:r>
      <w:r w:rsidR="008131B7">
        <w:t xml:space="preserve">online </w:t>
      </w:r>
      <w:r>
        <w:t xml:space="preserve">information sessions for reporting entities </w:t>
      </w:r>
      <w:r w:rsidR="000F6770">
        <w:t xml:space="preserve">early in </w:t>
      </w:r>
      <w:r w:rsidR="00AF34E7">
        <w:t>2025</w:t>
      </w:r>
      <w:r w:rsidR="00FF050F">
        <w:t xml:space="preserve"> </w:t>
      </w:r>
      <w:r>
        <w:t xml:space="preserve">to answer questions and assist with the preparation of </w:t>
      </w:r>
      <w:r w:rsidR="0058337B">
        <w:t>reports</w:t>
      </w:r>
      <w:r>
        <w:t>.</w:t>
      </w:r>
    </w:p>
    <w:p w14:paraId="1ED2C031" w14:textId="77777777" w:rsidR="00E43191" w:rsidRDefault="00E43191" w:rsidP="00D17F06">
      <w:pPr>
        <w:spacing w:line="264" w:lineRule="auto"/>
      </w:pPr>
    </w:p>
    <w:p w14:paraId="3831CF64" w14:textId="69BCAE03" w:rsidR="00867E63" w:rsidRDefault="005C2744" w:rsidP="008C48C7">
      <w:pPr>
        <w:pStyle w:val="Heading2"/>
        <w:spacing w:before="240"/>
      </w:pPr>
      <w:bookmarkStart w:id="6" w:name="_Toc184816130"/>
      <w:r>
        <w:t>Amendments made to Guidance Materials</w:t>
      </w:r>
      <w:bookmarkEnd w:id="6"/>
    </w:p>
    <w:p w14:paraId="6337B67D" w14:textId="0E9F4ABC" w:rsidR="005C2744" w:rsidRPr="005C2744" w:rsidRDefault="0061773B" w:rsidP="008131B7">
      <w:pPr>
        <w:spacing w:line="264" w:lineRule="auto"/>
      </w:pPr>
      <w:r>
        <w:t>Below is a summary of the changes that have been made to the Guidance Materials following consideration of feedback received in submissions through the consultation process:</w:t>
      </w:r>
    </w:p>
    <w:tbl>
      <w:tblPr>
        <w:tblStyle w:val="TableGridLight"/>
        <w:tblW w:w="0" w:type="auto"/>
        <w:tblLook w:val="04A0" w:firstRow="1" w:lastRow="0" w:firstColumn="1" w:lastColumn="0" w:noHBand="0" w:noVBand="1"/>
      </w:tblPr>
      <w:tblGrid>
        <w:gridCol w:w="3823"/>
        <w:gridCol w:w="5239"/>
      </w:tblGrid>
      <w:tr w:rsidR="00EC78B2" w14:paraId="02DDA7C3" w14:textId="77777777" w:rsidTr="0044514B">
        <w:trPr>
          <w:tblHeader/>
        </w:trPr>
        <w:tc>
          <w:tcPr>
            <w:tcW w:w="3823" w:type="dxa"/>
            <w:shd w:val="clear" w:color="auto" w:fill="2B5282" w:themeFill="accent3" w:themeFillShade="BF"/>
          </w:tcPr>
          <w:p w14:paraId="416DB5A8" w14:textId="4E77ACB1" w:rsidR="00EC78B2" w:rsidRPr="008A54F8" w:rsidRDefault="0046462A" w:rsidP="00345700">
            <w:pPr>
              <w:rPr>
                <w:b/>
                <w:bCs/>
                <w:color w:val="FFFFFF" w:themeColor="background1"/>
                <w:sz w:val="24"/>
                <w:szCs w:val="22"/>
              </w:rPr>
            </w:pPr>
            <w:r w:rsidRPr="008A54F8">
              <w:rPr>
                <w:b/>
                <w:bCs/>
                <w:color w:val="FFFFFF" w:themeColor="background1"/>
                <w:sz w:val="24"/>
                <w:szCs w:val="22"/>
              </w:rPr>
              <w:t>Guidance Section</w:t>
            </w:r>
          </w:p>
        </w:tc>
        <w:tc>
          <w:tcPr>
            <w:tcW w:w="5239" w:type="dxa"/>
            <w:shd w:val="clear" w:color="auto" w:fill="2B5282" w:themeFill="accent3" w:themeFillShade="BF"/>
          </w:tcPr>
          <w:p w14:paraId="28DEB54A" w14:textId="3DE69F41" w:rsidR="00EC78B2" w:rsidRPr="008A54F8" w:rsidRDefault="0046462A" w:rsidP="00345700">
            <w:pPr>
              <w:rPr>
                <w:b/>
                <w:bCs/>
                <w:color w:val="FFFFFF" w:themeColor="background1"/>
                <w:sz w:val="24"/>
                <w:szCs w:val="22"/>
              </w:rPr>
            </w:pPr>
            <w:r w:rsidRPr="008A54F8">
              <w:rPr>
                <w:b/>
                <w:bCs/>
                <w:color w:val="FFFFFF" w:themeColor="background1"/>
                <w:sz w:val="24"/>
                <w:szCs w:val="22"/>
              </w:rPr>
              <w:t>Amendment</w:t>
            </w:r>
            <w:r w:rsidR="00B721E2">
              <w:rPr>
                <w:b/>
                <w:bCs/>
                <w:color w:val="FFFFFF" w:themeColor="background1"/>
                <w:sz w:val="24"/>
                <w:szCs w:val="22"/>
              </w:rPr>
              <w:t>s following consultation</w:t>
            </w:r>
          </w:p>
        </w:tc>
      </w:tr>
      <w:tr w:rsidR="00EC78B2" w14:paraId="082FA83E" w14:textId="77777777" w:rsidTr="006A058E">
        <w:tc>
          <w:tcPr>
            <w:tcW w:w="3823" w:type="dxa"/>
          </w:tcPr>
          <w:p w14:paraId="0C798915" w14:textId="68A1B5F3" w:rsidR="00EC78B2" w:rsidRDefault="00F45D25" w:rsidP="008131B7">
            <w:pPr>
              <w:spacing w:before="60" w:after="60" w:line="264" w:lineRule="auto"/>
            </w:pPr>
            <w:r>
              <w:t>Abbreviations</w:t>
            </w:r>
          </w:p>
        </w:tc>
        <w:tc>
          <w:tcPr>
            <w:tcW w:w="5239" w:type="dxa"/>
          </w:tcPr>
          <w:p w14:paraId="2D8CA8AC" w14:textId="39D8ED70" w:rsidR="00EC78B2" w:rsidRDefault="00BA0002" w:rsidP="008131B7">
            <w:pPr>
              <w:spacing w:before="60" w:after="60" w:line="264" w:lineRule="auto"/>
            </w:pPr>
            <w:r>
              <w:t>A</w:t>
            </w:r>
            <w:r w:rsidR="008D4133">
              <w:t xml:space="preserve">dded to provide </w:t>
            </w:r>
            <w:r w:rsidR="00A63EA6">
              <w:t>full text</w:t>
            </w:r>
            <w:r>
              <w:t xml:space="preserve"> </w:t>
            </w:r>
            <w:r w:rsidR="00A31849">
              <w:t>of abbreviations used within the document.</w:t>
            </w:r>
          </w:p>
        </w:tc>
      </w:tr>
      <w:tr w:rsidR="00BA0002" w14:paraId="3AF06E5C" w14:textId="77777777" w:rsidTr="006A058E">
        <w:tc>
          <w:tcPr>
            <w:tcW w:w="3823" w:type="dxa"/>
          </w:tcPr>
          <w:p w14:paraId="765CE2BD" w14:textId="31B461FF" w:rsidR="00BA0002" w:rsidRDefault="00BA0002" w:rsidP="008131B7">
            <w:pPr>
              <w:spacing w:before="60" w:after="60" w:line="264" w:lineRule="auto"/>
            </w:pPr>
            <w:r>
              <w:t>Important notice about this guidance</w:t>
            </w:r>
          </w:p>
        </w:tc>
        <w:tc>
          <w:tcPr>
            <w:tcW w:w="5239" w:type="dxa"/>
          </w:tcPr>
          <w:p w14:paraId="64736B83" w14:textId="7020375F" w:rsidR="00BA0002" w:rsidRDefault="00BA0002" w:rsidP="008131B7">
            <w:pPr>
              <w:spacing w:before="60" w:after="60" w:line="264" w:lineRule="auto"/>
            </w:pPr>
            <w:r>
              <w:t>Clarified the statement that the guidance is the Regulator’s practical administration approach to assist reporting entities comply with the Act.</w:t>
            </w:r>
          </w:p>
        </w:tc>
      </w:tr>
      <w:tr w:rsidR="00EC78B2" w14:paraId="1518503B" w14:textId="77777777" w:rsidTr="006A058E">
        <w:tc>
          <w:tcPr>
            <w:tcW w:w="3823" w:type="dxa"/>
          </w:tcPr>
          <w:p w14:paraId="27560DFB" w14:textId="10E322B8" w:rsidR="00EC78B2" w:rsidRDefault="00C442E8" w:rsidP="008131B7">
            <w:pPr>
              <w:spacing w:before="60" w:after="60" w:line="264" w:lineRule="auto"/>
            </w:pPr>
            <w:r w:rsidRPr="006A058E">
              <w:rPr>
                <w:b/>
              </w:rPr>
              <w:t>Entities that must report</w:t>
            </w:r>
            <w:r w:rsidR="003F1D9E">
              <w:t>: Revenue threshold</w:t>
            </w:r>
          </w:p>
        </w:tc>
        <w:tc>
          <w:tcPr>
            <w:tcW w:w="5239" w:type="dxa"/>
          </w:tcPr>
          <w:p w14:paraId="2B6321E6" w14:textId="3F5B277A" w:rsidR="00EC78B2" w:rsidRDefault="00C442E8" w:rsidP="008131B7">
            <w:pPr>
              <w:spacing w:before="60" w:after="60" w:line="264" w:lineRule="auto"/>
            </w:pPr>
            <w:r>
              <w:t xml:space="preserve">Clarified that the revenue threshold </w:t>
            </w:r>
            <w:r w:rsidR="002D0E91">
              <w:t xml:space="preserve">includes </w:t>
            </w:r>
            <w:r w:rsidR="00E73EB1">
              <w:t xml:space="preserve">the </w:t>
            </w:r>
            <w:r w:rsidR="002D0E91">
              <w:t>total revenue</w:t>
            </w:r>
            <w:r w:rsidR="00E73EB1">
              <w:t xml:space="preserve"> of </w:t>
            </w:r>
            <w:r w:rsidR="009D4B67">
              <w:t>an entity and all its controlled entities</w:t>
            </w:r>
            <w:r w:rsidR="00097413">
              <w:t>.</w:t>
            </w:r>
          </w:p>
        </w:tc>
      </w:tr>
      <w:tr w:rsidR="00EC78B2" w14:paraId="26F25881" w14:textId="77777777" w:rsidTr="006A058E">
        <w:tc>
          <w:tcPr>
            <w:tcW w:w="3823" w:type="dxa"/>
          </w:tcPr>
          <w:p w14:paraId="60CAB731" w14:textId="6770FD6E" w:rsidR="00EC78B2" w:rsidRDefault="002D0E91" w:rsidP="008131B7">
            <w:pPr>
              <w:spacing w:before="60" w:after="60" w:line="264" w:lineRule="auto"/>
            </w:pPr>
            <w:r w:rsidRPr="006A058E">
              <w:rPr>
                <w:b/>
              </w:rPr>
              <w:t>Entities that must report</w:t>
            </w:r>
            <w:r w:rsidR="003F1D9E">
              <w:t>:</w:t>
            </w:r>
            <w:r w:rsidR="009231F5">
              <w:t xml:space="preserve"> Revenue </w:t>
            </w:r>
            <w:r w:rsidR="00BC25AB">
              <w:t>Threshold -</w:t>
            </w:r>
            <w:r w:rsidR="003F1D9E">
              <w:t xml:space="preserve"> Identifying controlled entities</w:t>
            </w:r>
            <w:r w:rsidR="004E2878">
              <w:t xml:space="preserve"> </w:t>
            </w:r>
            <w:r w:rsidR="00241D3E">
              <w:t xml:space="preserve">– </w:t>
            </w:r>
            <w:r w:rsidR="00241D3E" w:rsidRPr="006A058E">
              <w:rPr>
                <w:i/>
              </w:rPr>
              <w:t>‘AASB 10:</w:t>
            </w:r>
            <w:r w:rsidR="004062F3" w:rsidRPr="006A058E">
              <w:rPr>
                <w:i/>
                <w:iCs/>
              </w:rPr>
              <w:t xml:space="preserve"> Test for control’</w:t>
            </w:r>
          </w:p>
        </w:tc>
        <w:tc>
          <w:tcPr>
            <w:tcW w:w="5239" w:type="dxa"/>
          </w:tcPr>
          <w:p w14:paraId="5BE2CD7F" w14:textId="280A394A" w:rsidR="00EC78B2" w:rsidRDefault="002D0E91" w:rsidP="008131B7">
            <w:pPr>
              <w:spacing w:before="60" w:after="60" w:line="264" w:lineRule="auto"/>
            </w:pPr>
            <w:r>
              <w:t xml:space="preserve">Added </w:t>
            </w:r>
            <w:r w:rsidR="006F307F">
              <w:t xml:space="preserve">a scenario to the practical example </w:t>
            </w:r>
            <w:r w:rsidR="00C87FF0">
              <w:t xml:space="preserve">on testing for control and impact on consolidated revenue to include a </w:t>
            </w:r>
            <w:r w:rsidR="00F775B6">
              <w:t>Responsible Entity of a Managed Investment Fund</w:t>
            </w:r>
            <w:r w:rsidR="00097413">
              <w:t>.</w:t>
            </w:r>
          </w:p>
        </w:tc>
      </w:tr>
      <w:tr w:rsidR="00EC78B2" w14:paraId="3733FBCB" w14:textId="77777777" w:rsidTr="006A058E">
        <w:tc>
          <w:tcPr>
            <w:tcW w:w="3823" w:type="dxa"/>
          </w:tcPr>
          <w:p w14:paraId="3A3A1EC3" w14:textId="3DC13C09" w:rsidR="00EC78B2" w:rsidRDefault="000C6433" w:rsidP="008131B7">
            <w:pPr>
              <w:spacing w:before="60" w:after="60" w:line="264" w:lineRule="auto"/>
            </w:pPr>
            <w:r w:rsidRPr="006A058E">
              <w:rPr>
                <w:b/>
              </w:rPr>
              <w:lastRenderedPageBreak/>
              <w:t>Entities that must report</w:t>
            </w:r>
            <w:r>
              <w:t xml:space="preserve">: Revenue Threshold - Identifying controlled entities – </w:t>
            </w:r>
            <w:r w:rsidRPr="00EE4F4F">
              <w:rPr>
                <w:i/>
                <w:iCs/>
              </w:rPr>
              <w:t>‘</w:t>
            </w:r>
            <w:r>
              <w:rPr>
                <w:i/>
                <w:iCs/>
              </w:rPr>
              <w:t>Using financial statements</w:t>
            </w:r>
            <w:r w:rsidRPr="00EE4F4F">
              <w:rPr>
                <w:i/>
                <w:iCs/>
              </w:rPr>
              <w:t>’</w:t>
            </w:r>
          </w:p>
        </w:tc>
        <w:tc>
          <w:tcPr>
            <w:tcW w:w="5239" w:type="dxa"/>
          </w:tcPr>
          <w:p w14:paraId="62BAE6C5" w14:textId="6E9CBB9E" w:rsidR="00EC78B2" w:rsidRDefault="00F775B6" w:rsidP="008131B7">
            <w:pPr>
              <w:spacing w:before="60" w:after="60" w:line="264" w:lineRule="auto"/>
            </w:pPr>
            <w:r>
              <w:t xml:space="preserve">Added an example </w:t>
            </w:r>
            <w:r w:rsidR="00C8718D">
              <w:t>relating to</w:t>
            </w:r>
            <w:r w:rsidR="00DF5B87">
              <w:t xml:space="preserve"> trusts</w:t>
            </w:r>
            <w:r w:rsidR="00097413">
              <w:t>.</w:t>
            </w:r>
          </w:p>
        </w:tc>
      </w:tr>
      <w:tr w:rsidR="00EC78B2" w14:paraId="019E4591" w14:textId="77777777" w:rsidTr="006A058E">
        <w:tc>
          <w:tcPr>
            <w:tcW w:w="3823" w:type="dxa"/>
          </w:tcPr>
          <w:p w14:paraId="604F679F" w14:textId="0DD69EDA" w:rsidR="00EC78B2" w:rsidRDefault="000C6433" w:rsidP="008131B7">
            <w:pPr>
              <w:spacing w:before="60" w:after="60" w:line="264" w:lineRule="auto"/>
            </w:pPr>
            <w:r w:rsidRPr="006A058E">
              <w:rPr>
                <w:b/>
              </w:rPr>
              <w:t>Entities that must report</w:t>
            </w:r>
            <w:r>
              <w:t xml:space="preserve">: Revenue Threshold - Identifying controlled entities – </w:t>
            </w:r>
            <w:r w:rsidRPr="00EE4F4F">
              <w:rPr>
                <w:i/>
                <w:iCs/>
              </w:rPr>
              <w:t>‘</w:t>
            </w:r>
            <w:r>
              <w:rPr>
                <w:i/>
                <w:iCs/>
              </w:rPr>
              <w:t>Foreign controlled entities’</w:t>
            </w:r>
          </w:p>
        </w:tc>
        <w:tc>
          <w:tcPr>
            <w:tcW w:w="5239" w:type="dxa"/>
          </w:tcPr>
          <w:p w14:paraId="30F1A9C1" w14:textId="77777777" w:rsidR="00EC78B2" w:rsidRDefault="00AA1AF0" w:rsidP="008131B7">
            <w:pPr>
              <w:spacing w:before="60" w:after="60" w:line="264" w:lineRule="auto"/>
            </w:pPr>
            <w:r>
              <w:t xml:space="preserve">Clarified that foreign entities that are controlled by a reporting entity should have their revenue included </w:t>
            </w:r>
            <w:r w:rsidR="00CD21CE">
              <w:t>when calculating consolidated revenue for the purposes of the Act.</w:t>
            </w:r>
          </w:p>
          <w:p w14:paraId="61472689" w14:textId="27FF42C1" w:rsidR="00CD21CE" w:rsidRDefault="00CD21CE" w:rsidP="008131B7">
            <w:pPr>
              <w:spacing w:before="60" w:after="60" w:line="264" w:lineRule="auto"/>
            </w:pPr>
            <w:r>
              <w:t xml:space="preserve">Amended the example </w:t>
            </w:r>
            <w:r w:rsidR="00EB7EF1">
              <w:t>to improve</w:t>
            </w:r>
            <w:r>
              <w:t xml:space="preserve"> clarity.</w:t>
            </w:r>
          </w:p>
        </w:tc>
      </w:tr>
      <w:tr w:rsidR="00EC78B2" w14:paraId="4761E08F" w14:textId="77777777" w:rsidTr="006A058E">
        <w:tc>
          <w:tcPr>
            <w:tcW w:w="3823" w:type="dxa"/>
          </w:tcPr>
          <w:p w14:paraId="2FDF7F74" w14:textId="5554B623" w:rsidR="00EC78B2" w:rsidRDefault="00A752FD" w:rsidP="008131B7">
            <w:pPr>
              <w:spacing w:before="60" w:after="60" w:line="264" w:lineRule="auto"/>
            </w:pPr>
            <w:r w:rsidRPr="006A058E">
              <w:rPr>
                <w:b/>
              </w:rPr>
              <w:t>Entities that must report</w:t>
            </w:r>
            <w:r>
              <w:t xml:space="preserve">: Revenue Threshold - Identifying controlled entities – </w:t>
            </w:r>
            <w:r w:rsidRPr="00EE4F4F">
              <w:rPr>
                <w:i/>
                <w:iCs/>
              </w:rPr>
              <w:t>‘</w:t>
            </w:r>
            <w:r>
              <w:rPr>
                <w:i/>
                <w:iCs/>
              </w:rPr>
              <w:t>Exceptions to consolidation</w:t>
            </w:r>
            <w:r w:rsidRPr="00EE4F4F">
              <w:rPr>
                <w:i/>
                <w:iCs/>
              </w:rPr>
              <w:t>’</w:t>
            </w:r>
          </w:p>
        </w:tc>
        <w:tc>
          <w:tcPr>
            <w:tcW w:w="5239" w:type="dxa"/>
          </w:tcPr>
          <w:p w14:paraId="723006FB" w14:textId="2781B319" w:rsidR="00EC78B2" w:rsidRDefault="00CD21CE" w:rsidP="008131B7">
            <w:pPr>
              <w:spacing w:before="60" w:after="60" w:line="264" w:lineRule="auto"/>
            </w:pPr>
            <w:r>
              <w:t xml:space="preserve">Amended example </w:t>
            </w:r>
            <w:r w:rsidR="00912332">
              <w:t xml:space="preserve">relating to an </w:t>
            </w:r>
            <w:r w:rsidR="008108CA">
              <w:t>i</w:t>
            </w:r>
            <w:r w:rsidR="00912332">
              <w:t xml:space="preserve">nvestment </w:t>
            </w:r>
            <w:r w:rsidR="005758D6">
              <w:t>e</w:t>
            </w:r>
            <w:r w:rsidR="00912332">
              <w:t>ntity</w:t>
            </w:r>
            <w:r w:rsidR="00FE5494">
              <w:t xml:space="preserve"> </w:t>
            </w:r>
            <w:r w:rsidR="00EB7EF1">
              <w:t>to improve</w:t>
            </w:r>
            <w:r w:rsidR="00FE5494">
              <w:t xml:space="preserve"> clarity.</w:t>
            </w:r>
          </w:p>
          <w:p w14:paraId="2C294C53" w14:textId="6885C1F3" w:rsidR="00D44CBA" w:rsidRDefault="00D44CBA" w:rsidP="008131B7">
            <w:pPr>
              <w:spacing w:before="60" w:after="60" w:line="264" w:lineRule="auto"/>
            </w:pPr>
            <w:r>
              <w:t xml:space="preserve">Amended example </w:t>
            </w:r>
            <w:r w:rsidR="00145894">
              <w:t xml:space="preserve">relating to </w:t>
            </w:r>
            <w:r w:rsidR="003C35B8">
              <w:t xml:space="preserve">joint control in </w:t>
            </w:r>
            <w:r w:rsidR="00145894">
              <w:t>a</w:t>
            </w:r>
            <w:r w:rsidR="003C35B8">
              <w:t xml:space="preserve"> joint venture</w:t>
            </w:r>
            <w:r w:rsidR="00EB7EF1">
              <w:t xml:space="preserve"> to improve </w:t>
            </w:r>
            <w:r w:rsidR="008108CA">
              <w:t>clarity.</w:t>
            </w:r>
          </w:p>
        </w:tc>
      </w:tr>
      <w:tr w:rsidR="00EC78B2" w14:paraId="000102EE" w14:textId="77777777" w:rsidTr="006A058E">
        <w:tc>
          <w:tcPr>
            <w:tcW w:w="3823" w:type="dxa"/>
          </w:tcPr>
          <w:p w14:paraId="10F0AC53" w14:textId="253FB1FB" w:rsidR="00EC78B2" w:rsidRDefault="006D1A71" w:rsidP="008131B7">
            <w:pPr>
              <w:spacing w:before="60" w:after="60" w:line="264" w:lineRule="auto"/>
            </w:pPr>
            <w:r w:rsidRPr="00EE4F4F">
              <w:rPr>
                <w:b/>
                <w:bCs/>
              </w:rPr>
              <w:t>Entities that must report</w:t>
            </w:r>
            <w:r>
              <w:t>: Revenue Threshold – Consolidated Revenue</w:t>
            </w:r>
          </w:p>
        </w:tc>
        <w:tc>
          <w:tcPr>
            <w:tcW w:w="5239" w:type="dxa"/>
          </w:tcPr>
          <w:p w14:paraId="7C0FAA31" w14:textId="7BC0ED1A" w:rsidR="001E0E40" w:rsidRDefault="00B3291B" w:rsidP="008131B7">
            <w:pPr>
              <w:spacing w:before="60" w:after="60" w:line="264" w:lineRule="auto"/>
            </w:pPr>
            <w:r>
              <w:t>A</w:t>
            </w:r>
            <w:r w:rsidR="00765928">
              <w:t xml:space="preserve">mended text to provide clarity around </w:t>
            </w:r>
            <w:r w:rsidR="001E0E40">
              <w:t>the calculation of consolidated revenue.</w:t>
            </w:r>
          </w:p>
        </w:tc>
      </w:tr>
      <w:tr w:rsidR="001E0E40" w14:paraId="42794AE6" w14:textId="77777777" w:rsidTr="006A058E">
        <w:tc>
          <w:tcPr>
            <w:tcW w:w="3823" w:type="dxa"/>
          </w:tcPr>
          <w:p w14:paraId="4735E0CD" w14:textId="3CD8054D" w:rsidR="001E0E40" w:rsidRDefault="00B57CDC" w:rsidP="008131B7">
            <w:pPr>
              <w:spacing w:before="60" w:after="60" w:line="264" w:lineRule="auto"/>
            </w:pPr>
            <w:r w:rsidRPr="00EE4F4F">
              <w:rPr>
                <w:b/>
                <w:bCs/>
              </w:rPr>
              <w:t>Entities that must report</w:t>
            </w:r>
            <w:r>
              <w:t xml:space="preserve">: Revenue Threshold – </w:t>
            </w:r>
            <w:r w:rsidR="001E0E40">
              <w:t>Foreign currency translation</w:t>
            </w:r>
          </w:p>
        </w:tc>
        <w:tc>
          <w:tcPr>
            <w:tcW w:w="5239" w:type="dxa"/>
          </w:tcPr>
          <w:p w14:paraId="78FDFA53" w14:textId="266A3BB5" w:rsidR="001E0E40" w:rsidRDefault="001E0E40" w:rsidP="008131B7">
            <w:pPr>
              <w:spacing w:before="60" w:after="60" w:line="264" w:lineRule="auto"/>
            </w:pPr>
            <w:r>
              <w:t xml:space="preserve">Added </w:t>
            </w:r>
            <w:r w:rsidR="00687791">
              <w:t>an</w:t>
            </w:r>
            <w:r>
              <w:t xml:space="preserve"> example to clarify </w:t>
            </w:r>
            <w:r w:rsidR="00F7171C">
              <w:t>when and how</w:t>
            </w:r>
            <w:r w:rsidR="000539C9">
              <w:t xml:space="preserve"> </w:t>
            </w:r>
            <w:r>
              <w:t>foreign currency translation is to be used</w:t>
            </w:r>
            <w:r w:rsidR="00097413">
              <w:t>.</w:t>
            </w:r>
          </w:p>
        </w:tc>
      </w:tr>
      <w:tr w:rsidR="000539C9" w14:paraId="75CAD185" w14:textId="77777777" w:rsidTr="006A058E">
        <w:tc>
          <w:tcPr>
            <w:tcW w:w="3823" w:type="dxa"/>
          </w:tcPr>
          <w:p w14:paraId="7DFE9824" w14:textId="6A6EBBA9" w:rsidR="000539C9" w:rsidRDefault="007330BF" w:rsidP="008131B7">
            <w:pPr>
              <w:spacing w:before="60" w:after="60" w:line="264" w:lineRule="auto"/>
            </w:pPr>
            <w:r w:rsidRPr="00EE4F4F">
              <w:rPr>
                <w:b/>
                <w:bCs/>
              </w:rPr>
              <w:t>Entities that must report</w:t>
            </w:r>
            <w:r>
              <w:t xml:space="preserve">: Excluded Entities – </w:t>
            </w:r>
            <w:r w:rsidR="00E72BF0">
              <w:t>E</w:t>
            </w:r>
            <w:r w:rsidR="000B0CA6">
              <w:t>ntities controlled by reporting entities</w:t>
            </w:r>
          </w:p>
        </w:tc>
        <w:tc>
          <w:tcPr>
            <w:tcW w:w="5239" w:type="dxa"/>
          </w:tcPr>
          <w:p w14:paraId="2B1F9604" w14:textId="755FA436" w:rsidR="000539C9" w:rsidRDefault="00066BAD" w:rsidP="008131B7">
            <w:pPr>
              <w:spacing w:before="60" w:after="60" w:line="264" w:lineRule="auto"/>
            </w:pPr>
            <w:r>
              <w:t xml:space="preserve">Corrected </w:t>
            </w:r>
            <w:r w:rsidR="000B0CA6">
              <w:t xml:space="preserve">title of example from ‘Foreign controlled entities’ to ‘Foreign controlling </w:t>
            </w:r>
            <w:proofErr w:type="gramStart"/>
            <w:r w:rsidR="000B0CA6">
              <w:t>entities’</w:t>
            </w:r>
            <w:proofErr w:type="gramEnd"/>
            <w:r w:rsidR="00097413">
              <w:t>.</w:t>
            </w:r>
          </w:p>
        </w:tc>
      </w:tr>
      <w:tr w:rsidR="000B0CA6" w14:paraId="33D1FC29" w14:textId="77777777" w:rsidTr="006A058E">
        <w:tc>
          <w:tcPr>
            <w:tcW w:w="3823" w:type="dxa"/>
          </w:tcPr>
          <w:p w14:paraId="5A831F7F" w14:textId="3BC213DE" w:rsidR="000B0CA6" w:rsidRDefault="00E14F0E" w:rsidP="008131B7">
            <w:pPr>
              <w:spacing w:before="60" w:after="60" w:line="264" w:lineRule="auto"/>
            </w:pPr>
            <w:r w:rsidRPr="00EE4F4F">
              <w:rPr>
                <w:b/>
                <w:bCs/>
              </w:rPr>
              <w:t>Entities that must report</w:t>
            </w:r>
            <w:r>
              <w:t xml:space="preserve">: Ceasing to be a reporting entity </w:t>
            </w:r>
            <w:r w:rsidR="006D3E64">
              <w:t>-</w:t>
            </w:r>
            <w:r>
              <w:t xml:space="preserve"> </w:t>
            </w:r>
            <w:r w:rsidR="00C407A5">
              <w:t>Acquisitions by other reporting entities</w:t>
            </w:r>
          </w:p>
        </w:tc>
        <w:tc>
          <w:tcPr>
            <w:tcW w:w="5239" w:type="dxa"/>
          </w:tcPr>
          <w:p w14:paraId="735C37B4" w14:textId="2A31B0E3" w:rsidR="000B0CA6" w:rsidRDefault="00C407A5" w:rsidP="008131B7">
            <w:pPr>
              <w:spacing w:before="60" w:after="60" w:line="264" w:lineRule="auto"/>
            </w:pPr>
            <w:r>
              <w:t xml:space="preserve">Corrected </w:t>
            </w:r>
            <w:r w:rsidR="00866A34">
              <w:t>text from ‘reporting cycle’ to ‘reporting period’</w:t>
            </w:r>
            <w:r w:rsidR="00097413">
              <w:t>.</w:t>
            </w:r>
          </w:p>
        </w:tc>
      </w:tr>
      <w:tr w:rsidR="00866A34" w14:paraId="6A9B1672" w14:textId="77777777" w:rsidTr="006A058E">
        <w:tc>
          <w:tcPr>
            <w:tcW w:w="3823" w:type="dxa"/>
          </w:tcPr>
          <w:p w14:paraId="22B503DD" w14:textId="13154F79" w:rsidR="00866A34" w:rsidRPr="006A058E" w:rsidRDefault="00AA7950" w:rsidP="008131B7">
            <w:pPr>
              <w:spacing w:before="60" w:after="60" w:line="264" w:lineRule="auto"/>
              <w:rPr>
                <w:b/>
              </w:rPr>
            </w:pPr>
            <w:r w:rsidRPr="006A058E">
              <w:rPr>
                <w:b/>
              </w:rPr>
              <w:t>Volunteering</w:t>
            </w:r>
            <w:r w:rsidR="001745E6" w:rsidRPr="006A058E">
              <w:rPr>
                <w:b/>
              </w:rPr>
              <w:t xml:space="preserve"> and modifying reporting structures</w:t>
            </w:r>
            <w:r w:rsidR="00E01966">
              <w:rPr>
                <w:b/>
                <w:bCs/>
              </w:rPr>
              <w:t xml:space="preserve">: </w:t>
            </w:r>
            <w:r w:rsidR="00E4280F">
              <w:t>Nominee reporting entities -</w:t>
            </w:r>
            <w:r w:rsidR="00E01966">
              <w:t xml:space="preserve"> </w:t>
            </w:r>
            <w:r w:rsidR="00E4280F">
              <w:t>Becoming a nominee reporting entity</w:t>
            </w:r>
          </w:p>
        </w:tc>
        <w:tc>
          <w:tcPr>
            <w:tcW w:w="5239" w:type="dxa"/>
          </w:tcPr>
          <w:p w14:paraId="1561F906" w14:textId="6F5FE324" w:rsidR="00866A34" w:rsidRDefault="001745E6" w:rsidP="008131B7">
            <w:pPr>
              <w:spacing w:before="60" w:after="60" w:line="264" w:lineRule="auto"/>
            </w:pPr>
            <w:r>
              <w:t>Added example to provide clarity for ‘Multiple entry consolidated groups and nominee reporting entity eligibility’</w:t>
            </w:r>
            <w:r w:rsidR="00097413">
              <w:t>.</w:t>
            </w:r>
          </w:p>
        </w:tc>
      </w:tr>
      <w:tr w:rsidR="001745E6" w14:paraId="3B59946C" w14:textId="77777777" w:rsidTr="006A058E">
        <w:tc>
          <w:tcPr>
            <w:tcW w:w="3823" w:type="dxa"/>
          </w:tcPr>
          <w:p w14:paraId="3240F9D1" w14:textId="2E994C96" w:rsidR="001745E6" w:rsidRDefault="002A284F" w:rsidP="008131B7">
            <w:pPr>
              <w:spacing w:before="60" w:after="60" w:line="264" w:lineRule="auto"/>
            </w:pPr>
            <w:r w:rsidRPr="006A058E">
              <w:rPr>
                <w:b/>
              </w:rPr>
              <w:t>How and when to report:</w:t>
            </w:r>
            <w:r>
              <w:t xml:space="preserve"> Reporting periods</w:t>
            </w:r>
            <w:r w:rsidR="00E4280F">
              <w:t xml:space="preserve"> – When to report</w:t>
            </w:r>
          </w:p>
        </w:tc>
        <w:tc>
          <w:tcPr>
            <w:tcW w:w="5239" w:type="dxa"/>
          </w:tcPr>
          <w:p w14:paraId="01BC9981" w14:textId="64341FCD" w:rsidR="001745E6" w:rsidRDefault="002A284F" w:rsidP="008131B7">
            <w:pPr>
              <w:spacing w:before="60" w:after="60" w:line="264" w:lineRule="auto"/>
            </w:pPr>
            <w:r>
              <w:t>Provided clarity that the financial year</w:t>
            </w:r>
            <w:r w:rsidR="00233C60">
              <w:t>s and reporting periods are examples only</w:t>
            </w:r>
            <w:r w:rsidR="00097413">
              <w:t>.</w:t>
            </w:r>
          </w:p>
        </w:tc>
      </w:tr>
      <w:tr w:rsidR="00233C60" w14:paraId="2964E3DB" w14:textId="77777777" w:rsidTr="006A058E">
        <w:tc>
          <w:tcPr>
            <w:tcW w:w="3823" w:type="dxa"/>
          </w:tcPr>
          <w:p w14:paraId="3D4AA4A6" w14:textId="1121B12E" w:rsidR="00233C60" w:rsidRDefault="002F6CE9" w:rsidP="008131B7">
            <w:pPr>
              <w:spacing w:before="60" w:after="60" w:line="264" w:lineRule="auto"/>
            </w:pPr>
            <w:r w:rsidRPr="006A058E">
              <w:rPr>
                <w:b/>
              </w:rPr>
              <w:t>How and when to report:</w:t>
            </w:r>
            <w:r>
              <w:t xml:space="preserve"> </w:t>
            </w:r>
            <w:r w:rsidR="00686A55">
              <w:t>How to Report -</w:t>
            </w:r>
            <w:r>
              <w:t xml:space="preserve"> Entity information</w:t>
            </w:r>
            <w:r w:rsidR="007C18CB">
              <w:t xml:space="preserve"> – ‘</w:t>
            </w:r>
            <w:r w:rsidR="007C18CB" w:rsidRPr="006A058E">
              <w:rPr>
                <w:i/>
                <w:iCs/>
              </w:rPr>
              <w:t>Identifying and classifying details</w:t>
            </w:r>
            <w:r w:rsidR="007C18CB">
              <w:rPr>
                <w:i/>
                <w:iCs/>
              </w:rPr>
              <w:t>’</w:t>
            </w:r>
          </w:p>
        </w:tc>
        <w:tc>
          <w:tcPr>
            <w:tcW w:w="5239" w:type="dxa"/>
          </w:tcPr>
          <w:p w14:paraId="739B56FC" w14:textId="1F810185" w:rsidR="00233C60" w:rsidRDefault="00D239F9" w:rsidP="008131B7">
            <w:pPr>
              <w:spacing w:before="60" w:after="60" w:line="264" w:lineRule="auto"/>
            </w:pPr>
            <w:r>
              <w:t>Provided additional</w:t>
            </w:r>
            <w:r w:rsidR="00710113">
              <w:t xml:space="preserve"> clarity for determining which primary business activity </w:t>
            </w:r>
            <w:r w:rsidR="002D47D7">
              <w:t>an entity should be classified under where an entity has multiple business activities</w:t>
            </w:r>
            <w:r w:rsidR="00097413">
              <w:t>.</w:t>
            </w:r>
          </w:p>
        </w:tc>
      </w:tr>
      <w:tr w:rsidR="002D47D7" w14:paraId="0AAE7416" w14:textId="77777777" w:rsidTr="006A058E">
        <w:tc>
          <w:tcPr>
            <w:tcW w:w="3823" w:type="dxa"/>
          </w:tcPr>
          <w:p w14:paraId="535A9709" w14:textId="332404F0" w:rsidR="002D47D7" w:rsidRDefault="00975142" w:rsidP="008131B7">
            <w:pPr>
              <w:spacing w:before="60" w:after="60" w:line="264" w:lineRule="auto"/>
            </w:pPr>
            <w:r w:rsidRPr="006A058E">
              <w:rPr>
                <w:b/>
              </w:rPr>
              <w:t>How and when to report:</w:t>
            </w:r>
            <w:r>
              <w:t xml:space="preserve"> </w:t>
            </w:r>
            <w:r w:rsidR="007C18CB">
              <w:t xml:space="preserve">How to Report - </w:t>
            </w:r>
            <w:r>
              <w:t>Entity information</w:t>
            </w:r>
            <w:r w:rsidR="007C18CB">
              <w:t xml:space="preserve"> – ‘</w:t>
            </w:r>
            <w:r w:rsidR="007C18CB">
              <w:rPr>
                <w:i/>
                <w:iCs/>
              </w:rPr>
              <w:t>Entity structure’</w:t>
            </w:r>
          </w:p>
        </w:tc>
        <w:tc>
          <w:tcPr>
            <w:tcW w:w="5239" w:type="dxa"/>
          </w:tcPr>
          <w:p w14:paraId="556123FD" w14:textId="427DABCA" w:rsidR="002D47D7" w:rsidRDefault="002F6099" w:rsidP="008131B7">
            <w:pPr>
              <w:spacing w:before="60" w:after="60" w:line="264" w:lineRule="auto"/>
            </w:pPr>
            <w:r>
              <w:t>Corrected text to include additional entity structure information required for nominee reporting entities</w:t>
            </w:r>
          </w:p>
        </w:tc>
      </w:tr>
      <w:tr w:rsidR="002F6099" w14:paraId="6C3D6876" w14:textId="77777777" w:rsidTr="0044514B">
        <w:trPr>
          <w:cantSplit/>
        </w:trPr>
        <w:tc>
          <w:tcPr>
            <w:tcW w:w="3823" w:type="dxa"/>
          </w:tcPr>
          <w:p w14:paraId="4A2AEC89" w14:textId="5A1625C2" w:rsidR="002F6099" w:rsidRDefault="001301EA" w:rsidP="008131B7">
            <w:pPr>
              <w:spacing w:before="60" w:after="60" w:line="264" w:lineRule="auto"/>
            </w:pPr>
            <w:r w:rsidRPr="006A058E">
              <w:rPr>
                <w:b/>
              </w:rPr>
              <w:lastRenderedPageBreak/>
              <w:t xml:space="preserve">What to report: </w:t>
            </w:r>
            <w:r w:rsidR="00276225">
              <w:t>Step 1: Identify entities to consolidate</w:t>
            </w:r>
          </w:p>
        </w:tc>
        <w:tc>
          <w:tcPr>
            <w:tcW w:w="5239" w:type="dxa"/>
          </w:tcPr>
          <w:p w14:paraId="2AEB79EF" w14:textId="07DE38D1" w:rsidR="002F6099" w:rsidRDefault="005530B2" w:rsidP="008131B7">
            <w:pPr>
              <w:spacing w:before="60" w:after="60" w:line="264" w:lineRule="auto"/>
            </w:pPr>
            <w:r>
              <w:t>Provided additional</w:t>
            </w:r>
            <w:r w:rsidR="0006285C">
              <w:t xml:space="preserve"> clarity that </w:t>
            </w:r>
            <w:r w:rsidR="0048383C">
              <w:t>each payment under a trade credit arrangement made by the entity and each of its controlled entities, including those that are not a CCE, is to be included</w:t>
            </w:r>
            <w:r w:rsidR="006415C3">
              <w:t>.</w:t>
            </w:r>
          </w:p>
          <w:p w14:paraId="027EDBC4" w14:textId="098D042B" w:rsidR="006415C3" w:rsidRDefault="00EB7EF1" w:rsidP="008131B7">
            <w:pPr>
              <w:spacing w:before="60" w:after="60" w:line="264" w:lineRule="auto"/>
            </w:pPr>
            <w:r>
              <w:t>Clarified</w:t>
            </w:r>
            <w:r w:rsidR="006415C3">
              <w:t xml:space="preserve"> </w:t>
            </w:r>
            <w:r w:rsidR="00580B37">
              <w:t>exceptions to consolidation.</w:t>
            </w:r>
          </w:p>
          <w:p w14:paraId="099209F9" w14:textId="5C561CC9" w:rsidR="00850570" w:rsidRDefault="00EB7EF1" w:rsidP="008131B7">
            <w:pPr>
              <w:spacing w:before="60" w:after="60" w:line="264" w:lineRule="auto"/>
            </w:pPr>
            <w:r>
              <w:t>Clarified</w:t>
            </w:r>
            <w:r w:rsidR="00850570">
              <w:t xml:space="preserve"> exclusions</w:t>
            </w:r>
            <w:r w:rsidR="00655835">
              <w:t xml:space="preserve"> from </w:t>
            </w:r>
            <w:r w:rsidR="0020269E">
              <w:t>consolidation of all controlled</w:t>
            </w:r>
            <w:r w:rsidR="005372F3">
              <w:t xml:space="preserve"> entities</w:t>
            </w:r>
            <w:r w:rsidR="00097413">
              <w:t>.</w:t>
            </w:r>
          </w:p>
          <w:p w14:paraId="3F764D7E" w14:textId="1729B8DE" w:rsidR="009619DC" w:rsidRPr="008556BF" w:rsidRDefault="009619DC" w:rsidP="008131B7">
            <w:pPr>
              <w:spacing w:before="60" w:after="60" w:line="264" w:lineRule="auto"/>
            </w:pPr>
            <w:r>
              <w:t xml:space="preserve">Added </w:t>
            </w:r>
            <w:r w:rsidR="000929AA">
              <w:t xml:space="preserve">new </w:t>
            </w:r>
            <w:r w:rsidR="00126FF9">
              <w:t>paragraphs</w:t>
            </w:r>
            <w:r w:rsidR="000929AA">
              <w:t xml:space="preserve"> </w:t>
            </w:r>
            <w:r w:rsidR="00126FF9">
              <w:t xml:space="preserve">to </w:t>
            </w:r>
            <w:r w:rsidR="00EB7EF1">
              <w:t xml:space="preserve">improve </w:t>
            </w:r>
            <w:r>
              <w:t>clarity</w:t>
            </w:r>
            <w:r w:rsidR="00B80FB0">
              <w:t xml:space="preserve"> relating to consolidation of </w:t>
            </w:r>
            <w:r w:rsidR="000929AA">
              <w:t>payments</w:t>
            </w:r>
            <w:r>
              <w:t xml:space="preserve"> </w:t>
            </w:r>
            <w:r w:rsidR="005B0F48">
              <w:t xml:space="preserve">made </w:t>
            </w:r>
            <w:r w:rsidR="00431C09">
              <w:t xml:space="preserve">by </w:t>
            </w:r>
            <w:r w:rsidR="000A3CDD">
              <w:t xml:space="preserve">foreign </w:t>
            </w:r>
            <w:r w:rsidR="00CC1D1D">
              <w:t xml:space="preserve">controlled </w:t>
            </w:r>
            <w:r w:rsidR="005B0F48">
              <w:t>entities</w:t>
            </w:r>
            <w:r w:rsidR="006E482D">
              <w:t xml:space="preserve">. </w:t>
            </w:r>
            <w:r w:rsidR="00F879D9">
              <w:t>Specifically, that</w:t>
            </w:r>
            <w:r w:rsidR="007E56E6">
              <w:t xml:space="preserve"> </w:t>
            </w:r>
            <w:r w:rsidR="007E56E6" w:rsidRPr="00F879D9">
              <w:t>only payments made to Australian small businesses will be used in payment times calculations and included in the Small Business Trade Credit Payments Dataset</w:t>
            </w:r>
            <w:r w:rsidR="007E56E6">
              <w:t xml:space="preserve">, but </w:t>
            </w:r>
            <w:r w:rsidR="00DE4864">
              <w:t xml:space="preserve">that </w:t>
            </w:r>
            <w:r w:rsidR="00746BDA" w:rsidRPr="00F879D9">
              <w:t>all payments to Australian businesses with an ABN must be included in the Trade Credit Payments Dataset</w:t>
            </w:r>
            <w:r w:rsidR="00406942">
              <w:t xml:space="preserve"> for specified reasons.</w:t>
            </w:r>
          </w:p>
          <w:p w14:paraId="6BC1288C" w14:textId="67D7C3A4" w:rsidR="00022AA0" w:rsidRDefault="00022AA0" w:rsidP="008131B7">
            <w:pPr>
              <w:spacing w:before="60" w:after="60" w:line="264" w:lineRule="auto"/>
            </w:pPr>
            <w:r>
              <w:t xml:space="preserve">Added </w:t>
            </w:r>
            <w:r w:rsidR="000564C2">
              <w:t xml:space="preserve">an </w:t>
            </w:r>
            <w:r>
              <w:t xml:space="preserve">example </w:t>
            </w:r>
            <w:r w:rsidR="00DB07B3">
              <w:t xml:space="preserve">relating to </w:t>
            </w:r>
            <w:r w:rsidR="00ED2B19">
              <w:t>trusts and foreign subsidiaries</w:t>
            </w:r>
            <w:r w:rsidR="00E43D0A">
              <w:t xml:space="preserve"> to improve</w:t>
            </w:r>
            <w:r w:rsidR="00ED2B19">
              <w:t xml:space="preserve"> clarity</w:t>
            </w:r>
            <w:r w:rsidR="00097413">
              <w:t>.</w:t>
            </w:r>
          </w:p>
        </w:tc>
      </w:tr>
      <w:tr w:rsidR="00F07DBE" w14:paraId="1FD2AD75" w14:textId="77777777" w:rsidTr="006A058E">
        <w:tc>
          <w:tcPr>
            <w:tcW w:w="3823" w:type="dxa"/>
          </w:tcPr>
          <w:p w14:paraId="3C1E50C9" w14:textId="357D3254" w:rsidR="00F07DBE" w:rsidRDefault="00F07DBE" w:rsidP="008131B7">
            <w:pPr>
              <w:spacing w:before="60" w:after="60" w:line="264" w:lineRule="auto"/>
            </w:pPr>
            <w:r w:rsidRPr="00EE4F4F">
              <w:rPr>
                <w:b/>
              </w:rPr>
              <w:t xml:space="preserve">What to report: </w:t>
            </w:r>
            <w:r w:rsidR="002B598D" w:rsidRPr="008954D7">
              <w:t>Step 1:</w:t>
            </w:r>
            <w:r w:rsidR="002B598D">
              <w:t xml:space="preserve"> Identify entities to consolidate -</w:t>
            </w:r>
            <w:r>
              <w:t xml:space="preserve"> Acquisitions and divestments</w:t>
            </w:r>
            <w:r w:rsidR="007B52A9">
              <w:t xml:space="preserve"> – </w:t>
            </w:r>
            <w:r w:rsidR="007B52A9" w:rsidRPr="006A058E">
              <w:rPr>
                <w:i/>
                <w:iCs/>
              </w:rPr>
              <w:t>‘Acquisitions and obtaining control’</w:t>
            </w:r>
          </w:p>
        </w:tc>
        <w:tc>
          <w:tcPr>
            <w:tcW w:w="5239" w:type="dxa"/>
          </w:tcPr>
          <w:p w14:paraId="720E0B41" w14:textId="5369C90B" w:rsidR="00F07DBE" w:rsidRDefault="00627AAC" w:rsidP="008131B7">
            <w:pPr>
              <w:spacing w:before="60" w:after="60" w:line="264" w:lineRule="auto"/>
            </w:pPr>
            <w:r>
              <w:t xml:space="preserve">Added </w:t>
            </w:r>
            <w:r w:rsidR="009E1985">
              <w:t>a</w:t>
            </w:r>
            <w:r w:rsidR="001D5E69">
              <w:t xml:space="preserve"> new</w:t>
            </w:r>
            <w:r w:rsidR="009E1985">
              <w:t xml:space="preserve"> </w:t>
            </w:r>
            <w:r>
              <w:t xml:space="preserve">scenario </w:t>
            </w:r>
            <w:r w:rsidR="00AA6BBC">
              <w:t xml:space="preserve">in </w:t>
            </w:r>
            <w:r w:rsidR="00E43D0A">
              <w:t xml:space="preserve">the </w:t>
            </w:r>
            <w:r w:rsidR="00AA6BBC">
              <w:t>example</w:t>
            </w:r>
            <w:r w:rsidR="00654312">
              <w:t xml:space="preserve"> </w:t>
            </w:r>
            <w:r w:rsidR="001510E0">
              <w:t xml:space="preserve">covering </w:t>
            </w:r>
            <w:r w:rsidR="00443066">
              <w:t>the</w:t>
            </w:r>
            <w:r w:rsidR="00AA6BBC">
              <w:t xml:space="preserve"> acquisition of a controlled entity</w:t>
            </w:r>
            <w:r w:rsidR="003C1C10">
              <w:t xml:space="preserve"> after the end of the </w:t>
            </w:r>
            <w:r w:rsidR="003C64FC">
              <w:t>reporting period</w:t>
            </w:r>
            <w:r w:rsidR="00E43D0A">
              <w:t>,</w:t>
            </w:r>
            <w:r w:rsidR="003C64FC">
              <w:t xml:space="preserve"> but prior to the </w:t>
            </w:r>
            <w:r w:rsidR="00443066">
              <w:t>end of the</w:t>
            </w:r>
            <w:r w:rsidR="003C64FC">
              <w:t xml:space="preserve"> reporting window</w:t>
            </w:r>
            <w:r w:rsidR="00097413">
              <w:t>.</w:t>
            </w:r>
          </w:p>
        </w:tc>
      </w:tr>
      <w:tr w:rsidR="003C64FC" w14:paraId="270AC686" w14:textId="77777777" w:rsidTr="006A058E">
        <w:tc>
          <w:tcPr>
            <w:tcW w:w="3823" w:type="dxa"/>
          </w:tcPr>
          <w:p w14:paraId="42A30712" w14:textId="48CB0838" w:rsidR="003C64FC" w:rsidRDefault="000538A9" w:rsidP="008131B7">
            <w:pPr>
              <w:spacing w:before="60" w:after="60" w:line="264" w:lineRule="auto"/>
            </w:pPr>
            <w:r w:rsidRPr="00EE4F4F">
              <w:rPr>
                <w:b/>
                <w:bCs/>
              </w:rPr>
              <w:t xml:space="preserve">What to report: </w:t>
            </w:r>
            <w:r w:rsidRPr="008954D7">
              <w:t>Step 1:</w:t>
            </w:r>
            <w:r>
              <w:t xml:space="preserve"> Identify entities to consolidate - Acquisitions and divestments – </w:t>
            </w:r>
            <w:r w:rsidRPr="00EE4F4F">
              <w:rPr>
                <w:i/>
                <w:iCs/>
              </w:rPr>
              <w:t>‘</w:t>
            </w:r>
            <w:r>
              <w:rPr>
                <w:i/>
                <w:iCs/>
              </w:rPr>
              <w:t>Divestme</w:t>
            </w:r>
            <w:r w:rsidR="008F709C">
              <w:rPr>
                <w:i/>
                <w:iCs/>
              </w:rPr>
              <w:t>nts and loss of control’</w:t>
            </w:r>
          </w:p>
        </w:tc>
        <w:tc>
          <w:tcPr>
            <w:tcW w:w="5239" w:type="dxa"/>
          </w:tcPr>
          <w:p w14:paraId="11DA0BE8" w14:textId="59CAE99F" w:rsidR="007B1964" w:rsidRDefault="00641E8B" w:rsidP="008131B7">
            <w:pPr>
              <w:spacing w:before="60" w:after="60" w:line="264" w:lineRule="auto"/>
            </w:pPr>
            <w:r>
              <w:t>Amended</w:t>
            </w:r>
            <w:r w:rsidR="00DA5BEC">
              <w:t xml:space="preserve"> </w:t>
            </w:r>
            <w:r w:rsidR="001D5E69">
              <w:t xml:space="preserve">text in </w:t>
            </w:r>
            <w:r w:rsidR="00DA5BEC">
              <w:t>example</w:t>
            </w:r>
            <w:r w:rsidR="001D5E69">
              <w:t xml:space="preserve"> </w:t>
            </w:r>
            <w:r w:rsidR="00E43D0A">
              <w:t>to improve</w:t>
            </w:r>
            <w:r w:rsidR="001D5E69">
              <w:t xml:space="preserve"> clarity</w:t>
            </w:r>
            <w:r w:rsidR="00DE7F57">
              <w:t>.</w:t>
            </w:r>
          </w:p>
          <w:p w14:paraId="0353204C" w14:textId="3092F033" w:rsidR="003C64FC" w:rsidRDefault="003C64FC" w:rsidP="008131B7">
            <w:pPr>
              <w:spacing w:before="60" w:after="60" w:line="264" w:lineRule="auto"/>
            </w:pPr>
            <w:r>
              <w:t xml:space="preserve">Added </w:t>
            </w:r>
            <w:r w:rsidR="00AA0660">
              <w:t>a</w:t>
            </w:r>
            <w:r>
              <w:t xml:space="preserve"> </w:t>
            </w:r>
            <w:r w:rsidR="001D5E69">
              <w:t>new</w:t>
            </w:r>
            <w:r>
              <w:t xml:space="preserve"> scenario in example</w:t>
            </w:r>
            <w:r w:rsidR="00AA0660">
              <w:t>,</w:t>
            </w:r>
            <w:r>
              <w:t xml:space="preserve"> covering </w:t>
            </w:r>
            <w:r w:rsidR="00AA0660">
              <w:t xml:space="preserve">the </w:t>
            </w:r>
            <w:r>
              <w:t xml:space="preserve">divestment of a controlled </w:t>
            </w:r>
            <w:r w:rsidR="000A70AC">
              <w:t xml:space="preserve">entity after the end of the reporting period but prior to the </w:t>
            </w:r>
            <w:r w:rsidR="00AA0660">
              <w:t xml:space="preserve">end of the </w:t>
            </w:r>
            <w:r w:rsidR="000A70AC">
              <w:t>reporting window</w:t>
            </w:r>
            <w:r w:rsidR="00097413">
              <w:t>.</w:t>
            </w:r>
          </w:p>
        </w:tc>
      </w:tr>
      <w:tr w:rsidR="0048383C" w14:paraId="2A6129FD" w14:textId="77777777" w:rsidTr="006A058E">
        <w:tc>
          <w:tcPr>
            <w:tcW w:w="3823" w:type="dxa"/>
          </w:tcPr>
          <w:p w14:paraId="6A86E015" w14:textId="6C61DB46" w:rsidR="0048383C" w:rsidRDefault="00487282" w:rsidP="008131B7">
            <w:pPr>
              <w:spacing w:before="60" w:after="60" w:line="264" w:lineRule="auto"/>
            </w:pPr>
            <w:r w:rsidRPr="006A058E">
              <w:rPr>
                <w:b/>
              </w:rPr>
              <w:t>What to report:</w:t>
            </w:r>
            <w:r>
              <w:t xml:space="preserve"> Step 2</w:t>
            </w:r>
            <w:r w:rsidR="00465DBF">
              <w:t>:</w:t>
            </w:r>
            <w:r>
              <w:t xml:space="preserve"> Identify Reporting Requirements</w:t>
            </w:r>
          </w:p>
        </w:tc>
        <w:tc>
          <w:tcPr>
            <w:tcW w:w="5239" w:type="dxa"/>
          </w:tcPr>
          <w:p w14:paraId="4AECA67D" w14:textId="62B8E25C" w:rsidR="0048383C" w:rsidRDefault="00E43D0A" w:rsidP="008131B7">
            <w:pPr>
              <w:spacing w:before="60" w:after="60" w:line="264" w:lineRule="auto"/>
            </w:pPr>
            <w:r>
              <w:t>Clarified</w:t>
            </w:r>
            <w:r w:rsidR="00DD33D3">
              <w:t xml:space="preserve"> that </w:t>
            </w:r>
            <w:r w:rsidR="00272795">
              <w:t xml:space="preserve">an entity </w:t>
            </w:r>
            <w:r w:rsidR="00037EC4">
              <w:t xml:space="preserve">may need to submit a modified report if </w:t>
            </w:r>
            <w:r w:rsidR="001D064E">
              <w:t xml:space="preserve">the entity and </w:t>
            </w:r>
            <w:proofErr w:type="gramStart"/>
            <w:r w:rsidR="001D064E">
              <w:t>all of</w:t>
            </w:r>
            <w:proofErr w:type="gramEnd"/>
            <w:r w:rsidR="001D064E">
              <w:t xml:space="preserve"> its controlled entities have made no payments to Australian small business suppliers (per the SBI Tool)</w:t>
            </w:r>
            <w:r w:rsidR="00097413">
              <w:t>.</w:t>
            </w:r>
          </w:p>
          <w:p w14:paraId="534F75A5" w14:textId="428A619C" w:rsidR="0048383C" w:rsidRDefault="00DE7F57" w:rsidP="008131B7">
            <w:pPr>
              <w:spacing w:before="60" w:after="60" w:line="264" w:lineRule="auto"/>
            </w:pPr>
            <w:r>
              <w:t xml:space="preserve">Removed </w:t>
            </w:r>
            <w:r w:rsidR="00DB72C9">
              <w:t xml:space="preserve">content </w:t>
            </w:r>
            <w:r w:rsidR="00F646A8">
              <w:t>relating</w:t>
            </w:r>
            <w:r>
              <w:t xml:space="preserve"> to</w:t>
            </w:r>
            <w:r w:rsidR="00F646A8">
              <w:t xml:space="preserve"> a</w:t>
            </w:r>
            <w:r>
              <w:t xml:space="preserve"> nominee reporting entity </w:t>
            </w:r>
            <w:r w:rsidR="00AD1EC7">
              <w:t xml:space="preserve">needing to </w:t>
            </w:r>
            <w:r>
              <w:t>provid</w:t>
            </w:r>
            <w:r w:rsidR="00AD1EC7">
              <w:t>e</w:t>
            </w:r>
            <w:r>
              <w:t xml:space="preserve"> additional information in its report</w:t>
            </w:r>
            <w:r w:rsidR="00AD1EC7">
              <w:t>,</w:t>
            </w:r>
            <w:r>
              <w:t xml:space="preserve"> as this was incorrect.</w:t>
            </w:r>
          </w:p>
        </w:tc>
      </w:tr>
      <w:tr w:rsidR="005A447B" w14:paraId="232DECE7" w14:textId="77777777" w:rsidTr="006A058E">
        <w:tc>
          <w:tcPr>
            <w:tcW w:w="3823" w:type="dxa"/>
          </w:tcPr>
          <w:p w14:paraId="040A2C93" w14:textId="4988FFE5" w:rsidR="005A447B" w:rsidRDefault="00465DBF" w:rsidP="008131B7">
            <w:pPr>
              <w:spacing w:before="60" w:after="60" w:line="264" w:lineRule="auto"/>
            </w:pPr>
            <w:r w:rsidRPr="006A058E">
              <w:rPr>
                <w:b/>
              </w:rPr>
              <w:t>What to report</w:t>
            </w:r>
            <w:r>
              <w:t>: Step 3: Prepare Datasets</w:t>
            </w:r>
          </w:p>
        </w:tc>
        <w:tc>
          <w:tcPr>
            <w:tcW w:w="5239" w:type="dxa"/>
          </w:tcPr>
          <w:p w14:paraId="155CC63E" w14:textId="1F194319" w:rsidR="005A447B" w:rsidRDefault="0002129A" w:rsidP="008131B7">
            <w:pPr>
              <w:spacing w:before="60" w:after="60" w:line="264" w:lineRule="auto"/>
            </w:pPr>
            <w:r>
              <w:t xml:space="preserve">Amended text in example </w:t>
            </w:r>
            <w:r w:rsidR="00A454E1">
              <w:t xml:space="preserve">relating to </w:t>
            </w:r>
            <w:r w:rsidR="00D1175A">
              <w:t xml:space="preserve">trade credit </w:t>
            </w:r>
            <w:proofErr w:type="gramStart"/>
            <w:r w:rsidR="00D1175A">
              <w:t xml:space="preserve">arrangements, </w:t>
            </w:r>
            <w:r w:rsidR="00287E78">
              <w:t>and</w:t>
            </w:r>
            <w:proofErr w:type="gramEnd"/>
            <w:r w:rsidR="00287E78">
              <w:t xml:space="preserve"> added</w:t>
            </w:r>
            <w:r w:rsidR="008B30DF">
              <w:t xml:space="preserve"> a new scenario</w:t>
            </w:r>
            <w:r w:rsidR="00E43D0A">
              <w:t xml:space="preserve"> to improve</w:t>
            </w:r>
            <w:r>
              <w:t xml:space="preserve"> clarity.</w:t>
            </w:r>
          </w:p>
        </w:tc>
      </w:tr>
      <w:tr w:rsidR="007D6D2A" w14:paraId="36DF01D7" w14:textId="77777777" w:rsidTr="006A058E">
        <w:tc>
          <w:tcPr>
            <w:tcW w:w="3823" w:type="dxa"/>
          </w:tcPr>
          <w:p w14:paraId="229336BE" w14:textId="31FEBB09" w:rsidR="007D6D2A" w:rsidRDefault="0045741B" w:rsidP="008131B7">
            <w:pPr>
              <w:spacing w:before="60" w:after="60" w:line="264" w:lineRule="auto"/>
            </w:pPr>
            <w:r w:rsidRPr="00EE4F4F">
              <w:rPr>
                <w:b/>
              </w:rPr>
              <w:t>What to report</w:t>
            </w:r>
            <w:r w:rsidR="000F5396">
              <w:t xml:space="preserve">: </w:t>
            </w:r>
            <w:r w:rsidR="00E154B4">
              <w:t>Step 3: Prepare Datasets</w:t>
            </w:r>
            <w:r w:rsidR="00E154B4" w:rsidDel="00E154B4">
              <w:t xml:space="preserve"> </w:t>
            </w:r>
            <w:r w:rsidR="00E154B4">
              <w:t xml:space="preserve">- </w:t>
            </w:r>
            <w:r w:rsidR="000F5396">
              <w:t>Payments made by a Third Party</w:t>
            </w:r>
          </w:p>
        </w:tc>
        <w:tc>
          <w:tcPr>
            <w:tcW w:w="5239" w:type="dxa"/>
          </w:tcPr>
          <w:p w14:paraId="04A7DD3C" w14:textId="32C2EF39" w:rsidR="007D6D2A" w:rsidRDefault="0045741B" w:rsidP="008131B7">
            <w:pPr>
              <w:spacing w:before="60" w:after="60" w:line="264" w:lineRule="auto"/>
            </w:pPr>
            <w:r>
              <w:t xml:space="preserve">Added </w:t>
            </w:r>
            <w:r w:rsidR="00E154B4">
              <w:t xml:space="preserve">a </w:t>
            </w:r>
            <w:r>
              <w:t xml:space="preserve">new section </w:t>
            </w:r>
            <w:r w:rsidR="006A0750">
              <w:t>to cover ‘Payments made by a Third Party’</w:t>
            </w:r>
            <w:r w:rsidR="00097413">
              <w:t>.</w:t>
            </w:r>
          </w:p>
        </w:tc>
      </w:tr>
      <w:tr w:rsidR="006A0750" w14:paraId="03FB4A45" w14:textId="77777777" w:rsidTr="006A058E">
        <w:tc>
          <w:tcPr>
            <w:tcW w:w="3823" w:type="dxa"/>
          </w:tcPr>
          <w:p w14:paraId="43012575" w14:textId="70A52423" w:rsidR="006A0750" w:rsidRDefault="009602FF" w:rsidP="008131B7">
            <w:pPr>
              <w:spacing w:before="60" w:after="60" w:line="264" w:lineRule="auto"/>
            </w:pPr>
            <w:r w:rsidRPr="00EE4F4F">
              <w:rPr>
                <w:b/>
                <w:bCs/>
              </w:rPr>
              <w:lastRenderedPageBreak/>
              <w:t>What to report</w:t>
            </w:r>
            <w:r>
              <w:t>: Step 3: Prepare Datasets</w:t>
            </w:r>
            <w:r w:rsidDel="00E154B4">
              <w:t xml:space="preserve"> </w:t>
            </w:r>
            <w:r>
              <w:t>-</w:t>
            </w:r>
            <w:r w:rsidR="000F5396">
              <w:t xml:space="preserve"> </w:t>
            </w:r>
            <w:r w:rsidR="005B5589">
              <w:t>Preparing the Trade Credit Payments Dataset</w:t>
            </w:r>
            <w:r>
              <w:t xml:space="preserve"> – </w:t>
            </w:r>
            <w:r w:rsidRPr="006A058E">
              <w:rPr>
                <w:i/>
                <w:iCs/>
              </w:rPr>
              <w:t>‘Payer and payee details’</w:t>
            </w:r>
          </w:p>
        </w:tc>
        <w:tc>
          <w:tcPr>
            <w:tcW w:w="5239" w:type="dxa"/>
          </w:tcPr>
          <w:p w14:paraId="1E06BFDD" w14:textId="28EB5428" w:rsidR="006A0750" w:rsidRDefault="00E43D0A" w:rsidP="008131B7">
            <w:pPr>
              <w:spacing w:before="60" w:after="60" w:line="264" w:lineRule="auto"/>
            </w:pPr>
            <w:r>
              <w:t>C</w:t>
            </w:r>
            <w:r w:rsidR="007F1D25">
              <w:t>lari</w:t>
            </w:r>
            <w:r>
              <w:t>fie</w:t>
            </w:r>
            <w:r w:rsidR="000A66B8">
              <w:t>d</w:t>
            </w:r>
            <w:r w:rsidR="007F1D25">
              <w:t xml:space="preserve"> the payee and payer details to be included</w:t>
            </w:r>
            <w:r w:rsidR="00097413">
              <w:t>.</w:t>
            </w:r>
          </w:p>
        </w:tc>
      </w:tr>
      <w:tr w:rsidR="007F1D25" w14:paraId="7E54CAF9" w14:textId="77777777" w:rsidTr="006A058E">
        <w:tc>
          <w:tcPr>
            <w:tcW w:w="3823" w:type="dxa"/>
          </w:tcPr>
          <w:p w14:paraId="1572484E" w14:textId="6CBC5D5E" w:rsidR="007F1D25" w:rsidRDefault="00DE3A19" w:rsidP="008131B7">
            <w:pPr>
              <w:spacing w:before="60" w:after="60" w:line="264" w:lineRule="auto"/>
            </w:pPr>
            <w:r w:rsidRPr="00EE4F4F">
              <w:rPr>
                <w:b/>
                <w:bCs/>
              </w:rPr>
              <w:t>What to report</w:t>
            </w:r>
            <w:r>
              <w:t>: Step 3: Prepare Datasets</w:t>
            </w:r>
            <w:r w:rsidDel="00E154B4">
              <w:t xml:space="preserve"> </w:t>
            </w:r>
            <w:r>
              <w:t xml:space="preserve">- Preparing the Trade Credit Payments Dataset – </w:t>
            </w:r>
            <w:r w:rsidRPr="00EE4F4F">
              <w:rPr>
                <w:i/>
                <w:iCs/>
              </w:rPr>
              <w:t>‘</w:t>
            </w:r>
            <w:r>
              <w:rPr>
                <w:i/>
                <w:iCs/>
              </w:rPr>
              <w:t xml:space="preserve">Partial </w:t>
            </w:r>
            <w:r w:rsidR="00B26986">
              <w:rPr>
                <w:i/>
                <w:iCs/>
              </w:rPr>
              <w:t>payments</w:t>
            </w:r>
            <w:r w:rsidR="00CA796A">
              <w:rPr>
                <w:i/>
                <w:iCs/>
              </w:rPr>
              <w:t>’</w:t>
            </w:r>
          </w:p>
        </w:tc>
        <w:tc>
          <w:tcPr>
            <w:tcW w:w="5239" w:type="dxa"/>
          </w:tcPr>
          <w:p w14:paraId="5C4C8345" w14:textId="785CECC2" w:rsidR="007F1D25" w:rsidRDefault="000A66B8" w:rsidP="008131B7">
            <w:pPr>
              <w:spacing w:before="60" w:after="60" w:line="264" w:lineRule="auto"/>
            </w:pPr>
            <w:r>
              <w:t>Clarified</w:t>
            </w:r>
            <w:r w:rsidR="00C31746">
              <w:t xml:space="preserve"> partial payments </w:t>
            </w:r>
            <w:r w:rsidR="00EA3280">
              <w:t>and how they</w:t>
            </w:r>
            <w:r w:rsidR="00C31746">
              <w:t xml:space="preserve"> are to be recorded</w:t>
            </w:r>
            <w:r w:rsidR="004014CB">
              <w:t xml:space="preserve"> in the preparation of datasets.</w:t>
            </w:r>
          </w:p>
        </w:tc>
      </w:tr>
      <w:tr w:rsidR="00847694" w14:paraId="05FAEF09" w14:textId="77777777" w:rsidTr="006A058E">
        <w:tc>
          <w:tcPr>
            <w:tcW w:w="3823" w:type="dxa"/>
          </w:tcPr>
          <w:p w14:paraId="0CF74742" w14:textId="42E837F0" w:rsidR="00847694" w:rsidRDefault="00CA796A" w:rsidP="008131B7">
            <w:pPr>
              <w:spacing w:before="60" w:after="60" w:line="264" w:lineRule="auto"/>
            </w:pPr>
            <w:r w:rsidRPr="00EE4F4F">
              <w:rPr>
                <w:b/>
                <w:bCs/>
              </w:rPr>
              <w:t>What to report</w:t>
            </w:r>
            <w:r>
              <w:t>: Step 3: Prepare Datasets</w:t>
            </w:r>
            <w:r w:rsidDel="00E154B4">
              <w:t xml:space="preserve"> </w:t>
            </w:r>
            <w:r>
              <w:t xml:space="preserve">- Preparing the Trade Credit Payments Dataset – </w:t>
            </w:r>
            <w:r w:rsidRPr="00EE4F4F">
              <w:rPr>
                <w:i/>
                <w:iCs/>
              </w:rPr>
              <w:t>‘</w:t>
            </w:r>
            <w:r>
              <w:rPr>
                <w:i/>
                <w:iCs/>
              </w:rPr>
              <w:t>Payment Terms</w:t>
            </w:r>
          </w:p>
        </w:tc>
        <w:tc>
          <w:tcPr>
            <w:tcW w:w="5239" w:type="dxa"/>
          </w:tcPr>
          <w:p w14:paraId="4925C599" w14:textId="58A0FFCD" w:rsidR="00847694" w:rsidRDefault="003D5EDF" w:rsidP="008131B7">
            <w:pPr>
              <w:spacing w:before="60" w:after="60" w:line="264" w:lineRule="auto"/>
            </w:pPr>
            <w:r>
              <w:t>Amended text, a</w:t>
            </w:r>
            <w:r w:rsidR="00764D3F">
              <w:t xml:space="preserve">dded </w:t>
            </w:r>
            <w:r w:rsidR="0073640B">
              <w:t>new</w:t>
            </w:r>
            <w:r w:rsidR="00764D3F">
              <w:t xml:space="preserve"> </w:t>
            </w:r>
            <w:proofErr w:type="gramStart"/>
            <w:r w:rsidR="00C21C44">
              <w:t>paragraphs</w:t>
            </w:r>
            <w:proofErr w:type="gramEnd"/>
            <w:r w:rsidR="00C21C44">
              <w:t xml:space="preserve"> </w:t>
            </w:r>
            <w:r>
              <w:t xml:space="preserve">and removed a </w:t>
            </w:r>
            <w:r w:rsidR="00577095">
              <w:t xml:space="preserve">paragraph </w:t>
            </w:r>
            <w:r w:rsidR="003C370D">
              <w:t xml:space="preserve">to </w:t>
            </w:r>
            <w:r w:rsidR="0049567F">
              <w:t>clari</w:t>
            </w:r>
            <w:r w:rsidR="000A66B8">
              <w:t>fy</w:t>
            </w:r>
            <w:r w:rsidR="00C21C44">
              <w:t xml:space="preserve"> </w:t>
            </w:r>
            <w:r w:rsidR="008E078F">
              <w:t xml:space="preserve">payment terms </w:t>
            </w:r>
            <w:r w:rsidR="001B60BF">
              <w:t xml:space="preserve">and how they </w:t>
            </w:r>
            <w:r w:rsidR="008E078F">
              <w:t>are to be determined in situations where a contract exists and those where it does not</w:t>
            </w:r>
            <w:r w:rsidR="00097413">
              <w:t>.</w:t>
            </w:r>
          </w:p>
          <w:p w14:paraId="0575744A" w14:textId="222D4558" w:rsidR="008E078F" w:rsidRDefault="001F5A97" w:rsidP="008131B7">
            <w:pPr>
              <w:spacing w:before="60" w:after="60" w:line="264" w:lineRule="auto"/>
            </w:pPr>
            <w:r>
              <w:t xml:space="preserve">Amended text </w:t>
            </w:r>
            <w:r w:rsidR="0062112C">
              <w:t>to clarify that</w:t>
            </w:r>
            <w:r w:rsidR="000F65AB">
              <w:t>, if an invoice has multiple terms,</w:t>
            </w:r>
            <w:r w:rsidR="0062112C">
              <w:t xml:space="preserve"> the longer of the terms is to be used</w:t>
            </w:r>
            <w:r w:rsidR="00DA23DD">
              <w:t>.</w:t>
            </w:r>
          </w:p>
        </w:tc>
      </w:tr>
      <w:tr w:rsidR="00201E0C" w14:paraId="37BB211B" w14:textId="77777777" w:rsidTr="006A058E">
        <w:tc>
          <w:tcPr>
            <w:tcW w:w="3823" w:type="dxa"/>
          </w:tcPr>
          <w:p w14:paraId="468475AF" w14:textId="1A4F387A" w:rsidR="00201E0C" w:rsidRDefault="000F65AB" w:rsidP="008131B7">
            <w:pPr>
              <w:spacing w:before="60" w:after="60" w:line="264" w:lineRule="auto"/>
            </w:pPr>
            <w:r w:rsidRPr="00EE4F4F">
              <w:rPr>
                <w:b/>
                <w:bCs/>
              </w:rPr>
              <w:t>What to report</w:t>
            </w:r>
            <w:r>
              <w:t>: Step 3: Prepare Datasets</w:t>
            </w:r>
            <w:r w:rsidDel="00E154B4">
              <w:t xml:space="preserve"> </w:t>
            </w:r>
            <w:r>
              <w:t xml:space="preserve">- </w:t>
            </w:r>
            <w:r w:rsidR="00201E0C">
              <w:t>Calculating payment times</w:t>
            </w:r>
            <w:r w:rsidR="00F3419C">
              <w:t xml:space="preserve"> – </w:t>
            </w:r>
            <w:r w:rsidRPr="006A058E">
              <w:rPr>
                <w:i/>
                <w:iCs/>
              </w:rPr>
              <w:t>‘</w:t>
            </w:r>
            <w:r w:rsidR="00F3419C" w:rsidRPr="006A058E">
              <w:rPr>
                <w:i/>
              </w:rPr>
              <w:t xml:space="preserve">Excluded Payments – Partial </w:t>
            </w:r>
            <w:r w:rsidR="00F3419C" w:rsidRPr="006A058E">
              <w:rPr>
                <w:i/>
                <w:iCs/>
              </w:rPr>
              <w:t>payments</w:t>
            </w:r>
            <w:r w:rsidRPr="006A058E">
              <w:rPr>
                <w:i/>
                <w:iCs/>
              </w:rPr>
              <w:t>’</w:t>
            </w:r>
          </w:p>
        </w:tc>
        <w:tc>
          <w:tcPr>
            <w:tcW w:w="5239" w:type="dxa"/>
          </w:tcPr>
          <w:p w14:paraId="47FCF55B" w14:textId="373F59B0" w:rsidR="00201E0C" w:rsidRDefault="000A66B8" w:rsidP="008131B7">
            <w:pPr>
              <w:spacing w:before="60" w:after="60" w:line="264" w:lineRule="auto"/>
            </w:pPr>
            <w:r>
              <w:t xml:space="preserve">Clarified </w:t>
            </w:r>
            <w:r w:rsidR="00454970">
              <w:t>partial payments</w:t>
            </w:r>
            <w:r w:rsidR="000A1EB8">
              <w:t>, their exclusion from the SBTCP Dataset</w:t>
            </w:r>
            <w:r w:rsidR="00454970">
              <w:t xml:space="preserve"> </w:t>
            </w:r>
            <w:r w:rsidR="00426547">
              <w:t>and how they</w:t>
            </w:r>
            <w:r w:rsidR="00454970">
              <w:t xml:space="preserve"> are used in </w:t>
            </w:r>
            <w:r w:rsidR="000F65AB">
              <w:t xml:space="preserve">the </w:t>
            </w:r>
            <w:r w:rsidR="00652CE4">
              <w:t>calculation</w:t>
            </w:r>
            <w:r w:rsidR="00143F85">
              <w:t xml:space="preserve"> of </w:t>
            </w:r>
            <w:r w:rsidR="00426547">
              <w:t>payment times</w:t>
            </w:r>
            <w:r w:rsidR="00454970">
              <w:t xml:space="preserve"> and </w:t>
            </w:r>
            <w:r w:rsidR="00D92B75">
              <w:t>other report data</w:t>
            </w:r>
            <w:r w:rsidR="006C6F47">
              <w:t>.</w:t>
            </w:r>
          </w:p>
          <w:p w14:paraId="62A38F3E" w14:textId="466803DB" w:rsidR="00454970" w:rsidRDefault="004014CB" w:rsidP="008131B7">
            <w:pPr>
              <w:spacing w:before="60" w:after="60" w:line="264" w:lineRule="auto"/>
            </w:pPr>
            <w:r>
              <w:t xml:space="preserve">Amended </w:t>
            </w:r>
            <w:r w:rsidR="000A66B8">
              <w:t xml:space="preserve">the </w:t>
            </w:r>
            <w:r>
              <w:t>text in</w:t>
            </w:r>
            <w:r w:rsidR="000A66B8">
              <w:t xml:space="preserve"> the</w:t>
            </w:r>
            <w:r w:rsidR="002C1C8B">
              <w:t xml:space="preserve"> example </w:t>
            </w:r>
            <w:r w:rsidR="000A66B8">
              <w:t xml:space="preserve">to improve </w:t>
            </w:r>
            <w:r>
              <w:t>clarity</w:t>
            </w:r>
            <w:r w:rsidR="000A66B8">
              <w:t>.</w:t>
            </w:r>
            <w:r w:rsidR="002C1C8B">
              <w:t xml:space="preserve"> </w:t>
            </w:r>
          </w:p>
        </w:tc>
      </w:tr>
      <w:tr w:rsidR="00454970" w14:paraId="1863C642" w14:textId="77777777" w:rsidTr="006A058E">
        <w:tc>
          <w:tcPr>
            <w:tcW w:w="3823" w:type="dxa"/>
          </w:tcPr>
          <w:p w14:paraId="0D4E9DD9" w14:textId="41E7D07C" w:rsidR="00711162" w:rsidRDefault="00415C55" w:rsidP="008131B7">
            <w:pPr>
              <w:spacing w:before="60" w:after="60" w:line="264" w:lineRule="auto"/>
            </w:pPr>
            <w:r w:rsidRPr="006A058E">
              <w:rPr>
                <w:b/>
              </w:rPr>
              <w:t>What to report:</w:t>
            </w:r>
            <w:r>
              <w:t xml:space="preserve"> </w:t>
            </w:r>
            <w:r w:rsidR="002F231C">
              <w:t xml:space="preserve">Step 4: </w:t>
            </w:r>
            <w:r>
              <w:t>Complete the Payment Times Report</w:t>
            </w:r>
            <w:r w:rsidR="008E3DBD">
              <w:t xml:space="preserve"> – </w:t>
            </w:r>
            <w:r w:rsidR="00DA3B77" w:rsidRPr="005759D1">
              <w:t xml:space="preserve">Payment </w:t>
            </w:r>
            <w:r w:rsidR="00A96D90" w:rsidRPr="005759D1">
              <w:t>Terms</w:t>
            </w:r>
            <w:r w:rsidR="00711162" w:rsidRPr="005759D1">
              <w:t xml:space="preserve"> and Times</w:t>
            </w:r>
          </w:p>
          <w:p w14:paraId="603CF8F0" w14:textId="2706466B" w:rsidR="00711162" w:rsidRPr="006A058E" w:rsidRDefault="008E3DBD" w:rsidP="008131B7">
            <w:pPr>
              <w:pStyle w:val="ListParagraph"/>
              <w:numPr>
                <w:ilvl w:val="0"/>
                <w:numId w:val="22"/>
              </w:numPr>
              <w:spacing w:before="60" w:after="60" w:line="264" w:lineRule="auto"/>
              <w:jc w:val="left"/>
              <w:rPr>
                <w:sz w:val="18"/>
                <w:szCs w:val="18"/>
              </w:rPr>
            </w:pPr>
            <w:r w:rsidRPr="006A058E">
              <w:rPr>
                <w:sz w:val="18"/>
                <w:szCs w:val="18"/>
              </w:rPr>
              <w:t xml:space="preserve">Most common payment </w:t>
            </w:r>
            <w:proofErr w:type="gramStart"/>
            <w:r w:rsidRPr="006A058E">
              <w:rPr>
                <w:sz w:val="18"/>
                <w:szCs w:val="18"/>
              </w:rPr>
              <w:t>term</w:t>
            </w:r>
            <w:proofErr w:type="gramEnd"/>
            <w:r w:rsidRPr="006A058E">
              <w:rPr>
                <w:sz w:val="18"/>
                <w:szCs w:val="18"/>
              </w:rPr>
              <w:t xml:space="preserve"> </w:t>
            </w:r>
          </w:p>
          <w:p w14:paraId="3535EF51" w14:textId="36C83B35" w:rsidR="00454970" w:rsidRPr="00232416" w:rsidRDefault="00D83FC9" w:rsidP="008131B7">
            <w:pPr>
              <w:pStyle w:val="ListParagraph"/>
              <w:numPr>
                <w:ilvl w:val="0"/>
                <w:numId w:val="22"/>
              </w:numPr>
              <w:spacing w:before="60" w:after="60" w:line="264" w:lineRule="auto"/>
              <w:jc w:val="left"/>
            </w:pPr>
            <w:r w:rsidRPr="006A058E">
              <w:rPr>
                <w:sz w:val="18"/>
                <w:szCs w:val="18"/>
              </w:rPr>
              <w:t>M</w:t>
            </w:r>
            <w:r w:rsidR="008E3DBD" w:rsidRPr="006A058E">
              <w:rPr>
                <w:sz w:val="18"/>
                <w:szCs w:val="18"/>
              </w:rPr>
              <w:t>ost common payment term (range)</w:t>
            </w:r>
          </w:p>
          <w:p w14:paraId="5B8CA061" w14:textId="42F32E7F" w:rsidR="00DC157A" w:rsidRDefault="00DC157A" w:rsidP="008131B7">
            <w:pPr>
              <w:pStyle w:val="ListParagraph"/>
              <w:numPr>
                <w:ilvl w:val="0"/>
                <w:numId w:val="22"/>
              </w:numPr>
              <w:spacing w:before="60" w:after="60" w:line="264" w:lineRule="auto"/>
              <w:jc w:val="left"/>
            </w:pPr>
            <w:r>
              <w:rPr>
                <w:sz w:val="18"/>
                <w:szCs w:val="18"/>
              </w:rPr>
              <w:t>Estimated payment term for the next reporting period</w:t>
            </w:r>
          </w:p>
        </w:tc>
        <w:tc>
          <w:tcPr>
            <w:tcW w:w="5239" w:type="dxa"/>
          </w:tcPr>
          <w:p w14:paraId="36BA4D56" w14:textId="560B6EA0" w:rsidR="00454970" w:rsidRDefault="000A66B8" w:rsidP="008131B7">
            <w:pPr>
              <w:spacing w:before="60" w:after="60" w:line="264" w:lineRule="auto"/>
            </w:pPr>
            <w:r>
              <w:t>Clarified</w:t>
            </w:r>
            <w:r w:rsidR="00415C55">
              <w:t xml:space="preserve"> the calculation of </w:t>
            </w:r>
            <w:r w:rsidR="00AE2087">
              <w:t>the most common payment term</w:t>
            </w:r>
            <w:r w:rsidR="00220617">
              <w:t xml:space="preserve"> and corrected the </w:t>
            </w:r>
            <w:r w:rsidR="00097413">
              <w:t>description to refer to payment terms</w:t>
            </w:r>
            <w:r>
              <w:t>,</w:t>
            </w:r>
            <w:r w:rsidR="00097413">
              <w:t xml:space="preserve"> rather than payment times.</w:t>
            </w:r>
          </w:p>
          <w:p w14:paraId="4226217C" w14:textId="0619C909" w:rsidR="00E403BF" w:rsidRDefault="00E403BF" w:rsidP="008131B7">
            <w:pPr>
              <w:spacing w:before="60" w:after="60" w:line="264" w:lineRule="auto"/>
            </w:pPr>
            <w:r>
              <w:t>Removed reference to standard</w:t>
            </w:r>
            <w:r w:rsidR="00BE3674">
              <w:t xml:space="preserve"> </w:t>
            </w:r>
            <w:r w:rsidR="00A57EE4">
              <w:t xml:space="preserve">for </w:t>
            </w:r>
            <w:r w:rsidR="004E0E7E">
              <w:t>most common payment term and most common payment term (range)</w:t>
            </w:r>
            <w:r w:rsidR="00645625">
              <w:t>.</w:t>
            </w:r>
          </w:p>
          <w:p w14:paraId="46C15FB5" w14:textId="73390BD1" w:rsidR="009F1336" w:rsidRDefault="009F1336" w:rsidP="008131B7">
            <w:pPr>
              <w:spacing w:before="60" w:after="60" w:line="264" w:lineRule="auto"/>
            </w:pPr>
            <w:r>
              <w:t>Amended the number format</w:t>
            </w:r>
            <w:r w:rsidR="009269FE">
              <w:t xml:space="preserve"> for most common payment term, most common payment term (range) and estimated payment term for the next reporting period</w:t>
            </w:r>
            <w:r w:rsidR="00645625">
              <w:t>.</w:t>
            </w:r>
          </w:p>
          <w:p w14:paraId="291753EA" w14:textId="1723535A" w:rsidR="00AE2087" w:rsidRDefault="00B40CA6" w:rsidP="008131B7">
            <w:pPr>
              <w:spacing w:before="60" w:after="60" w:line="264" w:lineRule="auto"/>
            </w:pPr>
            <w:r>
              <w:t xml:space="preserve">Amended </w:t>
            </w:r>
            <w:r w:rsidR="00CC2945">
              <w:t>text</w:t>
            </w:r>
            <w:r>
              <w:t xml:space="preserve"> and added new paragraph</w:t>
            </w:r>
            <w:r w:rsidR="00950161">
              <w:t xml:space="preserve"> </w:t>
            </w:r>
            <w:r w:rsidR="00A40B8D">
              <w:t xml:space="preserve">regarding </w:t>
            </w:r>
            <w:r w:rsidR="00950161">
              <w:t>the most common payment term (range)</w:t>
            </w:r>
            <w:r w:rsidR="00A40B8D">
              <w:t>,</w:t>
            </w:r>
            <w:r w:rsidR="00950161">
              <w:t xml:space="preserve"> to </w:t>
            </w:r>
            <w:r w:rsidR="00D83FC9">
              <w:t xml:space="preserve">clarify </w:t>
            </w:r>
            <w:r w:rsidR="00950161">
              <w:t xml:space="preserve">that </w:t>
            </w:r>
            <w:r w:rsidR="0011130E">
              <w:t>this is to be calculated from the SBTCP Dataset and that any entity that does not may any payments to small business should be excluded from the range calculation</w:t>
            </w:r>
            <w:r w:rsidR="008F058F">
              <w:t>. A mode of 0 should not be used</w:t>
            </w:r>
            <w:r w:rsidR="00097413">
              <w:t>.</w:t>
            </w:r>
          </w:p>
          <w:p w14:paraId="3CF1840D" w14:textId="4617B77A" w:rsidR="008F058F" w:rsidRDefault="008D2933" w:rsidP="008131B7">
            <w:pPr>
              <w:spacing w:before="60" w:after="60" w:line="264" w:lineRule="auto"/>
            </w:pPr>
            <w:r>
              <w:t>Amended text</w:t>
            </w:r>
            <w:r w:rsidR="008F058F">
              <w:t xml:space="preserve"> </w:t>
            </w:r>
            <w:r w:rsidR="000D6801">
              <w:t>in the</w:t>
            </w:r>
            <w:r w:rsidR="008F058F">
              <w:t xml:space="preserve"> example </w:t>
            </w:r>
            <w:r w:rsidR="00A96D90">
              <w:t xml:space="preserve">relating to </w:t>
            </w:r>
            <w:r w:rsidR="00554D3E">
              <w:t>range of modes</w:t>
            </w:r>
            <w:r w:rsidR="006E30B6">
              <w:t xml:space="preserve"> to improve </w:t>
            </w:r>
            <w:r w:rsidR="000D6801">
              <w:t>clarity around</w:t>
            </w:r>
            <w:r w:rsidR="008F058F">
              <w:t xml:space="preserve"> calculat</w:t>
            </w:r>
            <w:r w:rsidR="00554D3E">
              <w:t>ion</w:t>
            </w:r>
            <w:r w:rsidR="006E30B6">
              <w:t>s.</w:t>
            </w:r>
          </w:p>
        </w:tc>
      </w:tr>
      <w:tr w:rsidR="008F058F" w14:paraId="0AD058AB" w14:textId="77777777" w:rsidTr="006A058E">
        <w:tc>
          <w:tcPr>
            <w:tcW w:w="3823" w:type="dxa"/>
          </w:tcPr>
          <w:p w14:paraId="5EBE13CA" w14:textId="173A9D02" w:rsidR="00ED351B" w:rsidRDefault="00ED351B" w:rsidP="008131B7">
            <w:pPr>
              <w:spacing w:before="60" w:after="60" w:line="264" w:lineRule="auto"/>
            </w:pPr>
            <w:r w:rsidRPr="00EE4F4F">
              <w:rPr>
                <w:b/>
                <w:bCs/>
              </w:rPr>
              <w:t>What to report:</w:t>
            </w:r>
            <w:r>
              <w:t xml:space="preserve"> Step 4: Complete the Payment Times Report – </w:t>
            </w:r>
            <w:r w:rsidRPr="005759D1">
              <w:t>Payment Terms and Times</w:t>
            </w:r>
          </w:p>
          <w:p w14:paraId="73D83AAA" w14:textId="6D6B9389" w:rsidR="008F058F" w:rsidRDefault="00ED351B" w:rsidP="008131B7">
            <w:pPr>
              <w:pStyle w:val="ListParagraph"/>
              <w:numPr>
                <w:ilvl w:val="0"/>
                <w:numId w:val="22"/>
              </w:numPr>
              <w:spacing w:before="60" w:after="60" w:line="264" w:lineRule="auto"/>
              <w:jc w:val="left"/>
            </w:pPr>
            <w:r w:rsidRPr="006A058E">
              <w:rPr>
                <w:sz w:val="18"/>
                <w:szCs w:val="18"/>
              </w:rPr>
              <w:t>Comparison of receivable terms to payment times</w:t>
            </w:r>
          </w:p>
        </w:tc>
        <w:tc>
          <w:tcPr>
            <w:tcW w:w="5239" w:type="dxa"/>
          </w:tcPr>
          <w:p w14:paraId="494F85E4" w14:textId="264FA2C6" w:rsidR="008F058F" w:rsidRDefault="00ED351B" w:rsidP="008131B7">
            <w:pPr>
              <w:spacing w:before="60" w:after="60" w:line="264" w:lineRule="auto"/>
            </w:pPr>
            <w:r>
              <w:t xml:space="preserve">Amended text in relation to comparison of receivable terms to payment terms </w:t>
            </w:r>
            <w:r w:rsidR="006E30B6">
              <w:t xml:space="preserve">to improve </w:t>
            </w:r>
            <w:r>
              <w:t>clarity. Specifically, that receivable terms are to be based on the most common offered terms for sales to all customers, and that the comparison is not required for the mode payment term range.</w:t>
            </w:r>
          </w:p>
        </w:tc>
      </w:tr>
      <w:tr w:rsidR="00CA7B25" w14:paraId="4F0C84A0" w14:textId="77777777" w:rsidTr="006A058E">
        <w:tc>
          <w:tcPr>
            <w:tcW w:w="3823" w:type="dxa"/>
          </w:tcPr>
          <w:p w14:paraId="18C085E3" w14:textId="3D55DA52" w:rsidR="00506F24" w:rsidRDefault="00506F24" w:rsidP="008131B7">
            <w:pPr>
              <w:spacing w:before="60" w:after="60" w:line="264" w:lineRule="auto"/>
            </w:pPr>
            <w:r w:rsidRPr="00EE4F4F">
              <w:rPr>
                <w:b/>
                <w:bCs/>
              </w:rPr>
              <w:lastRenderedPageBreak/>
              <w:t>What to report:</w:t>
            </w:r>
            <w:r>
              <w:t xml:space="preserve"> Step 4: Complete the Payment Times Report – </w:t>
            </w:r>
            <w:r w:rsidRPr="005759D1">
              <w:t>Payment Terms and Times</w:t>
            </w:r>
          </w:p>
          <w:p w14:paraId="407EA691" w14:textId="77777777" w:rsidR="00416993" w:rsidRPr="006A058E" w:rsidRDefault="00F02AA8" w:rsidP="008131B7">
            <w:pPr>
              <w:pStyle w:val="ListParagraph"/>
              <w:numPr>
                <w:ilvl w:val="0"/>
                <w:numId w:val="22"/>
              </w:numPr>
              <w:spacing w:before="60" w:after="60" w:line="264" w:lineRule="auto"/>
              <w:jc w:val="left"/>
            </w:pPr>
            <w:r>
              <w:rPr>
                <w:sz w:val="18"/>
                <w:szCs w:val="18"/>
              </w:rPr>
              <w:t>Median</w:t>
            </w:r>
            <w:r w:rsidR="00C658D1">
              <w:rPr>
                <w:sz w:val="18"/>
                <w:szCs w:val="18"/>
              </w:rPr>
              <w:t xml:space="preserve"> </w:t>
            </w:r>
            <w:r w:rsidR="00416993">
              <w:rPr>
                <w:sz w:val="18"/>
                <w:szCs w:val="18"/>
              </w:rPr>
              <w:t>Payment Time</w:t>
            </w:r>
          </w:p>
          <w:p w14:paraId="0603170F" w14:textId="35064994" w:rsidR="00CA7B25" w:rsidRDefault="00416993" w:rsidP="008131B7">
            <w:pPr>
              <w:pStyle w:val="ListParagraph"/>
              <w:numPr>
                <w:ilvl w:val="0"/>
                <w:numId w:val="22"/>
              </w:numPr>
              <w:spacing w:before="60" w:after="60" w:line="264" w:lineRule="auto"/>
              <w:jc w:val="left"/>
            </w:pPr>
            <w:r>
              <w:rPr>
                <w:sz w:val="18"/>
                <w:szCs w:val="18"/>
              </w:rPr>
              <w:t>80</w:t>
            </w:r>
            <w:r w:rsidRPr="00EE4F4F">
              <w:rPr>
                <w:sz w:val="18"/>
                <w:szCs w:val="18"/>
                <w:vertAlign w:val="superscript"/>
              </w:rPr>
              <w:t>th</w:t>
            </w:r>
            <w:r>
              <w:rPr>
                <w:sz w:val="18"/>
                <w:szCs w:val="18"/>
              </w:rPr>
              <w:t xml:space="preserve"> and 95</w:t>
            </w:r>
            <w:r w:rsidRPr="00EE4F4F">
              <w:rPr>
                <w:sz w:val="18"/>
                <w:szCs w:val="18"/>
                <w:vertAlign w:val="superscript"/>
              </w:rPr>
              <w:t>th</w:t>
            </w:r>
            <w:r>
              <w:rPr>
                <w:sz w:val="18"/>
                <w:szCs w:val="18"/>
              </w:rPr>
              <w:t xml:space="preserve"> percentile payment times</w:t>
            </w:r>
            <w:r w:rsidDel="00506F24">
              <w:t xml:space="preserve"> </w:t>
            </w:r>
          </w:p>
        </w:tc>
        <w:tc>
          <w:tcPr>
            <w:tcW w:w="5239" w:type="dxa"/>
          </w:tcPr>
          <w:p w14:paraId="6BA27945" w14:textId="492E11CF" w:rsidR="00CA7B25" w:rsidRDefault="006E30B6" w:rsidP="008131B7">
            <w:pPr>
              <w:spacing w:before="60" w:after="60" w:line="264" w:lineRule="auto"/>
            </w:pPr>
            <w:r>
              <w:t>Clarified</w:t>
            </w:r>
            <w:r w:rsidR="00C406B4">
              <w:t xml:space="preserve"> that the SBTCP Dataset is to be used in </w:t>
            </w:r>
            <w:r w:rsidR="00F06FA3">
              <w:t xml:space="preserve">calculating the </w:t>
            </w:r>
            <w:r w:rsidR="0019241C">
              <w:t>median payment time</w:t>
            </w:r>
            <w:r w:rsidR="008D5279">
              <w:t xml:space="preserve"> and the</w:t>
            </w:r>
            <w:r w:rsidR="0019241C">
              <w:t xml:space="preserve"> 80</w:t>
            </w:r>
            <w:r w:rsidR="0019241C" w:rsidRPr="0019241C">
              <w:rPr>
                <w:vertAlign w:val="superscript"/>
              </w:rPr>
              <w:t>th</w:t>
            </w:r>
            <w:r w:rsidR="0019241C">
              <w:t xml:space="preserve"> and 95</w:t>
            </w:r>
            <w:r w:rsidR="0019241C" w:rsidRPr="0019241C">
              <w:rPr>
                <w:vertAlign w:val="superscript"/>
              </w:rPr>
              <w:t>th</w:t>
            </w:r>
            <w:r w:rsidR="0019241C">
              <w:t xml:space="preserve"> percentile</w:t>
            </w:r>
            <w:r w:rsidR="00D25522">
              <w:t xml:space="preserve"> </w:t>
            </w:r>
            <w:r w:rsidR="00057EDB">
              <w:t xml:space="preserve">payment </w:t>
            </w:r>
            <w:proofErr w:type="gramStart"/>
            <w:r w:rsidR="00057EDB">
              <w:t>times</w:t>
            </w:r>
            <w:proofErr w:type="gramEnd"/>
          </w:p>
          <w:p w14:paraId="1C48F725" w14:textId="42389E50" w:rsidR="00057EDB" w:rsidRDefault="001B10C8" w:rsidP="008131B7">
            <w:pPr>
              <w:spacing w:before="60" w:after="60" w:line="264" w:lineRule="auto"/>
            </w:pPr>
            <w:r>
              <w:t>Clarified</w:t>
            </w:r>
            <w:r w:rsidR="00057EDB">
              <w:t xml:space="preserve"> how the 80</w:t>
            </w:r>
            <w:r w:rsidR="00057EDB" w:rsidRPr="00A36B70">
              <w:rPr>
                <w:vertAlign w:val="superscript"/>
              </w:rPr>
              <w:t>th</w:t>
            </w:r>
            <w:r w:rsidR="00057EDB">
              <w:t xml:space="preserve"> and 95</w:t>
            </w:r>
            <w:r w:rsidR="00057EDB" w:rsidRPr="00A36B70">
              <w:rPr>
                <w:vertAlign w:val="superscript"/>
              </w:rPr>
              <w:t>th</w:t>
            </w:r>
            <w:r w:rsidR="00057EDB">
              <w:t xml:space="preserve"> percentile payment times are to be calculated.</w:t>
            </w:r>
          </w:p>
          <w:p w14:paraId="3F984143" w14:textId="1CD5747F" w:rsidR="00CA7B25" w:rsidRDefault="00057EDB" w:rsidP="008131B7">
            <w:pPr>
              <w:spacing w:before="60" w:after="60" w:line="264" w:lineRule="auto"/>
            </w:pPr>
            <w:r>
              <w:t>Added an example to demonstrate how to calculate the 80</w:t>
            </w:r>
            <w:r w:rsidRPr="00A36B70">
              <w:rPr>
                <w:vertAlign w:val="superscript"/>
              </w:rPr>
              <w:t>th</w:t>
            </w:r>
            <w:r>
              <w:t xml:space="preserve"> and 95</w:t>
            </w:r>
            <w:r w:rsidRPr="00A36B70">
              <w:rPr>
                <w:vertAlign w:val="superscript"/>
              </w:rPr>
              <w:t>th</w:t>
            </w:r>
            <w:r>
              <w:t xml:space="preserve"> percentile payment times.</w:t>
            </w:r>
          </w:p>
        </w:tc>
      </w:tr>
      <w:tr w:rsidR="00A36B70" w14:paraId="77410867" w14:textId="77777777" w:rsidTr="006A058E">
        <w:tc>
          <w:tcPr>
            <w:tcW w:w="3823" w:type="dxa"/>
          </w:tcPr>
          <w:p w14:paraId="3A1A59B8" w14:textId="72840513" w:rsidR="0044405E" w:rsidRDefault="0044405E" w:rsidP="008131B7">
            <w:pPr>
              <w:spacing w:before="60" w:after="60" w:line="264" w:lineRule="auto"/>
            </w:pPr>
            <w:r w:rsidRPr="00EE4F4F">
              <w:rPr>
                <w:b/>
                <w:bCs/>
              </w:rPr>
              <w:t>What to report:</w:t>
            </w:r>
            <w:r>
              <w:t xml:space="preserve"> Step 4: Complete the Payment Times Report – </w:t>
            </w:r>
            <w:r w:rsidR="001B56A2" w:rsidRPr="005759D1">
              <w:t xml:space="preserve">Other </w:t>
            </w:r>
            <w:r w:rsidRPr="005759D1">
              <w:t xml:space="preserve">Payment </w:t>
            </w:r>
            <w:r w:rsidR="001B56A2" w:rsidRPr="005759D1">
              <w:t>Practices</w:t>
            </w:r>
          </w:p>
          <w:p w14:paraId="2F14B7D7" w14:textId="09E9EFDB" w:rsidR="00A36B70" w:rsidRDefault="0044405E" w:rsidP="008131B7">
            <w:pPr>
              <w:pStyle w:val="ListParagraph"/>
              <w:numPr>
                <w:ilvl w:val="0"/>
                <w:numId w:val="22"/>
              </w:numPr>
              <w:spacing w:before="60" w:after="60" w:line="264" w:lineRule="auto"/>
              <w:jc w:val="left"/>
            </w:pPr>
            <w:r>
              <w:rPr>
                <w:sz w:val="18"/>
                <w:szCs w:val="18"/>
              </w:rPr>
              <w:t xml:space="preserve">Percentage </w:t>
            </w:r>
            <w:r w:rsidR="0092511F" w:rsidRPr="006A058E">
              <w:rPr>
                <w:sz w:val="18"/>
                <w:szCs w:val="18"/>
              </w:rPr>
              <w:t>of small business procurement</w:t>
            </w:r>
          </w:p>
        </w:tc>
        <w:tc>
          <w:tcPr>
            <w:tcW w:w="5239" w:type="dxa"/>
          </w:tcPr>
          <w:p w14:paraId="48DD9244" w14:textId="5EF9E4D4" w:rsidR="00A36B70" w:rsidRDefault="0044405E" w:rsidP="008131B7">
            <w:pPr>
              <w:spacing w:before="60" w:after="60" w:line="264" w:lineRule="auto"/>
            </w:pPr>
            <w:r>
              <w:t>Amended text to</w:t>
            </w:r>
            <w:r w:rsidR="00333966">
              <w:t xml:space="preserve"> </w:t>
            </w:r>
            <w:r>
              <w:t>correct</w:t>
            </w:r>
            <w:r w:rsidR="00333966">
              <w:t xml:space="preserve"> the calculation of the percentage of small business procurement</w:t>
            </w:r>
            <w:r>
              <w:t>,</w:t>
            </w:r>
            <w:r w:rsidR="00333966">
              <w:t xml:space="preserve"> to include partial payments to Australian small businesses</w:t>
            </w:r>
            <w:r w:rsidR="00097413">
              <w:t>.</w:t>
            </w:r>
          </w:p>
        </w:tc>
      </w:tr>
      <w:tr w:rsidR="00333966" w14:paraId="745DF775" w14:textId="77777777" w:rsidTr="006A058E">
        <w:tc>
          <w:tcPr>
            <w:tcW w:w="3823" w:type="dxa"/>
          </w:tcPr>
          <w:p w14:paraId="320B2E3C" w14:textId="0C3B9679" w:rsidR="00D30CC0" w:rsidRDefault="00D30CC0" w:rsidP="008131B7">
            <w:pPr>
              <w:spacing w:before="60" w:after="60" w:line="264" w:lineRule="auto"/>
            </w:pPr>
            <w:r w:rsidRPr="00EE4F4F">
              <w:rPr>
                <w:b/>
                <w:bCs/>
              </w:rPr>
              <w:t>What to report:</w:t>
            </w:r>
            <w:r>
              <w:t xml:space="preserve"> Step 4: Complete the Payment Times Report – </w:t>
            </w:r>
            <w:r w:rsidR="001B56A2" w:rsidRPr="005759D1">
              <w:t xml:space="preserve">Other </w:t>
            </w:r>
            <w:r w:rsidRPr="005759D1">
              <w:t xml:space="preserve">Payment </w:t>
            </w:r>
            <w:r w:rsidR="001B56A2" w:rsidRPr="005759D1">
              <w:t>Practices</w:t>
            </w:r>
          </w:p>
          <w:p w14:paraId="5B5498F7" w14:textId="261DA1E7" w:rsidR="00333966" w:rsidRDefault="00D30CC0" w:rsidP="008131B7">
            <w:pPr>
              <w:pStyle w:val="ListParagraph"/>
              <w:numPr>
                <w:ilvl w:val="0"/>
                <w:numId w:val="22"/>
              </w:numPr>
              <w:spacing w:before="60" w:after="60" w:line="264" w:lineRule="auto"/>
              <w:jc w:val="left"/>
            </w:pPr>
            <w:r w:rsidRPr="00D30CC0">
              <w:rPr>
                <w:sz w:val="18"/>
                <w:szCs w:val="18"/>
              </w:rPr>
              <w:t xml:space="preserve">Offers supply chain finance </w:t>
            </w:r>
          </w:p>
        </w:tc>
        <w:tc>
          <w:tcPr>
            <w:tcW w:w="5239" w:type="dxa"/>
          </w:tcPr>
          <w:p w14:paraId="577D1365" w14:textId="3BA697BC" w:rsidR="00333966" w:rsidRDefault="001B10C8" w:rsidP="008131B7">
            <w:pPr>
              <w:spacing w:before="60" w:after="60" w:line="264" w:lineRule="auto"/>
            </w:pPr>
            <w:r>
              <w:t>Clarified</w:t>
            </w:r>
            <w:r w:rsidR="00F95AB1">
              <w:t xml:space="preserve"> that calculation of supply chain finance is </w:t>
            </w:r>
            <w:r>
              <w:t xml:space="preserve">not </w:t>
            </w:r>
            <w:r w:rsidR="00F95AB1">
              <w:t>necessary.</w:t>
            </w:r>
          </w:p>
        </w:tc>
      </w:tr>
      <w:tr w:rsidR="00FF7927" w14:paraId="27AE2EDA" w14:textId="77777777" w:rsidTr="006A058E">
        <w:tc>
          <w:tcPr>
            <w:tcW w:w="3823" w:type="dxa"/>
          </w:tcPr>
          <w:p w14:paraId="490DAB8F" w14:textId="0CCA5D72" w:rsidR="00FF7927" w:rsidRDefault="00FF7927" w:rsidP="008131B7">
            <w:pPr>
              <w:spacing w:before="60" w:after="60" w:line="264" w:lineRule="auto"/>
            </w:pPr>
            <w:r w:rsidRPr="00EE4F4F">
              <w:rPr>
                <w:b/>
                <w:bCs/>
              </w:rPr>
              <w:t>What to report:</w:t>
            </w:r>
            <w:r>
              <w:t xml:space="preserve"> Step 4: Complete the Payment Times Report – </w:t>
            </w:r>
            <w:r w:rsidR="001B56A2" w:rsidRPr="005759D1">
              <w:t>Contextual Information</w:t>
            </w:r>
            <w:r w:rsidRPr="005759D1">
              <w:t xml:space="preserve"> and </w:t>
            </w:r>
            <w:r w:rsidR="001B56A2" w:rsidRPr="005759D1">
              <w:t>Approvals</w:t>
            </w:r>
          </w:p>
          <w:p w14:paraId="58220643" w14:textId="149F586E" w:rsidR="00FF7927" w:rsidRPr="00EE4F4F" w:rsidRDefault="00FF7927" w:rsidP="008131B7">
            <w:pPr>
              <w:pStyle w:val="ListParagraph"/>
              <w:numPr>
                <w:ilvl w:val="0"/>
                <w:numId w:val="22"/>
              </w:numPr>
              <w:spacing w:before="60" w:after="60" w:line="264" w:lineRule="auto"/>
              <w:jc w:val="left"/>
              <w:rPr>
                <w:b/>
                <w:bCs/>
              </w:rPr>
            </w:pPr>
            <w:r>
              <w:rPr>
                <w:sz w:val="18"/>
                <w:szCs w:val="18"/>
              </w:rPr>
              <w:t>Report Comments</w:t>
            </w:r>
            <w:r w:rsidRPr="00D30CC0">
              <w:rPr>
                <w:sz w:val="18"/>
                <w:szCs w:val="18"/>
              </w:rPr>
              <w:t xml:space="preserve"> </w:t>
            </w:r>
          </w:p>
        </w:tc>
        <w:tc>
          <w:tcPr>
            <w:tcW w:w="5239" w:type="dxa"/>
          </w:tcPr>
          <w:p w14:paraId="2C572EE1" w14:textId="1D2EAD25" w:rsidR="00FF7927" w:rsidRDefault="001B10C8" w:rsidP="008131B7">
            <w:pPr>
              <w:spacing w:before="60" w:after="60" w:line="264" w:lineRule="auto"/>
            </w:pPr>
            <w:r>
              <w:t>Clarified</w:t>
            </w:r>
            <w:r w:rsidR="008C67F8" w:rsidRPr="008C67F8">
              <w:t xml:space="preserve"> the type of information to be included under report comments</w:t>
            </w:r>
            <w:r w:rsidR="001C6F9F">
              <w:t>.</w:t>
            </w:r>
          </w:p>
        </w:tc>
      </w:tr>
      <w:tr w:rsidR="00F95AB1" w14:paraId="54322B31" w14:textId="77777777" w:rsidTr="006A058E">
        <w:tc>
          <w:tcPr>
            <w:tcW w:w="3823" w:type="dxa"/>
          </w:tcPr>
          <w:p w14:paraId="01998F9D" w14:textId="6B09EC54" w:rsidR="00D30CC0" w:rsidRDefault="00D30CC0" w:rsidP="008131B7">
            <w:pPr>
              <w:spacing w:before="60" w:after="60" w:line="264" w:lineRule="auto"/>
            </w:pPr>
            <w:r w:rsidRPr="00EE4F4F">
              <w:rPr>
                <w:b/>
                <w:bCs/>
              </w:rPr>
              <w:t>What to report:</w:t>
            </w:r>
            <w:r>
              <w:t xml:space="preserve"> Step 4: Complete the Payment Times Report – </w:t>
            </w:r>
            <w:r w:rsidR="001B56A2" w:rsidRPr="005759D1">
              <w:t>Contextual Information</w:t>
            </w:r>
            <w:r w:rsidRPr="005759D1">
              <w:t xml:space="preserve"> and </w:t>
            </w:r>
            <w:r w:rsidR="001B56A2" w:rsidRPr="005759D1">
              <w:t>Approvals</w:t>
            </w:r>
          </w:p>
          <w:p w14:paraId="3916C206" w14:textId="461915EF" w:rsidR="00F95AB1" w:rsidRDefault="00F95AB1" w:rsidP="008131B7">
            <w:pPr>
              <w:pStyle w:val="ListParagraph"/>
              <w:numPr>
                <w:ilvl w:val="0"/>
                <w:numId w:val="22"/>
              </w:numPr>
              <w:spacing w:before="60" w:after="60" w:line="264" w:lineRule="auto"/>
              <w:jc w:val="left"/>
            </w:pPr>
            <w:r w:rsidRPr="006A058E">
              <w:rPr>
                <w:sz w:val="18"/>
                <w:szCs w:val="18"/>
              </w:rPr>
              <w:t>Report Approval</w:t>
            </w:r>
          </w:p>
        </w:tc>
        <w:tc>
          <w:tcPr>
            <w:tcW w:w="5239" w:type="dxa"/>
          </w:tcPr>
          <w:p w14:paraId="391E2304" w14:textId="54553949" w:rsidR="00F95AB1" w:rsidRDefault="00F3419C" w:rsidP="008131B7">
            <w:pPr>
              <w:spacing w:before="60" w:after="60" w:line="264" w:lineRule="auto"/>
            </w:pPr>
            <w:r>
              <w:t>Added</w:t>
            </w:r>
            <w:r w:rsidR="00F6478D">
              <w:t xml:space="preserve"> a new paragraph </w:t>
            </w:r>
            <w:r w:rsidR="001B10C8">
              <w:t xml:space="preserve">to improve </w:t>
            </w:r>
            <w:r>
              <w:t xml:space="preserve">clarity </w:t>
            </w:r>
            <w:r w:rsidR="004D550F">
              <w:t>regarding</w:t>
            </w:r>
            <w:r>
              <w:t xml:space="preserve"> who can be a responsible member approving the report</w:t>
            </w:r>
            <w:r w:rsidR="00493F4D">
              <w:t>.</w:t>
            </w:r>
          </w:p>
        </w:tc>
      </w:tr>
      <w:tr w:rsidR="00F3419C" w14:paraId="1963E7C1" w14:textId="77777777" w:rsidTr="006A058E">
        <w:tc>
          <w:tcPr>
            <w:tcW w:w="3823" w:type="dxa"/>
          </w:tcPr>
          <w:p w14:paraId="1CD6579B" w14:textId="78262D3D" w:rsidR="00F3419C" w:rsidRDefault="004D550F" w:rsidP="008131B7">
            <w:pPr>
              <w:spacing w:before="60" w:after="60" w:line="264" w:lineRule="auto"/>
            </w:pPr>
            <w:r w:rsidRPr="00EE4F4F">
              <w:rPr>
                <w:b/>
                <w:bCs/>
              </w:rPr>
              <w:t>What to report:</w:t>
            </w:r>
            <w:r>
              <w:t xml:space="preserve"> Step 4: Complete the Payment Times Report – Additional Reporting requirements –</w:t>
            </w:r>
            <w:r w:rsidR="009A39E4">
              <w:t xml:space="preserve"> </w:t>
            </w:r>
            <w:r w:rsidRPr="006A058E">
              <w:rPr>
                <w:i/>
                <w:iCs/>
              </w:rPr>
              <w:t>‘</w:t>
            </w:r>
            <w:r w:rsidR="009A39E4" w:rsidRPr="006A058E">
              <w:rPr>
                <w:i/>
                <w:iCs/>
              </w:rPr>
              <w:t>Operating Segments</w:t>
            </w:r>
            <w:r w:rsidRPr="006A058E">
              <w:rPr>
                <w:i/>
                <w:iCs/>
              </w:rPr>
              <w:t>’</w:t>
            </w:r>
          </w:p>
        </w:tc>
        <w:tc>
          <w:tcPr>
            <w:tcW w:w="5239" w:type="dxa"/>
          </w:tcPr>
          <w:p w14:paraId="5CBF90BB" w14:textId="7EF5052D" w:rsidR="00F3419C" w:rsidRDefault="001B10C8" w:rsidP="008131B7">
            <w:pPr>
              <w:spacing w:before="60" w:after="60" w:line="264" w:lineRule="auto"/>
            </w:pPr>
            <w:r>
              <w:t>Clarified</w:t>
            </w:r>
            <w:r w:rsidR="009A39E4">
              <w:t xml:space="preserve"> how reporting for Operating Segments is to be completed.</w:t>
            </w:r>
          </w:p>
          <w:p w14:paraId="65EB9299" w14:textId="50017981" w:rsidR="009A39E4" w:rsidRDefault="001B10C8" w:rsidP="008131B7">
            <w:pPr>
              <w:spacing w:before="60" w:after="60" w:line="264" w:lineRule="auto"/>
            </w:pPr>
            <w:r>
              <w:t>Clarified the</w:t>
            </w:r>
            <w:r w:rsidR="00D95945">
              <w:t xml:space="preserve"> examples covering payments not attributable to an operating segment and </w:t>
            </w:r>
            <w:r w:rsidR="00DD77BD">
              <w:t xml:space="preserve">a </w:t>
            </w:r>
            <w:r w:rsidR="00D95945">
              <w:t>nil report fo</w:t>
            </w:r>
            <w:r w:rsidR="00D50052">
              <w:t>r an operating segment</w:t>
            </w:r>
          </w:p>
        </w:tc>
      </w:tr>
      <w:tr w:rsidR="00D50052" w14:paraId="3C12BEE4" w14:textId="77777777" w:rsidTr="006A058E">
        <w:tc>
          <w:tcPr>
            <w:tcW w:w="3823" w:type="dxa"/>
          </w:tcPr>
          <w:p w14:paraId="1D305A49" w14:textId="20C0F396" w:rsidR="00D50052" w:rsidRDefault="0063019D" w:rsidP="008131B7">
            <w:pPr>
              <w:spacing w:before="60" w:after="60" w:line="264" w:lineRule="auto"/>
            </w:pPr>
            <w:r w:rsidRPr="00EE4F4F">
              <w:rPr>
                <w:b/>
                <w:bCs/>
              </w:rPr>
              <w:t>What to report:</w:t>
            </w:r>
            <w:r>
              <w:t xml:space="preserve"> Step 4: Complete the Payment Times Report – Additional Reporting requirements – </w:t>
            </w:r>
            <w:r w:rsidRPr="00EE4F4F">
              <w:rPr>
                <w:i/>
                <w:iCs/>
              </w:rPr>
              <w:t>‘</w:t>
            </w:r>
            <w:r w:rsidR="00530B60" w:rsidRPr="006A058E">
              <w:rPr>
                <w:i/>
                <w:iCs/>
              </w:rPr>
              <w:t>Subsidiary Reporting</w:t>
            </w:r>
            <w:r>
              <w:rPr>
                <w:i/>
                <w:iCs/>
              </w:rPr>
              <w:t>’</w:t>
            </w:r>
          </w:p>
        </w:tc>
        <w:tc>
          <w:tcPr>
            <w:tcW w:w="5239" w:type="dxa"/>
          </w:tcPr>
          <w:p w14:paraId="63046E92" w14:textId="3472A34C" w:rsidR="00D50052" w:rsidRDefault="00530B60" w:rsidP="008131B7">
            <w:pPr>
              <w:spacing w:before="60" w:after="60" w:line="264" w:lineRule="auto"/>
            </w:pPr>
            <w:r>
              <w:t>Removed Subsidiary Reporting paragraph from this section of the Guidance</w:t>
            </w:r>
            <w:r w:rsidR="00FD77DE">
              <w:t xml:space="preserve">. Subsidiary Reporting Entities </w:t>
            </w:r>
            <w:r w:rsidR="004B1846">
              <w:t xml:space="preserve">do </w:t>
            </w:r>
            <w:r w:rsidR="000310E0">
              <w:t xml:space="preserve">not </w:t>
            </w:r>
            <w:r w:rsidR="00FD77DE">
              <w:t>have additional reporting requirements</w:t>
            </w:r>
            <w:r w:rsidR="00F90F7A">
              <w:t xml:space="preserve"> within a </w:t>
            </w:r>
            <w:r w:rsidR="0063019D">
              <w:t xml:space="preserve">payment times </w:t>
            </w:r>
            <w:r w:rsidR="00F90F7A">
              <w:t>report. A Subsidiary Reporting Entity</w:t>
            </w:r>
            <w:r w:rsidR="00DB0263">
              <w:t xml:space="preserve"> only needs to provide additional </w:t>
            </w:r>
            <w:r w:rsidR="004879BB">
              <w:t>E</w:t>
            </w:r>
            <w:r w:rsidR="00DB0263">
              <w:t xml:space="preserve">ntity </w:t>
            </w:r>
            <w:r w:rsidR="004879BB">
              <w:t>I</w:t>
            </w:r>
            <w:r w:rsidR="00DB0263">
              <w:t xml:space="preserve">nformation which is </w:t>
            </w:r>
            <w:r w:rsidR="004879BB">
              <w:t>covered in an earlier section of the Guidance.</w:t>
            </w:r>
          </w:p>
        </w:tc>
      </w:tr>
      <w:tr w:rsidR="00EE43DE" w14:paraId="61B3F5BA" w14:textId="77777777" w:rsidTr="006A058E">
        <w:tc>
          <w:tcPr>
            <w:tcW w:w="3823" w:type="dxa"/>
          </w:tcPr>
          <w:p w14:paraId="2372E8BF" w14:textId="5F826797" w:rsidR="00EE43DE" w:rsidRDefault="0033753F" w:rsidP="008131B7">
            <w:pPr>
              <w:spacing w:before="60" w:after="60" w:line="264" w:lineRule="auto"/>
            </w:pPr>
            <w:r w:rsidRPr="006A058E">
              <w:rPr>
                <w:b/>
              </w:rPr>
              <w:t>What to report:</w:t>
            </w:r>
            <w:r>
              <w:t xml:space="preserve"> Record Keeping</w:t>
            </w:r>
          </w:p>
        </w:tc>
        <w:tc>
          <w:tcPr>
            <w:tcW w:w="5239" w:type="dxa"/>
          </w:tcPr>
          <w:p w14:paraId="0A57B47E" w14:textId="57864FFB" w:rsidR="00EE43DE" w:rsidRDefault="0033753F" w:rsidP="008131B7">
            <w:pPr>
              <w:spacing w:before="60" w:after="60" w:line="264" w:lineRule="auto"/>
            </w:pPr>
            <w:r>
              <w:t xml:space="preserve">Moved </w:t>
            </w:r>
            <w:r w:rsidR="00795074">
              <w:t xml:space="preserve">from ‘Step 5’ of </w:t>
            </w:r>
            <w:r w:rsidR="009E44F1">
              <w:t>preparing a report</w:t>
            </w:r>
            <w:r w:rsidR="00795074">
              <w:t xml:space="preserve"> </w:t>
            </w:r>
            <w:r>
              <w:t>to more appropriate section of Guidance</w:t>
            </w:r>
            <w:r w:rsidR="009E44F1">
              <w:t>,</w:t>
            </w:r>
            <w:r w:rsidR="00B36997">
              <w:t xml:space="preserve"> as </w:t>
            </w:r>
            <w:r w:rsidR="009E44F1">
              <w:t>it</w:t>
            </w:r>
            <w:r w:rsidR="002C7315">
              <w:t>s own standalone sub-section.</w:t>
            </w:r>
          </w:p>
        </w:tc>
      </w:tr>
      <w:tr w:rsidR="0033753F" w14:paraId="4C8BC8FB" w14:textId="77777777" w:rsidTr="006A058E">
        <w:tc>
          <w:tcPr>
            <w:tcW w:w="3823" w:type="dxa"/>
          </w:tcPr>
          <w:p w14:paraId="5208D7FA" w14:textId="7F7561BE" w:rsidR="0033753F" w:rsidRPr="006A058E" w:rsidRDefault="007D7B18" w:rsidP="008131B7">
            <w:pPr>
              <w:spacing w:before="60" w:after="60" w:line="264" w:lineRule="auto"/>
              <w:rPr>
                <w:b/>
              </w:rPr>
            </w:pPr>
            <w:r w:rsidRPr="006A058E">
              <w:rPr>
                <w:b/>
              </w:rPr>
              <w:t>Applications</w:t>
            </w:r>
            <w:r w:rsidR="002D6EE8">
              <w:rPr>
                <w:b/>
                <w:bCs/>
              </w:rPr>
              <w:t xml:space="preserve">: </w:t>
            </w:r>
            <w:r w:rsidR="002D6EE8" w:rsidRPr="006A058E">
              <w:t>Fees</w:t>
            </w:r>
          </w:p>
        </w:tc>
        <w:tc>
          <w:tcPr>
            <w:tcW w:w="5239" w:type="dxa"/>
          </w:tcPr>
          <w:p w14:paraId="03C02382" w14:textId="77777777" w:rsidR="0033753F" w:rsidRDefault="007D7B18" w:rsidP="008131B7">
            <w:pPr>
              <w:spacing w:before="60" w:after="60" w:line="264" w:lineRule="auto"/>
            </w:pPr>
            <w:r>
              <w:t xml:space="preserve">Removed Note for </w:t>
            </w:r>
            <w:r w:rsidR="00B405DC">
              <w:t>Exposure Draft</w:t>
            </w:r>
            <w:r w:rsidR="005E4399">
              <w:t xml:space="preserve"> about fees</w:t>
            </w:r>
            <w:r w:rsidR="002404E0">
              <w:t>.</w:t>
            </w:r>
          </w:p>
          <w:p w14:paraId="385268D0" w14:textId="688D229E" w:rsidR="006305FD" w:rsidRDefault="006305FD" w:rsidP="008131B7">
            <w:pPr>
              <w:spacing w:before="60" w:after="60" w:line="264" w:lineRule="auto"/>
            </w:pPr>
            <w:r>
              <w:t xml:space="preserve">Added </w:t>
            </w:r>
            <w:r w:rsidR="001930F8">
              <w:t xml:space="preserve">paragraph </w:t>
            </w:r>
            <w:r w:rsidR="00D801CB">
              <w:t xml:space="preserve">to </w:t>
            </w:r>
            <w:r w:rsidR="001B10C8">
              <w:t>improve</w:t>
            </w:r>
            <w:r w:rsidR="00D801CB">
              <w:t xml:space="preserve"> clarity</w:t>
            </w:r>
            <w:r w:rsidR="00185754">
              <w:t xml:space="preserve"> that fees </w:t>
            </w:r>
            <w:r w:rsidR="004F2816">
              <w:t xml:space="preserve">will not be charged for applications submitted </w:t>
            </w:r>
            <w:r w:rsidR="00F847B1">
              <w:t>prior to 1 July 2025</w:t>
            </w:r>
          </w:p>
        </w:tc>
      </w:tr>
      <w:tr w:rsidR="005E4399" w14:paraId="6BD9D20B" w14:textId="77777777" w:rsidTr="006A058E">
        <w:tc>
          <w:tcPr>
            <w:tcW w:w="3823" w:type="dxa"/>
          </w:tcPr>
          <w:p w14:paraId="72F57E72" w14:textId="0D448355" w:rsidR="005E4399" w:rsidRDefault="0017438A" w:rsidP="008131B7">
            <w:pPr>
              <w:spacing w:before="60" w:after="60" w:line="264" w:lineRule="auto"/>
            </w:pPr>
            <w:r w:rsidRPr="006A058E">
              <w:rPr>
                <w:b/>
              </w:rPr>
              <w:lastRenderedPageBreak/>
              <w:t>Fast and Slow Small Business Payers</w:t>
            </w:r>
            <w:r>
              <w:t>: Slow Small Business Payers – Reporting Cycles</w:t>
            </w:r>
          </w:p>
        </w:tc>
        <w:tc>
          <w:tcPr>
            <w:tcW w:w="5239" w:type="dxa"/>
          </w:tcPr>
          <w:p w14:paraId="30751E37" w14:textId="53644F9A" w:rsidR="008D026A" w:rsidRDefault="001E6F91" w:rsidP="008131B7">
            <w:pPr>
              <w:spacing w:before="60" w:after="60" w:line="264" w:lineRule="auto"/>
            </w:pPr>
            <w:r>
              <w:t>Amended</w:t>
            </w:r>
            <w:r w:rsidR="004E346A">
              <w:t xml:space="preserve"> text relating to</w:t>
            </w:r>
            <w:r w:rsidR="006E70A7">
              <w:t xml:space="preserve"> </w:t>
            </w:r>
            <w:r w:rsidR="006C375B">
              <w:t xml:space="preserve">what </w:t>
            </w:r>
            <w:r w:rsidR="0029242A">
              <w:t>a 95</w:t>
            </w:r>
            <w:r w:rsidR="0029242A" w:rsidRPr="006A058E">
              <w:rPr>
                <w:vertAlign w:val="superscript"/>
              </w:rPr>
              <w:t>th</w:t>
            </w:r>
            <w:r w:rsidR="0029242A">
              <w:t xml:space="preserve"> percentile time is, </w:t>
            </w:r>
            <w:r w:rsidR="00F7172F">
              <w:t>as it was considered unnecessary</w:t>
            </w:r>
            <w:r w:rsidR="00990FF9">
              <w:t>.</w:t>
            </w:r>
          </w:p>
          <w:p w14:paraId="4F00C6DC" w14:textId="10AB5FB8" w:rsidR="005E4399" w:rsidRDefault="00C55542" w:rsidP="008131B7">
            <w:pPr>
              <w:spacing w:before="60" w:after="60" w:line="264" w:lineRule="auto"/>
            </w:pPr>
            <w:r>
              <w:t xml:space="preserve">Added </w:t>
            </w:r>
            <w:r w:rsidR="00022CE1">
              <w:t>an</w:t>
            </w:r>
            <w:r>
              <w:t xml:space="preserve"> example for Conventional Financial </w:t>
            </w:r>
            <w:r w:rsidR="00082BA5">
              <w:t>Y</w:t>
            </w:r>
            <w:r>
              <w:t>ears</w:t>
            </w:r>
            <w:r w:rsidR="00022CE1">
              <w:t>,</w:t>
            </w:r>
            <w:r>
              <w:t xml:space="preserve"> </w:t>
            </w:r>
            <w:r w:rsidR="001B10C8">
              <w:t xml:space="preserve">to </w:t>
            </w:r>
            <w:r>
              <w:t>clari</w:t>
            </w:r>
            <w:r w:rsidR="001B10C8">
              <w:t>f</w:t>
            </w:r>
            <w:r>
              <w:t xml:space="preserve">y which reporting cycle </w:t>
            </w:r>
            <w:r w:rsidR="00082BA5">
              <w:t>certain periods fall into</w:t>
            </w:r>
            <w:r w:rsidR="0044514B">
              <w:t>.</w:t>
            </w:r>
            <w:r w:rsidR="00F72701">
              <w:t xml:space="preserve"> </w:t>
            </w:r>
          </w:p>
        </w:tc>
      </w:tr>
      <w:tr w:rsidR="00082BA5" w14:paraId="0439821C" w14:textId="77777777" w:rsidTr="006A058E">
        <w:tc>
          <w:tcPr>
            <w:tcW w:w="3823" w:type="dxa"/>
          </w:tcPr>
          <w:p w14:paraId="70D74107" w14:textId="164FF682" w:rsidR="00082BA5" w:rsidRDefault="00082BA5" w:rsidP="008131B7">
            <w:pPr>
              <w:spacing w:before="60" w:after="60" w:line="264" w:lineRule="auto"/>
            </w:pPr>
            <w:r w:rsidRPr="006A058E">
              <w:rPr>
                <w:b/>
              </w:rPr>
              <w:t>Fast and Slow Small Business Payers</w:t>
            </w:r>
            <w:r>
              <w:t>: Slow Small Business Payers – Duration of Slow Small Business Payer Direction</w:t>
            </w:r>
          </w:p>
        </w:tc>
        <w:tc>
          <w:tcPr>
            <w:tcW w:w="5239" w:type="dxa"/>
          </w:tcPr>
          <w:p w14:paraId="0CE69046" w14:textId="646AB65B" w:rsidR="00082BA5" w:rsidRDefault="00082BA5" w:rsidP="008131B7">
            <w:pPr>
              <w:spacing w:before="60" w:after="60" w:line="264" w:lineRule="auto"/>
            </w:pPr>
            <w:r>
              <w:t>Added paragraph</w:t>
            </w:r>
            <w:r w:rsidR="00D97A31">
              <w:t>s</w:t>
            </w:r>
            <w:r>
              <w:t xml:space="preserve"> to </w:t>
            </w:r>
            <w:r w:rsidR="0044514B">
              <w:t>clarify</w:t>
            </w:r>
            <w:r w:rsidR="008B48B6">
              <w:t xml:space="preserve"> the duration of a </w:t>
            </w:r>
            <w:r w:rsidR="00B81544">
              <w:t>Slow Small Business Payer Direction</w:t>
            </w:r>
            <w:r w:rsidR="006D4C88">
              <w:t xml:space="preserve">, </w:t>
            </w:r>
            <w:r w:rsidR="00E6416A">
              <w:t>as well as</w:t>
            </w:r>
            <w:r w:rsidR="00F709AC">
              <w:t xml:space="preserve"> </w:t>
            </w:r>
            <w:r w:rsidR="003C1827">
              <w:t xml:space="preserve">the publication of </w:t>
            </w:r>
            <w:r w:rsidR="006674F4">
              <w:t>related</w:t>
            </w:r>
            <w:r w:rsidR="00E6416A">
              <w:t xml:space="preserve"> information on the Register</w:t>
            </w:r>
          </w:p>
        </w:tc>
      </w:tr>
      <w:tr w:rsidR="00B81544" w14:paraId="3C514159" w14:textId="77777777" w:rsidTr="006A058E">
        <w:tc>
          <w:tcPr>
            <w:tcW w:w="3823" w:type="dxa"/>
          </w:tcPr>
          <w:p w14:paraId="78A90DB8" w14:textId="27FAA39A" w:rsidR="00B81544" w:rsidRDefault="00B81544" w:rsidP="008131B7">
            <w:pPr>
              <w:spacing w:before="60" w:after="60" w:line="264" w:lineRule="auto"/>
            </w:pPr>
            <w:r w:rsidRPr="006A058E">
              <w:rPr>
                <w:b/>
              </w:rPr>
              <w:t>Fast and Slow Small Business Payers</w:t>
            </w:r>
            <w:r>
              <w:t xml:space="preserve">: </w:t>
            </w:r>
            <w:r w:rsidR="00FA5203">
              <w:t xml:space="preserve">Fast </w:t>
            </w:r>
            <w:r>
              <w:t xml:space="preserve">Small Business Payers – </w:t>
            </w:r>
            <w:r w:rsidR="007663B9">
              <w:t>What is a Fast Small Business Payer</w:t>
            </w:r>
          </w:p>
        </w:tc>
        <w:tc>
          <w:tcPr>
            <w:tcW w:w="5239" w:type="dxa"/>
          </w:tcPr>
          <w:p w14:paraId="088047DB" w14:textId="4264FBAF" w:rsidR="00B81544" w:rsidRDefault="0044514B" w:rsidP="008131B7">
            <w:pPr>
              <w:spacing w:before="60" w:after="60" w:line="264" w:lineRule="auto"/>
            </w:pPr>
            <w:r>
              <w:t>Clarified</w:t>
            </w:r>
            <w:r w:rsidR="00EE66BB">
              <w:t xml:space="preserve"> </w:t>
            </w:r>
            <w:r w:rsidR="007663B9">
              <w:t xml:space="preserve">the </w:t>
            </w:r>
            <w:r w:rsidR="00EE66BB">
              <w:t>example for Fast Small Business Payer Criteria</w:t>
            </w:r>
            <w:r w:rsidR="00DA5AC3">
              <w:t>, relating to a</w:t>
            </w:r>
            <w:r w:rsidR="00EE66BB">
              <w:t xml:space="preserve"> </w:t>
            </w:r>
            <w:r w:rsidR="00DA5AC3">
              <w:t>s</w:t>
            </w:r>
            <w:r w:rsidR="00E82A0D">
              <w:t xml:space="preserve">cenario where an entity ceases to be a Fast Small Business Payer for one month due to </w:t>
            </w:r>
            <w:r w:rsidR="00206ABE">
              <w:t>its report submission date.</w:t>
            </w:r>
          </w:p>
        </w:tc>
      </w:tr>
    </w:tbl>
    <w:p w14:paraId="1243450D" w14:textId="77777777" w:rsidR="00247BAC" w:rsidRDefault="00247BAC" w:rsidP="008A0708"/>
    <w:sectPr w:rsidR="00247BAC" w:rsidSect="00EC236D">
      <w:headerReference w:type="even" r:id="rId24"/>
      <w:headerReference w:type="default" r:id="rId25"/>
      <w:footerReference w:type="even" r:id="rId26"/>
      <w:footerReference w:type="default" r:id="rId27"/>
      <w:headerReference w:type="first" r:id="rId28"/>
      <w:footerReference w:type="first" r:id="rId2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A2BA" w14:textId="77777777" w:rsidR="004D0B72" w:rsidRDefault="004D0B72">
      <w:pPr>
        <w:spacing w:before="0" w:after="0"/>
      </w:pPr>
      <w:r>
        <w:separator/>
      </w:r>
    </w:p>
  </w:endnote>
  <w:endnote w:type="continuationSeparator" w:id="0">
    <w:p w14:paraId="0868A834" w14:textId="77777777" w:rsidR="004D0B72" w:rsidRDefault="004D0B72">
      <w:pPr>
        <w:spacing w:before="0" w:after="0"/>
      </w:pPr>
      <w:r>
        <w:continuationSeparator/>
      </w:r>
    </w:p>
  </w:endnote>
  <w:endnote w:type="continuationNotice" w:id="1">
    <w:p w14:paraId="320A461C" w14:textId="77777777" w:rsidR="004D0B72" w:rsidRDefault="004D0B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BF36EDA" w14:paraId="74DDB5BC" w14:textId="77777777" w:rsidTr="7BF36EDA">
      <w:trPr>
        <w:trHeight w:val="300"/>
      </w:trPr>
      <w:tc>
        <w:tcPr>
          <w:tcW w:w="3020" w:type="dxa"/>
        </w:tcPr>
        <w:p w14:paraId="122CB6B8" w14:textId="7FEAEA32" w:rsidR="7BF36EDA" w:rsidRDefault="7BF36EDA" w:rsidP="7BF36EDA">
          <w:pPr>
            <w:pStyle w:val="Header"/>
            <w:ind w:left="-115"/>
            <w:jc w:val="left"/>
          </w:pPr>
        </w:p>
      </w:tc>
      <w:tc>
        <w:tcPr>
          <w:tcW w:w="3020" w:type="dxa"/>
        </w:tcPr>
        <w:p w14:paraId="7E4C78FA" w14:textId="1F52A63C" w:rsidR="7BF36EDA" w:rsidRDefault="7BF36EDA" w:rsidP="7BF36EDA">
          <w:pPr>
            <w:pStyle w:val="Header"/>
            <w:jc w:val="center"/>
          </w:pPr>
        </w:p>
      </w:tc>
      <w:tc>
        <w:tcPr>
          <w:tcW w:w="3020" w:type="dxa"/>
        </w:tcPr>
        <w:p w14:paraId="030DE1DB" w14:textId="4ADDC271" w:rsidR="7BF36EDA" w:rsidRDefault="7BF36EDA" w:rsidP="7BF36EDA">
          <w:pPr>
            <w:pStyle w:val="Header"/>
            <w:ind w:right="-115"/>
          </w:pPr>
        </w:p>
      </w:tc>
    </w:tr>
  </w:tbl>
  <w:p w14:paraId="453DD680" w14:textId="2F6B824B" w:rsidR="00BF6E5E" w:rsidRDefault="00BF6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A11C" w14:textId="27582FEC" w:rsidR="009267A9" w:rsidRPr="009267A9" w:rsidRDefault="009267A9" w:rsidP="009267A9">
    <w:pPr>
      <w:pStyle w:val="FooterOdd"/>
      <w:tabs>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B2A6" w14:textId="6F5B15AA" w:rsidR="00EF145E" w:rsidRPr="00334F97" w:rsidRDefault="00334F97" w:rsidP="00334F97">
    <w:pPr>
      <w:pStyle w:val="FooterOdd"/>
      <w:tabs>
        <w:tab w:val="right" w:pos="9072"/>
      </w:tabs>
    </w:pPr>
    <w:r w:rsidRPr="00103F3C">
      <w:rPr>
        <w:noProof/>
        <w:position w:val="-8"/>
      </w:rPr>
      <w:drawing>
        <wp:inline distT="0" distB="0" distL="0" distR="0" wp14:anchorId="5FDA111A" wp14:editId="72590469">
          <wp:extent cx="1821600" cy="205200"/>
          <wp:effectExtent l="0" t="0" r="7620" b="4445"/>
          <wp:docPr id="912213674" name="Picture 9122136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3674" name="Picture 9122136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fldSimple w:instr="STYLEREF  &quot;Heading 1&quot;  \* MERGEFORMAT">
      <w:r w:rsidR="005219F3">
        <w:rPr>
          <w:noProof/>
        </w:rPr>
        <w:t>Contents</w:t>
      </w:r>
    </w:fldSimple>
    <w:r>
      <w:t xml:space="preserve"> | </w:t>
    </w: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A289" w14:textId="77777777" w:rsidR="00EF145E" w:rsidRDefault="00EF14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4994" w14:textId="1742A6BB" w:rsidR="00EF145E" w:rsidRPr="00583559" w:rsidRDefault="00583559" w:rsidP="00583559">
    <w:pPr>
      <w:pStyle w:val="FooterEven"/>
      <w:tabs>
        <w:tab w:val="right" w:pos="9072"/>
      </w:tabs>
      <w:jc w:val="right"/>
    </w:pPr>
    <w:r>
      <w:rPr>
        <w:noProof w:val="0"/>
      </w:rPr>
      <w:fldChar w:fldCharType="begin"/>
    </w:r>
    <w:r>
      <w:instrText xml:space="preserve"> PAGE   \* MERGEFORMAT </w:instrText>
    </w:r>
    <w:r>
      <w:rPr>
        <w:noProof w:val="0"/>
      </w:rPr>
      <w:fldChar w:fldCharType="separate"/>
    </w:r>
    <w:r>
      <w:t>4</w:t>
    </w:r>
    <w:r>
      <w:fldChar w:fldCharType="end"/>
    </w:r>
    <w:r>
      <w:t xml:space="preserve"> | </w:t>
    </w:r>
    <w:fldSimple w:instr="STYLEREF  &quot;Heading 1&quot;  \* MERGEFORMAT">
      <w:r w:rsidR="005219F3">
        <w:t>Consultation Summary</w:t>
      </w:r>
    </w:fldSimple>
    <w:r w:rsidR="0044514B">
      <w:t xml:space="preserve"> and Response</w:t>
    </w:r>
    <w:r>
      <w:tab/>
    </w:r>
    <w:r w:rsidRPr="00103F3C">
      <w:rPr>
        <w:position w:val="-8"/>
      </w:rPr>
      <w:drawing>
        <wp:inline distT="0" distB="0" distL="0" distR="0" wp14:anchorId="3B31EF6E" wp14:editId="7E87D3D6">
          <wp:extent cx="1821600" cy="205200"/>
          <wp:effectExtent l="0" t="0" r="7620" b="4445"/>
          <wp:docPr id="719235241" name="Picture 719235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35241" name="Picture 7192352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0804" w14:textId="5A67A8F7" w:rsidR="00334F97" w:rsidRPr="009267A9" w:rsidRDefault="00334F97" w:rsidP="009267A9">
    <w:pPr>
      <w:pStyle w:val="FooterOdd"/>
      <w:tabs>
        <w:tab w:val="right" w:pos="9072"/>
      </w:tabs>
    </w:pPr>
    <w:r w:rsidRPr="00103F3C">
      <w:rPr>
        <w:noProof/>
        <w:position w:val="-8"/>
      </w:rPr>
      <w:drawing>
        <wp:inline distT="0" distB="0" distL="0" distR="0" wp14:anchorId="177D38C1" wp14:editId="7F13A0A8">
          <wp:extent cx="1821600" cy="205200"/>
          <wp:effectExtent l="0" t="0" r="7620" b="4445"/>
          <wp:docPr id="180057323" name="Picture 180057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7323" name="Picture 1800573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fldSimple w:instr="STYLEREF  &quot;Heading 1&quot;  \* MERGEFORMAT">
      <w:r w:rsidR="005219F3">
        <w:rPr>
          <w:noProof/>
        </w:rPr>
        <w:t>Consultation Summary</w:t>
      </w:r>
    </w:fldSimple>
    <w:r>
      <w:t xml:space="preserve"> | </w:t>
    </w:r>
    <w:r>
      <w:fldChar w:fldCharType="begin"/>
    </w:r>
    <w:r>
      <w:instrText xml:space="preserve"> PAGE   \* MERGEFORMAT </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E6C" w14:textId="77777777" w:rsidR="00EF145E" w:rsidRDefault="00EF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92B2" w14:textId="77777777" w:rsidR="004D0B72" w:rsidRDefault="004D0B72">
      <w:pPr>
        <w:spacing w:before="0" w:after="0"/>
      </w:pPr>
      <w:r>
        <w:separator/>
      </w:r>
    </w:p>
  </w:footnote>
  <w:footnote w:type="continuationSeparator" w:id="0">
    <w:p w14:paraId="6D6BCA73" w14:textId="77777777" w:rsidR="004D0B72" w:rsidRDefault="004D0B72">
      <w:pPr>
        <w:spacing w:before="0" w:after="0"/>
      </w:pPr>
      <w:r>
        <w:continuationSeparator/>
      </w:r>
    </w:p>
  </w:footnote>
  <w:footnote w:type="continuationNotice" w:id="1">
    <w:p w14:paraId="230196F8" w14:textId="77777777" w:rsidR="004D0B72" w:rsidRDefault="004D0B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BF36EDA" w14:paraId="3D3ECA4A" w14:textId="77777777" w:rsidTr="7BF36EDA">
      <w:trPr>
        <w:trHeight w:val="300"/>
      </w:trPr>
      <w:tc>
        <w:tcPr>
          <w:tcW w:w="3020" w:type="dxa"/>
        </w:tcPr>
        <w:p w14:paraId="1BBF2801" w14:textId="690DC99F" w:rsidR="7BF36EDA" w:rsidRDefault="7BF36EDA" w:rsidP="7BF36EDA">
          <w:pPr>
            <w:pStyle w:val="Header"/>
            <w:ind w:left="-115"/>
            <w:jc w:val="left"/>
          </w:pPr>
        </w:p>
      </w:tc>
      <w:tc>
        <w:tcPr>
          <w:tcW w:w="3020" w:type="dxa"/>
        </w:tcPr>
        <w:p w14:paraId="034A0FEE" w14:textId="27D4DB90" w:rsidR="7BF36EDA" w:rsidRDefault="7BF36EDA" w:rsidP="7BF36EDA">
          <w:pPr>
            <w:pStyle w:val="Header"/>
            <w:jc w:val="center"/>
          </w:pPr>
        </w:p>
      </w:tc>
      <w:tc>
        <w:tcPr>
          <w:tcW w:w="3020" w:type="dxa"/>
        </w:tcPr>
        <w:p w14:paraId="5BAFF3F0" w14:textId="163B5E94" w:rsidR="7BF36EDA" w:rsidRDefault="7BF36EDA" w:rsidP="7BF36EDA">
          <w:pPr>
            <w:pStyle w:val="Header"/>
            <w:ind w:right="-115"/>
          </w:pPr>
        </w:p>
      </w:tc>
    </w:tr>
  </w:tbl>
  <w:p w14:paraId="59F06949" w14:textId="17FC564A" w:rsidR="00BF6E5E" w:rsidRDefault="00BF6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BF36EDA" w14:paraId="668814CC" w14:textId="77777777" w:rsidTr="7BF36EDA">
      <w:trPr>
        <w:trHeight w:val="300"/>
      </w:trPr>
      <w:tc>
        <w:tcPr>
          <w:tcW w:w="3020" w:type="dxa"/>
        </w:tcPr>
        <w:p w14:paraId="7964B260" w14:textId="7DDADAC4" w:rsidR="7BF36EDA" w:rsidRDefault="7BF36EDA" w:rsidP="7BF36EDA">
          <w:pPr>
            <w:pStyle w:val="Header"/>
            <w:ind w:left="-115"/>
            <w:jc w:val="left"/>
          </w:pPr>
        </w:p>
      </w:tc>
      <w:tc>
        <w:tcPr>
          <w:tcW w:w="3020" w:type="dxa"/>
        </w:tcPr>
        <w:p w14:paraId="5EAC0DF4" w14:textId="46C95982" w:rsidR="7BF36EDA" w:rsidRDefault="7BF36EDA" w:rsidP="7BF36EDA">
          <w:pPr>
            <w:pStyle w:val="Header"/>
            <w:jc w:val="center"/>
          </w:pPr>
        </w:p>
      </w:tc>
      <w:tc>
        <w:tcPr>
          <w:tcW w:w="3020" w:type="dxa"/>
        </w:tcPr>
        <w:p w14:paraId="3E50FE16" w14:textId="1C735DA4" w:rsidR="7BF36EDA" w:rsidRDefault="7BF36EDA" w:rsidP="7BF36EDA">
          <w:pPr>
            <w:pStyle w:val="Header"/>
            <w:ind w:right="-115"/>
          </w:pPr>
        </w:p>
      </w:tc>
    </w:tr>
  </w:tbl>
  <w:p w14:paraId="4E09A466" w14:textId="66C5D690" w:rsidR="00BF6E5E" w:rsidRDefault="00BF6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82FC" w14:textId="7D507DDF" w:rsidR="00EF145E" w:rsidRPr="001F3912" w:rsidRDefault="00A63EA6" w:rsidP="00A12F62">
    <w:pPr>
      <w:pStyle w:val="HeaderEven"/>
    </w:pPr>
    <w:fldSimple w:instr="STYLEREF  &quot;Title&quot;  \* MERGEFORMAT">
      <w:r w:rsidR="005219F3">
        <w:rPr>
          <w:noProof/>
        </w:rPr>
        <w:t>Payment Times Reporting: Guidance Materials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6662" w14:textId="1A1F741D" w:rsidR="00EF145E" w:rsidRPr="00F836F9" w:rsidRDefault="00EF145E" w:rsidP="00F836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7B86" w14:textId="77777777" w:rsidR="00EF145E" w:rsidRDefault="00EF14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27EA" w14:textId="072C4B85" w:rsidR="00EF145E" w:rsidRPr="001F3912" w:rsidRDefault="0044514B" w:rsidP="0044514B">
    <w:pPr>
      <w:pStyle w:val="HeaderEven"/>
      <w:jc w:val="right"/>
    </w:pPr>
    <w:r>
      <w:rPr>
        <w:noProof/>
      </w:rPr>
      <w:drawing>
        <wp:anchor distT="0" distB="0" distL="114300" distR="114300" simplePos="0" relativeHeight="251658241" behindDoc="0" locked="0" layoutInCell="1" allowOverlap="0" wp14:anchorId="129F2E63" wp14:editId="567FFCE9">
          <wp:simplePos x="0" y="0"/>
          <wp:positionH relativeFrom="page">
            <wp:align>right</wp:align>
          </wp:positionH>
          <wp:positionV relativeFrom="page">
            <wp:align>top</wp:align>
          </wp:positionV>
          <wp:extent cx="7560000" cy="816968"/>
          <wp:effectExtent l="0" t="0" r="0" b="0"/>
          <wp:wrapNone/>
          <wp:docPr id="21410590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5902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16968"/>
                  </a:xfrm>
                  <a:prstGeom prst="rect">
                    <a:avLst/>
                  </a:prstGeom>
                </pic:spPr>
              </pic:pic>
            </a:graphicData>
          </a:graphic>
          <wp14:sizeRelH relativeFrom="margin">
            <wp14:pctWidth>0</wp14:pctWidth>
          </wp14:sizeRelH>
          <wp14:sizeRelV relativeFrom="margin">
            <wp14:pctHeight>0</wp14:pctHeight>
          </wp14:sizeRelV>
        </wp:anchor>
      </w:drawing>
    </w:r>
    <w:fldSimple w:instr="STYLEREF  Title  \* MERGEFORMAT">
      <w:r w:rsidR="005219F3">
        <w:rPr>
          <w:noProof/>
        </w:rPr>
        <w:t>Payment Times Reporting: Guidance Materials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6178" w14:textId="1DB6A712" w:rsidR="00EF145E" w:rsidRPr="001F3912" w:rsidRDefault="00334F97" w:rsidP="00A12F62">
    <w:pPr>
      <w:pStyle w:val="HeaderOdd"/>
    </w:pPr>
    <w:r>
      <w:rPr>
        <w:noProof/>
      </w:rPr>
      <w:drawing>
        <wp:anchor distT="0" distB="0" distL="114300" distR="114300" simplePos="0" relativeHeight="251658240" behindDoc="0" locked="0" layoutInCell="1" allowOverlap="0" wp14:anchorId="03342FF7" wp14:editId="20686354">
          <wp:simplePos x="900752" y="450376"/>
          <wp:positionH relativeFrom="page">
            <wp:align>center</wp:align>
          </wp:positionH>
          <wp:positionV relativeFrom="page">
            <wp:align>top</wp:align>
          </wp:positionV>
          <wp:extent cx="7560000" cy="816968"/>
          <wp:effectExtent l="0" t="0" r="0" b="0"/>
          <wp:wrapNone/>
          <wp:docPr id="7978824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824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816968"/>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64C" w14:textId="77777777" w:rsidR="00EF145E" w:rsidRDefault="00EF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AB6AC9"/>
    <w:multiLevelType w:val="hybridMultilevel"/>
    <w:tmpl w:val="3E70C340"/>
    <w:lvl w:ilvl="0" w:tplc="04F472E8">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97DC52FC"/>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0FD137E"/>
    <w:multiLevelType w:val="hybridMultilevel"/>
    <w:tmpl w:val="685606A4"/>
    <w:lvl w:ilvl="0" w:tplc="333E4A76">
      <w:start w:val="1"/>
      <w:numFmt w:val="decimal"/>
      <w:pStyle w:val="GRRParanumbers"/>
      <w:lvlText w:val="%1"/>
      <w:lvlJc w:val="right"/>
      <w:pPr>
        <w:ind w:left="720" w:hanging="360"/>
      </w:pPr>
      <w:rPr>
        <w:rFonts w:asciiTheme="minorHAnsi" w:hAnsiTheme="minorHAnsi" w:cstheme="minorHAnsi" w:hint="default"/>
        <w:b w:val="0"/>
        <w:bCs w:val="0"/>
        <w:color w:val="auto"/>
        <w:sz w:val="22"/>
        <w:szCs w:val="22"/>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B92A56"/>
    <w:multiLevelType w:val="hybridMultilevel"/>
    <w:tmpl w:val="3670C384"/>
    <w:lvl w:ilvl="0" w:tplc="0ED2EE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5008075F"/>
    <w:multiLevelType w:val="hybridMultilevel"/>
    <w:tmpl w:val="3BA8FB8A"/>
    <w:lvl w:ilvl="0" w:tplc="C4C67C56">
      <w:start w:val="1"/>
      <w:numFmt w:val="bullet"/>
      <w:pStyle w:val="ListParagraph"/>
      <w:lvlText w:val="-"/>
      <w:lvlJc w:val="left"/>
      <w:pPr>
        <w:ind w:left="700" w:hanging="360"/>
      </w:pPr>
      <w:rPr>
        <w:rFonts w:ascii="Aptos" w:hAnsi="Aptos"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5" w15:restartNumberingAfterBreak="0">
    <w:nsid w:val="510D2021"/>
    <w:multiLevelType w:val="multilevel"/>
    <w:tmpl w:val="72F8140E"/>
    <w:numStyleLink w:val="OutlineList"/>
  </w:abstractNum>
  <w:abstractNum w:abstractNumId="16"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380284742">
    <w:abstractNumId w:val="8"/>
  </w:num>
  <w:num w:numId="2" w16cid:durableId="863714490">
    <w:abstractNumId w:val="0"/>
  </w:num>
  <w:num w:numId="3" w16cid:durableId="881357727">
    <w:abstractNumId w:val="11"/>
  </w:num>
  <w:num w:numId="4" w16cid:durableId="1808820169">
    <w:abstractNumId w:val="2"/>
  </w:num>
  <w:num w:numId="5" w16cid:durableId="913198201">
    <w:abstractNumId w:val="3"/>
  </w:num>
  <w:num w:numId="6" w16cid:durableId="1070807618">
    <w:abstractNumId w:val="15"/>
  </w:num>
  <w:num w:numId="7" w16cid:durableId="1711345892">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710493431">
    <w:abstractNumId w:val="4"/>
  </w:num>
  <w:num w:numId="9" w16cid:durableId="1891191367">
    <w:abstractNumId w:val="1"/>
  </w:num>
  <w:num w:numId="10" w16cid:durableId="1757553467">
    <w:abstractNumId w:val="7"/>
  </w:num>
  <w:num w:numId="11" w16cid:durableId="1843157924">
    <w:abstractNumId w:val="18"/>
  </w:num>
  <w:num w:numId="12" w16cid:durableId="125466350">
    <w:abstractNumId w:val="15"/>
  </w:num>
  <w:num w:numId="13" w16cid:durableId="877358860">
    <w:abstractNumId w:val="19"/>
  </w:num>
  <w:num w:numId="14" w16cid:durableId="395056194">
    <w:abstractNumId w:val="13"/>
  </w:num>
  <w:num w:numId="15" w16cid:durableId="720783455">
    <w:abstractNumId w:val="6"/>
  </w:num>
  <w:num w:numId="16" w16cid:durableId="1440561816">
    <w:abstractNumId w:val="16"/>
  </w:num>
  <w:num w:numId="17" w16cid:durableId="1944991471">
    <w:abstractNumId w:val="10"/>
  </w:num>
  <w:num w:numId="18" w16cid:durableId="1783451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413911">
    <w:abstractNumId w:val="14"/>
  </w:num>
  <w:num w:numId="20" w16cid:durableId="546528509">
    <w:abstractNumId w:val="9"/>
  </w:num>
  <w:num w:numId="21" w16cid:durableId="23790144">
    <w:abstractNumId w:val="12"/>
  </w:num>
  <w:num w:numId="22" w16cid:durableId="295529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3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21"/>
    <w:rsid w:val="000010AC"/>
    <w:rsid w:val="000018C2"/>
    <w:rsid w:val="000037DB"/>
    <w:rsid w:val="00004F6C"/>
    <w:rsid w:val="00007050"/>
    <w:rsid w:val="000072F1"/>
    <w:rsid w:val="00007A72"/>
    <w:rsid w:val="000110A9"/>
    <w:rsid w:val="00011202"/>
    <w:rsid w:val="00011725"/>
    <w:rsid w:val="00012C62"/>
    <w:rsid w:val="00012F67"/>
    <w:rsid w:val="0001396A"/>
    <w:rsid w:val="000151AF"/>
    <w:rsid w:val="00015B03"/>
    <w:rsid w:val="00016531"/>
    <w:rsid w:val="00016C1F"/>
    <w:rsid w:val="0001712C"/>
    <w:rsid w:val="0002129A"/>
    <w:rsid w:val="00022AA0"/>
    <w:rsid w:val="00022CE1"/>
    <w:rsid w:val="000249E0"/>
    <w:rsid w:val="000253D6"/>
    <w:rsid w:val="0002544D"/>
    <w:rsid w:val="00025495"/>
    <w:rsid w:val="000264AF"/>
    <w:rsid w:val="00027F7A"/>
    <w:rsid w:val="00030264"/>
    <w:rsid w:val="00030441"/>
    <w:rsid w:val="00030FE8"/>
    <w:rsid w:val="000310E0"/>
    <w:rsid w:val="00031BCD"/>
    <w:rsid w:val="0003272F"/>
    <w:rsid w:val="00032A3B"/>
    <w:rsid w:val="0003327D"/>
    <w:rsid w:val="00033E94"/>
    <w:rsid w:val="00035728"/>
    <w:rsid w:val="00037EC4"/>
    <w:rsid w:val="00040199"/>
    <w:rsid w:val="0004107E"/>
    <w:rsid w:val="00041B7D"/>
    <w:rsid w:val="00041C10"/>
    <w:rsid w:val="0004274D"/>
    <w:rsid w:val="0004294F"/>
    <w:rsid w:val="00043348"/>
    <w:rsid w:val="000447E7"/>
    <w:rsid w:val="0004483F"/>
    <w:rsid w:val="00047233"/>
    <w:rsid w:val="00047373"/>
    <w:rsid w:val="000506B5"/>
    <w:rsid w:val="00050C7F"/>
    <w:rsid w:val="0005138B"/>
    <w:rsid w:val="00051A9E"/>
    <w:rsid w:val="000522B7"/>
    <w:rsid w:val="00052E5C"/>
    <w:rsid w:val="000538A9"/>
    <w:rsid w:val="000539C9"/>
    <w:rsid w:val="00053F91"/>
    <w:rsid w:val="000541F7"/>
    <w:rsid w:val="00054590"/>
    <w:rsid w:val="00054E59"/>
    <w:rsid w:val="00054E7B"/>
    <w:rsid w:val="0005525D"/>
    <w:rsid w:val="000563C8"/>
    <w:rsid w:val="000564C2"/>
    <w:rsid w:val="00056880"/>
    <w:rsid w:val="00057EDB"/>
    <w:rsid w:val="000607D9"/>
    <w:rsid w:val="000608CA"/>
    <w:rsid w:val="0006285C"/>
    <w:rsid w:val="00062BBF"/>
    <w:rsid w:val="00062FE8"/>
    <w:rsid w:val="00063C97"/>
    <w:rsid w:val="00063E7B"/>
    <w:rsid w:val="00063F89"/>
    <w:rsid w:val="00066BAD"/>
    <w:rsid w:val="000675D1"/>
    <w:rsid w:val="00067843"/>
    <w:rsid w:val="000705B0"/>
    <w:rsid w:val="00071595"/>
    <w:rsid w:val="0007231C"/>
    <w:rsid w:val="00072B92"/>
    <w:rsid w:val="00073068"/>
    <w:rsid w:val="00073521"/>
    <w:rsid w:val="000741FC"/>
    <w:rsid w:val="00074413"/>
    <w:rsid w:val="00074846"/>
    <w:rsid w:val="000753EA"/>
    <w:rsid w:val="000775DE"/>
    <w:rsid w:val="00077BDD"/>
    <w:rsid w:val="00080ED0"/>
    <w:rsid w:val="0008119F"/>
    <w:rsid w:val="00081879"/>
    <w:rsid w:val="00081C7C"/>
    <w:rsid w:val="00082015"/>
    <w:rsid w:val="00082BA5"/>
    <w:rsid w:val="000847E5"/>
    <w:rsid w:val="000873D9"/>
    <w:rsid w:val="000878E0"/>
    <w:rsid w:val="00087EED"/>
    <w:rsid w:val="00087FAF"/>
    <w:rsid w:val="0009284C"/>
    <w:rsid w:val="000929AA"/>
    <w:rsid w:val="00093592"/>
    <w:rsid w:val="0009680F"/>
    <w:rsid w:val="00097413"/>
    <w:rsid w:val="000976C7"/>
    <w:rsid w:val="00097E8B"/>
    <w:rsid w:val="000A0911"/>
    <w:rsid w:val="000A12C3"/>
    <w:rsid w:val="000A1768"/>
    <w:rsid w:val="000A1EB8"/>
    <w:rsid w:val="000A20F7"/>
    <w:rsid w:val="000A2C9C"/>
    <w:rsid w:val="000A3CDD"/>
    <w:rsid w:val="000A50F5"/>
    <w:rsid w:val="000A5BE9"/>
    <w:rsid w:val="000A66B8"/>
    <w:rsid w:val="000A70AC"/>
    <w:rsid w:val="000B061E"/>
    <w:rsid w:val="000B06D8"/>
    <w:rsid w:val="000B0CA6"/>
    <w:rsid w:val="000B316B"/>
    <w:rsid w:val="000B4636"/>
    <w:rsid w:val="000B4BC5"/>
    <w:rsid w:val="000B5743"/>
    <w:rsid w:val="000B6178"/>
    <w:rsid w:val="000C00EB"/>
    <w:rsid w:val="000C02B2"/>
    <w:rsid w:val="000C1062"/>
    <w:rsid w:val="000C3521"/>
    <w:rsid w:val="000C3A12"/>
    <w:rsid w:val="000C3A75"/>
    <w:rsid w:val="000C3BD1"/>
    <w:rsid w:val="000C571D"/>
    <w:rsid w:val="000C5945"/>
    <w:rsid w:val="000C5F40"/>
    <w:rsid w:val="000C6414"/>
    <w:rsid w:val="000C6433"/>
    <w:rsid w:val="000C773F"/>
    <w:rsid w:val="000C7D0D"/>
    <w:rsid w:val="000D1135"/>
    <w:rsid w:val="000D2F4E"/>
    <w:rsid w:val="000D3D38"/>
    <w:rsid w:val="000D43F5"/>
    <w:rsid w:val="000D6801"/>
    <w:rsid w:val="000D737F"/>
    <w:rsid w:val="000D7A5C"/>
    <w:rsid w:val="000E0B74"/>
    <w:rsid w:val="000E23F8"/>
    <w:rsid w:val="000E5A07"/>
    <w:rsid w:val="000E780C"/>
    <w:rsid w:val="000E7901"/>
    <w:rsid w:val="000F0363"/>
    <w:rsid w:val="000F10FB"/>
    <w:rsid w:val="000F184E"/>
    <w:rsid w:val="000F2430"/>
    <w:rsid w:val="000F302B"/>
    <w:rsid w:val="000F3DAC"/>
    <w:rsid w:val="000F4686"/>
    <w:rsid w:val="000F4D5E"/>
    <w:rsid w:val="000F5396"/>
    <w:rsid w:val="000F54BC"/>
    <w:rsid w:val="000F556E"/>
    <w:rsid w:val="000F5A38"/>
    <w:rsid w:val="000F65AB"/>
    <w:rsid w:val="000F6770"/>
    <w:rsid w:val="00100A71"/>
    <w:rsid w:val="00102BA1"/>
    <w:rsid w:val="0010302E"/>
    <w:rsid w:val="00104289"/>
    <w:rsid w:val="00105161"/>
    <w:rsid w:val="001060A2"/>
    <w:rsid w:val="001075E2"/>
    <w:rsid w:val="00107F0D"/>
    <w:rsid w:val="0011130E"/>
    <w:rsid w:val="001118EF"/>
    <w:rsid w:val="0011378E"/>
    <w:rsid w:val="00113E76"/>
    <w:rsid w:val="001149CE"/>
    <w:rsid w:val="00115CF2"/>
    <w:rsid w:val="00115DA1"/>
    <w:rsid w:val="00116513"/>
    <w:rsid w:val="00116950"/>
    <w:rsid w:val="00116E5D"/>
    <w:rsid w:val="00116EA8"/>
    <w:rsid w:val="00120A05"/>
    <w:rsid w:val="00120F96"/>
    <w:rsid w:val="00121D4A"/>
    <w:rsid w:val="00121EB0"/>
    <w:rsid w:val="00123DFB"/>
    <w:rsid w:val="001241AC"/>
    <w:rsid w:val="001253B5"/>
    <w:rsid w:val="001259CC"/>
    <w:rsid w:val="00126161"/>
    <w:rsid w:val="0012619D"/>
    <w:rsid w:val="00126FF9"/>
    <w:rsid w:val="00127C07"/>
    <w:rsid w:val="00127D69"/>
    <w:rsid w:val="001301EA"/>
    <w:rsid w:val="00130B76"/>
    <w:rsid w:val="001318A5"/>
    <w:rsid w:val="00131DC3"/>
    <w:rsid w:val="00131E9B"/>
    <w:rsid w:val="0013422D"/>
    <w:rsid w:val="00135E4C"/>
    <w:rsid w:val="00136C05"/>
    <w:rsid w:val="00136E92"/>
    <w:rsid w:val="001373F5"/>
    <w:rsid w:val="001376FD"/>
    <w:rsid w:val="00140F45"/>
    <w:rsid w:val="001413AB"/>
    <w:rsid w:val="00143AB8"/>
    <w:rsid w:val="00143F85"/>
    <w:rsid w:val="0014430B"/>
    <w:rsid w:val="00144632"/>
    <w:rsid w:val="001451D0"/>
    <w:rsid w:val="00145563"/>
    <w:rsid w:val="00145894"/>
    <w:rsid w:val="00145E77"/>
    <w:rsid w:val="001510E0"/>
    <w:rsid w:val="00152E44"/>
    <w:rsid w:val="00154022"/>
    <w:rsid w:val="001555E1"/>
    <w:rsid w:val="00156288"/>
    <w:rsid w:val="001565D6"/>
    <w:rsid w:val="001572EB"/>
    <w:rsid w:val="001574C0"/>
    <w:rsid w:val="00157A42"/>
    <w:rsid w:val="001606CF"/>
    <w:rsid w:val="001610E6"/>
    <w:rsid w:val="0016128D"/>
    <w:rsid w:val="00161BD2"/>
    <w:rsid w:val="00162C7F"/>
    <w:rsid w:val="001631B4"/>
    <w:rsid w:val="00163ECE"/>
    <w:rsid w:val="00167481"/>
    <w:rsid w:val="00167526"/>
    <w:rsid w:val="001675FB"/>
    <w:rsid w:val="00170235"/>
    <w:rsid w:val="0017089D"/>
    <w:rsid w:val="00171916"/>
    <w:rsid w:val="0017438A"/>
    <w:rsid w:val="001745E6"/>
    <w:rsid w:val="00174934"/>
    <w:rsid w:val="001751D4"/>
    <w:rsid w:val="00175837"/>
    <w:rsid w:val="00176A14"/>
    <w:rsid w:val="00181127"/>
    <w:rsid w:val="001842FF"/>
    <w:rsid w:val="0018454C"/>
    <w:rsid w:val="001853AD"/>
    <w:rsid w:val="001856F0"/>
    <w:rsid w:val="00185754"/>
    <w:rsid w:val="00186071"/>
    <w:rsid w:val="00187216"/>
    <w:rsid w:val="001872F1"/>
    <w:rsid w:val="0019101A"/>
    <w:rsid w:val="0019165D"/>
    <w:rsid w:val="00192315"/>
    <w:rsid w:val="0019241C"/>
    <w:rsid w:val="00192DCB"/>
    <w:rsid w:val="001930F8"/>
    <w:rsid w:val="00194961"/>
    <w:rsid w:val="00194B82"/>
    <w:rsid w:val="00195088"/>
    <w:rsid w:val="00195160"/>
    <w:rsid w:val="0019662B"/>
    <w:rsid w:val="001972D2"/>
    <w:rsid w:val="001978D9"/>
    <w:rsid w:val="00197920"/>
    <w:rsid w:val="00197BD0"/>
    <w:rsid w:val="001A1BB8"/>
    <w:rsid w:val="001A496D"/>
    <w:rsid w:val="001A4D1E"/>
    <w:rsid w:val="001A65BB"/>
    <w:rsid w:val="001A7087"/>
    <w:rsid w:val="001A7293"/>
    <w:rsid w:val="001A73B9"/>
    <w:rsid w:val="001B10C8"/>
    <w:rsid w:val="001B190B"/>
    <w:rsid w:val="001B1AFA"/>
    <w:rsid w:val="001B2188"/>
    <w:rsid w:val="001B2A57"/>
    <w:rsid w:val="001B2BE7"/>
    <w:rsid w:val="001B328D"/>
    <w:rsid w:val="001B4125"/>
    <w:rsid w:val="001B50B1"/>
    <w:rsid w:val="001B56A2"/>
    <w:rsid w:val="001B60BF"/>
    <w:rsid w:val="001B6B8F"/>
    <w:rsid w:val="001B6E57"/>
    <w:rsid w:val="001B7A50"/>
    <w:rsid w:val="001B7EA6"/>
    <w:rsid w:val="001B7FEC"/>
    <w:rsid w:val="001C0147"/>
    <w:rsid w:val="001C0BAA"/>
    <w:rsid w:val="001C358D"/>
    <w:rsid w:val="001C402C"/>
    <w:rsid w:val="001C4E76"/>
    <w:rsid w:val="001C630A"/>
    <w:rsid w:val="001C6C3B"/>
    <w:rsid w:val="001C6F9F"/>
    <w:rsid w:val="001C73FC"/>
    <w:rsid w:val="001D004A"/>
    <w:rsid w:val="001D064E"/>
    <w:rsid w:val="001D09E0"/>
    <w:rsid w:val="001D0C72"/>
    <w:rsid w:val="001D18D1"/>
    <w:rsid w:val="001D1CF6"/>
    <w:rsid w:val="001D2191"/>
    <w:rsid w:val="001D2340"/>
    <w:rsid w:val="001D27AA"/>
    <w:rsid w:val="001D419D"/>
    <w:rsid w:val="001D41D6"/>
    <w:rsid w:val="001D50F3"/>
    <w:rsid w:val="001D5725"/>
    <w:rsid w:val="001D5E5F"/>
    <w:rsid w:val="001D5E69"/>
    <w:rsid w:val="001E0E40"/>
    <w:rsid w:val="001E0EC1"/>
    <w:rsid w:val="001E2FFD"/>
    <w:rsid w:val="001E30D6"/>
    <w:rsid w:val="001E4099"/>
    <w:rsid w:val="001E472D"/>
    <w:rsid w:val="001E55A6"/>
    <w:rsid w:val="001E6F91"/>
    <w:rsid w:val="001E74E8"/>
    <w:rsid w:val="001E7C07"/>
    <w:rsid w:val="001E7CB8"/>
    <w:rsid w:val="001F026E"/>
    <w:rsid w:val="001F040C"/>
    <w:rsid w:val="001F1331"/>
    <w:rsid w:val="001F1B27"/>
    <w:rsid w:val="001F2B26"/>
    <w:rsid w:val="001F2F2B"/>
    <w:rsid w:val="001F3378"/>
    <w:rsid w:val="001F3CBA"/>
    <w:rsid w:val="001F4619"/>
    <w:rsid w:val="001F5859"/>
    <w:rsid w:val="001F5A97"/>
    <w:rsid w:val="001F5FF9"/>
    <w:rsid w:val="00200BA8"/>
    <w:rsid w:val="00200DA3"/>
    <w:rsid w:val="00201E0C"/>
    <w:rsid w:val="00201F89"/>
    <w:rsid w:val="0020269E"/>
    <w:rsid w:val="00203442"/>
    <w:rsid w:val="0020560A"/>
    <w:rsid w:val="00206211"/>
    <w:rsid w:val="00206ABE"/>
    <w:rsid w:val="00207391"/>
    <w:rsid w:val="00212DD9"/>
    <w:rsid w:val="00213374"/>
    <w:rsid w:val="00213964"/>
    <w:rsid w:val="00213DA5"/>
    <w:rsid w:val="00214762"/>
    <w:rsid w:val="00214BA1"/>
    <w:rsid w:val="002159EE"/>
    <w:rsid w:val="00215A19"/>
    <w:rsid w:val="00216FA6"/>
    <w:rsid w:val="00217CF8"/>
    <w:rsid w:val="00217EBF"/>
    <w:rsid w:val="00217ED5"/>
    <w:rsid w:val="00217F5E"/>
    <w:rsid w:val="00220617"/>
    <w:rsid w:val="00221EC0"/>
    <w:rsid w:val="00222873"/>
    <w:rsid w:val="00223E85"/>
    <w:rsid w:val="002246A6"/>
    <w:rsid w:val="002255C4"/>
    <w:rsid w:val="00226930"/>
    <w:rsid w:val="00230D40"/>
    <w:rsid w:val="00231049"/>
    <w:rsid w:val="002313F1"/>
    <w:rsid w:val="002314D2"/>
    <w:rsid w:val="00231F8D"/>
    <w:rsid w:val="00232416"/>
    <w:rsid w:val="0023305C"/>
    <w:rsid w:val="00233274"/>
    <w:rsid w:val="00233C60"/>
    <w:rsid w:val="002352DD"/>
    <w:rsid w:val="002378A9"/>
    <w:rsid w:val="002404E0"/>
    <w:rsid w:val="00240536"/>
    <w:rsid w:val="00240E60"/>
    <w:rsid w:val="00241881"/>
    <w:rsid w:val="00241D3E"/>
    <w:rsid w:val="0024294C"/>
    <w:rsid w:val="00242A85"/>
    <w:rsid w:val="00242E11"/>
    <w:rsid w:val="00243108"/>
    <w:rsid w:val="00244F3B"/>
    <w:rsid w:val="0024527A"/>
    <w:rsid w:val="002460FA"/>
    <w:rsid w:val="002467C0"/>
    <w:rsid w:val="00247173"/>
    <w:rsid w:val="002473E8"/>
    <w:rsid w:val="00247BAC"/>
    <w:rsid w:val="002502E5"/>
    <w:rsid w:val="00253527"/>
    <w:rsid w:val="00253639"/>
    <w:rsid w:val="00255595"/>
    <w:rsid w:val="0025652F"/>
    <w:rsid w:val="0026130A"/>
    <w:rsid w:val="00262484"/>
    <w:rsid w:val="00262ED3"/>
    <w:rsid w:val="0026331A"/>
    <w:rsid w:val="00263B1E"/>
    <w:rsid w:val="00263B6C"/>
    <w:rsid w:val="0026625B"/>
    <w:rsid w:val="00266469"/>
    <w:rsid w:val="002668A9"/>
    <w:rsid w:val="00270C63"/>
    <w:rsid w:val="002719FA"/>
    <w:rsid w:val="002723D1"/>
    <w:rsid w:val="00272574"/>
    <w:rsid w:val="00272795"/>
    <w:rsid w:val="00272939"/>
    <w:rsid w:val="00275173"/>
    <w:rsid w:val="0027590B"/>
    <w:rsid w:val="00275EDB"/>
    <w:rsid w:val="00276225"/>
    <w:rsid w:val="002764DC"/>
    <w:rsid w:val="002772B1"/>
    <w:rsid w:val="002813B7"/>
    <w:rsid w:val="0028231E"/>
    <w:rsid w:val="00285314"/>
    <w:rsid w:val="00285969"/>
    <w:rsid w:val="0028625A"/>
    <w:rsid w:val="00286934"/>
    <w:rsid w:val="002869E1"/>
    <w:rsid w:val="00287E78"/>
    <w:rsid w:val="002911E5"/>
    <w:rsid w:val="00291CA1"/>
    <w:rsid w:val="0029209E"/>
    <w:rsid w:val="0029242A"/>
    <w:rsid w:val="002933F5"/>
    <w:rsid w:val="0029343A"/>
    <w:rsid w:val="00296977"/>
    <w:rsid w:val="0029754C"/>
    <w:rsid w:val="002A07CC"/>
    <w:rsid w:val="002A1759"/>
    <w:rsid w:val="002A1A0B"/>
    <w:rsid w:val="002A1B61"/>
    <w:rsid w:val="002A284F"/>
    <w:rsid w:val="002A320D"/>
    <w:rsid w:val="002A3823"/>
    <w:rsid w:val="002A499E"/>
    <w:rsid w:val="002A62F1"/>
    <w:rsid w:val="002A68D3"/>
    <w:rsid w:val="002A74EF"/>
    <w:rsid w:val="002A7690"/>
    <w:rsid w:val="002A7BCA"/>
    <w:rsid w:val="002B13D0"/>
    <w:rsid w:val="002B2092"/>
    <w:rsid w:val="002B269B"/>
    <w:rsid w:val="002B298C"/>
    <w:rsid w:val="002B3829"/>
    <w:rsid w:val="002B3929"/>
    <w:rsid w:val="002B555B"/>
    <w:rsid w:val="002B598D"/>
    <w:rsid w:val="002B666A"/>
    <w:rsid w:val="002B6D52"/>
    <w:rsid w:val="002B7BBF"/>
    <w:rsid w:val="002C00A6"/>
    <w:rsid w:val="002C13E1"/>
    <w:rsid w:val="002C1C0F"/>
    <w:rsid w:val="002C1C8B"/>
    <w:rsid w:val="002C2194"/>
    <w:rsid w:val="002C21ED"/>
    <w:rsid w:val="002C22EF"/>
    <w:rsid w:val="002C3A59"/>
    <w:rsid w:val="002C3EA6"/>
    <w:rsid w:val="002C4573"/>
    <w:rsid w:val="002C47CA"/>
    <w:rsid w:val="002C4ACE"/>
    <w:rsid w:val="002C5D98"/>
    <w:rsid w:val="002C5F75"/>
    <w:rsid w:val="002C7315"/>
    <w:rsid w:val="002C7930"/>
    <w:rsid w:val="002D0B42"/>
    <w:rsid w:val="002D0E91"/>
    <w:rsid w:val="002D11A4"/>
    <w:rsid w:val="002D1D69"/>
    <w:rsid w:val="002D224C"/>
    <w:rsid w:val="002D22AE"/>
    <w:rsid w:val="002D2B23"/>
    <w:rsid w:val="002D2FD2"/>
    <w:rsid w:val="002D38F4"/>
    <w:rsid w:val="002D46F1"/>
    <w:rsid w:val="002D47B3"/>
    <w:rsid w:val="002D47D7"/>
    <w:rsid w:val="002D5A43"/>
    <w:rsid w:val="002D6863"/>
    <w:rsid w:val="002D6E00"/>
    <w:rsid w:val="002D6EE8"/>
    <w:rsid w:val="002E0E3F"/>
    <w:rsid w:val="002E1319"/>
    <w:rsid w:val="002E26DF"/>
    <w:rsid w:val="002E3B16"/>
    <w:rsid w:val="002E3DF6"/>
    <w:rsid w:val="002E454C"/>
    <w:rsid w:val="002E4983"/>
    <w:rsid w:val="002E4FC3"/>
    <w:rsid w:val="002E5097"/>
    <w:rsid w:val="002E65E8"/>
    <w:rsid w:val="002F0867"/>
    <w:rsid w:val="002F0D70"/>
    <w:rsid w:val="002F231C"/>
    <w:rsid w:val="002F35E5"/>
    <w:rsid w:val="002F501F"/>
    <w:rsid w:val="002F556D"/>
    <w:rsid w:val="002F6099"/>
    <w:rsid w:val="002F617F"/>
    <w:rsid w:val="002F6534"/>
    <w:rsid w:val="002F6CE9"/>
    <w:rsid w:val="00300109"/>
    <w:rsid w:val="00301755"/>
    <w:rsid w:val="00302B88"/>
    <w:rsid w:val="00302C89"/>
    <w:rsid w:val="00304237"/>
    <w:rsid w:val="00305B8B"/>
    <w:rsid w:val="003061C4"/>
    <w:rsid w:val="0030665E"/>
    <w:rsid w:val="00306894"/>
    <w:rsid w:val="0030774E"/>
    <w:rsid w:val="003100B4"/>
    <w:rsid w:val="0031093F"/>
    <w:rsid w:val="003109D8"/>
    <w:rsid w:val="00310F41"/>
    <w:rsid w:val="00311D1A"/>
    <w:rsid w:val="003122F4"/>
    <w:rsid w:val="0031369F"/>
    <w:rsid w:val="00313E21"/>
    <w:rsid w:val="00315283"/>
    <w:rsid w:val="00316059"/>
    <w:rsid w:val="0031605A"/>
    <w:rsid w:val="0031617E"/>
    <w:rsid w:val="003169F8"/>
    <w:rsid w:val="003204E3"/>
    <w:rsid w:val="00321656"/>
    <w:rsid w:val="003219B0"/>
    <w:rsid w:val="00322D04"/>
    <w:rsid w:val="00323BF0"/>
    <w:rsid w:val="00324D7F"/>
    <w:rsid w:val="00325270"/>
    <w:rsid w:val="003268D5"/>
    <w:rsid w:val="003269DC"/>
    <w:rsid w:val="00326E97"/>
    <w:rsid w:val="00327BF6"/>
    <w:rsid w:val="00327DFB"/>
    <w:rsid w:val="00327F8E"/>
    <w:rsid w:val="003301BC"/>
    <w:rsid w:val="003302F4"/>
    <w:rsid w:val="00331E35"/>
    <w:rsid w:val="00333966"/>
    <w:rsid w:val="00333F7A"/>
    <w:rsid w:val="003341FB"/>
    <w:rsid w:val="00334F97"/>
    <w:rsid w:val="00337490"/>
    <w:rsid w:val="0033753F"/>
    <w:rsid w:val="003404D2"/>
    <w:rsid w:val="00340844"/>
    <w:rsid w:val="00340C15"/>
    <w:rsid w:val="00342CCD"/>
    <w:rsid w:val="003448F6"/>
    <w:rsid w:val="00345115"/>
    <w:rsid w:val="00345523"/>
    <w:rsid w:val="00345700"/>
    <w:rsid w:val="003459EC"/>
    <w:rsid w:val="00350759"/>
    <w:rsid w:val="003518A8"/>
    <w:rsid w:val="00351CB7"/>
    <w:rsid w:val="00351D65"/>
    <w:rsid w:val="003528C1"/>
    <w:rsid w:val="003535B9"/>
    <w:rsid w:val="003546AD"/>
    <w:rsid w:val="00354D27"/>
    <w:rsid w:val="00355BB4"/>
    <w:rsid w:val="00356B3E"/>
    <w:rsid w:val="0035738A"/>
    <w:rsid w:val="00357472"/>
    <w:rsid w:val="0036061A"/>
    <w:rsid w:val="003609DD"/>
    <w:rsid w:val="00361600"/>
    <w:rsid w:val="003628B9"/>
    <w:rsid w:val="00362A32"/>
    <w:rsid w:val="00363E11"/>
    <w:rsid w:val="00365D49"/>
    <w:rsid w:val="00366512"/>
    <w:rsid w:val="00366546"/>
    <w:rsid w:val="003665BF"/>
    <w:rsid w:val="00367F82"/>
    <w:rsid w:val="00370387"/>
    <w:rsid w:val="00370634"/>
    <w:rsid w:val="00372EFB"/>
    <w:rsid w:val="00373118"/>
    <w:rsid w:val="00376B78"/>
    <w:rsid w:val="00376CF0"/>
    <w:rsid w:val="00377D4C"/>
    <w:rsid w:val="003831CE"/>
    <w:rsid w:val="00384050"/>
    <w:rsid w:val="003858A6"/>
    <w:rsid w:val="00385EC4"/>
    <w:rsid w:val="00386A58"/>
    <w:rsid w:val="00386E96"/>
    <w:rsid w:val="00390D22"/>
    <w:rsid w:val="00392113"/>
    <w:rsid w:val="00392DCC"/>
    <w:rsid w:val="0039410C"/>
    <w:rsid w:val="00394FB6"/>
    <w:rsid w:val="003972B7"/>
    <w:rsid w:val="00397974"/>
    <w:rsid w:val="003A0D18"/>
    <w:rsid w:val="003A0D92"/>
    <w:rsid w:val="003A1402"/>
    <w:rsid w:val="003A2703"/>
    <w:rsid w:val="003A2CF4"/>
    <w:rsid w:val="003A5421"/>
    <w:rsid w:val="003A5B36"/>
    <w:rsid w:val="003B1AF2"/>
    <w:rsid w:val="003B1BD5"/>
    <w:rsid w:val="003B311E"/>
    <w:rsid w:val="003B321D"/>
    <w:rsid w:val="003B37CC"/>
    <w:rsid w:val="003B3FA3"/>
    <w:rsid w:val="003B5447"/>
    <w:rsid w:val="003C153C"/>
    <w:rsid w:val="003C1827"/>
    <w:rsid w:val="003C1C10"/>
    <w:rsid w:val="003C24B4"/>
    <w:rsid w:val="003C35B8"/>
    <w:rsid w:val="003C370D"/>
    <w:rsid w:val="003C42F6"/>
    <w:rsid w:val="003C4FA0"/>
    <w:rsid w:val="003C5DB9"/>
    <w:rsid w:val="003C647B"/>
    <w:rsid w:val="003C64FC"/>
    <w:rsid w:val="003C7030"/>
    <w:rsid w:val="003C72EB"/>
    <w:rsid w:val="003D03D9"/>
    <w:rsid w:val="003D150B"/>
    <w:rsid w:val="003D5238"/>
    <w:rsid w:val="003D52FC"/>
    <w:rsid w:val="003D58C6"/>
    <w:rsid w:val="003D5EDF"/>
    <w:rsid w:val="003D63EF"/>
    <w:rsid w:val="003D7757"/>
    <w:rsid w:val="003E19BC"/>
    <w:rsid w:val="003E20D6"/>
    <w:rsid w:val="003E2426"/>
    <w:rsid w:val="003E3CE2"/>
    <w:rsid w:val="003E40AF"/>
    <w:rsid w:val="003E4995"/>
    <w:rsid w:val="003E4D87"/>
    <w:rsid w:val="003E5D32"/>
    <w:rsid w:val="003E5FC6"/>
    <w:rsid w:val="003E6B55"/>
    <w:rsid w:val="003E73CE"/>
    <w:rsid w:val="003F050F"/>
    <w:rsid w:val="003F1D9E"/>
    <w:rsid w:val="003F2B1E"/>
    <w:rsid w:val="003F4639"/>
    <w:rsid w:val="003F49DB"/>
    <w:rsid w:val="003F531D"/>
    <w:rsid w:val="003F5713"/>
    <w:rsid w:val="003F5797"/>
    <w:rsid w:val="003F5A99"/>
    <w:rsid w:val="003F7838"/>
    <w:rsid w:val="003F797A"/>
    <w:rsid w:val="003F7EF2"/>
    <w:rsid w:val="00400651"/>
    <w:rsid w:val="00400A2E"/>
    <w:rsid w:val="00400CC0"/>
    <w:rsid w:val="00401082"/>
    <w:rsid w:val="004014CB"/>
    <w:rsid w:val="0040177D"/>
    <w:rsid w:val="00401B3A"/>
    <w:rsid w:val="00401E34"/>
    <w:rsid w:val="00401F63"/>
    <w:rsid w:val="00402349"/>
    <w:rsid w:val="0040365E"/>
    <w:rsid w:val="004062F3"/>
    <w:rsid w:val="00406942"/>
    <w:rsid w:val="0040746C"/>
    <w:rsid w:val="00407659"/>
    <w:rsid w:val="00407F51"/>
    <w:rsid w:val="0041059E"/>
    <w:rsid w:val="00410B8C"/>
    <w:rsid w:val="00410EEF"/>
    <w:rsid w:val="00414A3E"/>
    <w:rsid w:val="00415C55"/>
    <w:rsid w:val="00416762"/>
    <w:rsid w:val="00416993"/>
    <w:rsid w:val="00416A41"/>
    <w:rsid w:val="00416E55"/>
    <w:rsid w:val="004205CA"/>
    <w:rsid w:val="004208ED"/>
    <w:rsid w:val="0042132B"/>
    <w:rsid w:val="0042518A"/>
    <w:rsid w:val="00425D0C"/>
    <w:rsid w:val="00426547"/>
    <w:rsid w:val="004276A0"/>
    <w:rsid w:val="00430CC1"/>
    <w:rsid w:val="00430EF8"/>
    <w:rsid w:val="00430F78"/>
    <w:rsid w:val="00431314"/>
    <w:rsid w:val="00431BE4"/>
    <w:rsid w:val="00431C09"/>
    <w:rsid w:val="004330FC"/>
    <w:rsid w:val="0043413F"/>
    <w:rsid w:val="004344C7"/>
    <w:rsid w:val="0043521C"/>
    <w:rsid w:val="0043622A"/>
    <w:rsid w:val="004365CA"/>
    <w:rsid w:val="00436ADC"/>
    <w:rsid w:val="004400F0"/>
    <w:rsid w:val="004407DD"/>
    <w:rsid w:val="0044144B"/>
    <w:rsid w:val="004417B4"/>
    <w:rsid w:val="00442E72"/>
    <w:rsid w:val="00443066"/>
    <w:rsid w:val="00443236"/>
    <w:rsid w:val="0044405E"/>
    <w:rsid w:val="0044407B"/>
    <w:rsid w:val="00444EA4"/>
    <w:rsid w:val="0044514B"/>
    <w:rsid w:val="00445265"/>
    <w:rsid w:val="00445FC3"/>
    <w:rsid w:val="0044615A"/>
    <w:rsid w:val="00446A27"/>
    <w:rsid w:val="00446BF8"/>
    <w:rsid w:val="00447505"/>
    <w:rsid w:val="0045051C"/>
    <w:rsid w:val="004516E3"/>
    <w:rsid w:val="004517B8"/>
    <w:rsid w:val="0045242F"/>
    <w:rsid w:val="004524B0"/>
    <w:rsid w:val="004524BB"/>
    <w:rsid w:val="0045369B"/>
    <w:rsid w:val="00454970"/>
    <w:rsid w:val="00454F0F"/>
    <w:rsid w:val="004559CE"/>
    <w:rsid w:val="00455E1B"/>
    <w:rsid w:val="00455E96"/>
    <w:rsid w:val="00457151"/>
    <w:rsid w:val="0045741B"/>
    <w:rsid w:val="00460D71"/>
    <w:rsid w:val="00460E1A"/>
    <w:rsid w:val="0046181E"/>
    <w:rsid w:val="004618FA"/>
    <w:rsid w:val="0046251B"/>
    <w:rsid w:val="00463DF8"/>
    <w:rsid w:val="0046462A"/>
    <w:rsid w:val="00464D63"/>
    <w:rsid w:val="00465DBF"/>
    <w:rsid w:val="004660DB"/>
    <w:rsid w:val="00466763"/>
    <w:rsid w:val="00473593"/>
    <w:rsid w:val="00473A81"/>
    <w:rsid w:val="00474877"/>
    <w:rsid w:val="00475085"/>
    <w:rsid w:val="00476CF6"/>
    <w:rsid w:val="0047798D"/>
    <w:rsid w:val="00477AA8"/>
    <w:rsid w:val="00477B03"/>
    <w:rsid w:val="004819F3"/>
    <w:rsid w:val="00482C0C"/>
    <w:rsid w:val="0048383C"/>
    <w:rsid w:val="00484F75"/>
    <w:rsid w:val="004853DA"/>
    <w:rsid w:val="004854BD"/>
    <w:rsid w:val="004865FB"/>
    <w:rsid w:val="00487282"/>
    <w:rsid w:val="004879BB"/>
    <w:rsid w:val="00490291"/>
    <w:rsid w:val="00490619"/>
    <w:rsid w:val="00491F8B"/>
    <w:rsid w:val="00492FCB"/>
    <w:rsid w:val="00493266"/>
    <w:rsid w:val="004937B7"/>
    <w:rsid w:val="00493DFF"/>
    <w:rsid w:val="00493F4D"/>
    <w:rsid w:val="00494605"/>
    <w:rsid w:val="00495049"/>
    <w:rsid w:val="0049567F"/>
    <w:rsid w:val="004976CA"/>
    <w:rsid w:val="004A0F11"/>
    <w:rsid w:val="004A26C8"/>
    <w:rsid w:val="004A338E"/>
    <w:rsid w:val="004A3CDA"/>
    <w:rsid w:val="004A3EAA"/>
    <w:rsid w:val="004A4B39"/>
    <w:rsid w:val="004A4DAF"/>
    <w:rsid w:val="004A7036"/>
    <w:rsid w:val="004A7BEE"/>
    <w:rsid w:val="004A7D97"/>
    <w:rsid w:val="004B09A1"/>
    <w:rsid w:val="004B1846"/>
    <w:rsid w:val="004B1BD2"/>
    <w:rsid w:val="004B24BB"/>
    <w:rsid w:val="004B3A57"/>
    <w:rsid w:val="004B3C4F"/>
    <w:rsid w:val="004B4AE2"/>
    <w:rsid w:val="004B4E01"/>
    <w:rsid w:val="004B5133"/>
    <w:rsid w:val="004B597D"/>
    <w:rsid w:val="004B5F2E"/>
    <w:rsid w:val="004B6A51"/>
    <w:rsid w:val="004B7003"/>
    <w:rsid w:val="004B7CF4"/>
    <w:rsid w:val="004C178F"/>
    <w:rsid w:val="004C25BD"/>
    <w:rsid w:val="004C2DD5"/>
    <w:rsid w:val="004C41B6"/>
    <w:rsid w:val="004C4AE9"/>
    <w:rsid w:val="004C5A6A"/>
    <w:rsid w:val="004C5B99"/>
    <w:rsid w:val="004D0B72"/>
    <w:rsid w:val="004D1401"/>
    <w:rsid w:val="004D1AA2"/>
    <w:rsid w:val="004D2F02"/>
    <w:rsid w:val="004D414D"/>
    <w:rsid w:val="004D47CF"/>
    <w:rsid w:val="004D4A84"/>
    <w:rsid w:val="004D550F"/>
    <w:rsid w:val="004D6E37"/>
    <w:rsid w:val="004D75D3"/>
    <w:rsid w:val="004D7BAA"/>
    <w:rsid w:val="004E00EA"/>
    <w:rsid w:val="004E029D"/>
    <w:rsid w:val="004E0E7E"/>
    <w:rsid w:val="004E1214"/>
    <w:rsid w:val="004E196A"/>
    <w:rsid w:val="004E2878"/>
    <w:rsid w:val="004E346A"/>
    <w:rsid w:val="004E3721"/>
    <w:rsid w:val="004E4428"/>
    <w:rsid w:val="004E5957"/>
    <w:rsid w:val="004E5C75"/>
    <w:rsid w:val="004E665D"/>
    <w:rsid w:val="004E6D27"/>
    <w:rsid w:val="004E6FF2"/>
    <w:rsid w:val="004E7B10"/>
    <w:rsid w:val="004F276E"/>
    <w:rsid w:val="004F2816"/>
    <w:rsid w:val="004F451F"/>
    <w:rsid w:val="004F4B92"/>
    <w:rsid w:val="004F532E"/>
    <w:rsid w:val="004F6FEF"/>
    <w:rsid w:val="00500607"/>
    <w:rsid w:val="005008A7"/>
    <w:rsid w:val="00501493"/>
    <w:rsid w:val="00502035"/>
    <w:rsid w:val="0050375C"/>
    <w:rsid w:val="0050401B"/>
    <w:rsid w:val="005043A7"/>
    <w:rsid w:val="0050441A"/>
    <w:rsid w:val="00504A5A"/>
    <w:rsid w:val="00505589"/>
    <w:rsid w:val="005057E6"/>
    <w:rsid w:val="005068AE"/>
    <w:rsid w:val="005068F4"/>
    <w:rsid w:val="00506F24"/>
    <w:rsid w:val="005072EC"/>
    <w:rsid w:val="00507303"/>
    <w:rsid w:val="00507685"/>
    <w:rsid w:val="005103E4"/>
    <w:rsid w:val="00516785"/>
    <w:rsid w:val="00517614"/>
    <w:rsid w:val="00520346"/>
    <w:rsid w:val="00520C64"/>
    <w:rsid w:val="005212EB"/>
    <w:rsid w:val="00521372"/>
    <w:rsid w:val="005213C2"/>
    <w:rsid w:val="00521666"/>
    <w:rsid w:val="005219F3"/>
    <w:rsid w:val="00523EFA"/>
    <w:rsid w:val="0052419D"/>
    <w:rsid w:val="00524BFB"/>
    <w:rsid w:val="0052511E"/>
    <w:rsid w:val="00525C69"/>
    <w:rsid w:val="00526022"/>
    <w:rsid w:val="00526AE6"/>
    <w:rsid w:val="00527EBD"/>
    <w:rsid w:val="005301F8"/>
    <w:rsid w:val="00530B60"/>
    <w:rsid w:val="005312FC"/>
    <w:rsid w:val="00534C79"/>
    <w:rsid w:val="00534CAC"/>
    <w:rsid w:val="005353F8"/>
    <w:rsid w:val="0053569E"/>
    <w:rsid w:val="00535E86"/>
    <w:rsid w:val="0053603D"/>
    <w:rsid w:val="00536883"/>
    <w:rsid w:val="005372F3"/>
    <w:rsid w:val="0053742A"/>
    <w:rsid w:val="00537C85"/>
    <w:rsid w:val="005402E4"/>
    <w:rsid w:val="00540390"/>
    <w:rsid w:val="00540DD5"/>
    <w:rsid w:val="00541C2D"/>
    <w:rsid w:val="00541D29"/>
    <w:rsid w:val="00543778"/>
    <w:rsid w:val="0054642E"/>
    <w:rsid w:val="00546CB9"/>
    <w:rsid w:val="00547E63"/>
    <w:rsid w:val="00551540"/>
    <w:rsid w:val="005530B2"/>
    <w:rsid w:val="005531DF"/>
    <w:rsid w:val="00553C77"/>
    <w:rsid w:val="005542FE"/>
    <w:rsid w:val="00554D3E"/>
    <w:rsid w:val="00556274"/>
    <w:rsid w:val="00561798"/>
    <w:rsid w:val="00561B4D"/>
    <w:rsid w:val="00561EFF"/>
    <w:rsid w:val="00562BB7"/>
    <w:rsid w:val="00562F17"/>
    <w:rsid w:val="005656B9"/>
    <w:rsid w:val="0056582C"/>
    <w:rsid w:val="00565DB5"/>
    <w:rsid w:val="00567189"/>
    <w:rsid w:val="005725C4"/>
    <w:rsid w:val="0057433F"/>
    <w:rsid w:val="00574A83"/>
    <w:rsid w:val="005758D6"/>
    <w:rsid w:val="005759D1"/>
    <w:rsid w:val="00575D2E"/>
    <w:rsid w:val="00577095"/>
    <w:rsid w:val="00577262"/>
    <w:rsid w:val="00580B37"/>
    <w:rsid w:val="00581190"/>
    <w:rsid w:val="005812DA"/>
    <w:rsid w:val="0058218B"/>
    <w:rsid w:val="005831B0"/>
    <w:rsid w:val="00583318"/>
    <w:rsid w:val="0058337B"/>
    <w:rsid w:val="00583559"/>
    <w:rsid w:val="00585437"/>
    <w:rsid w:val="005868DE"/>
    <w:rsid w:val="00586ED1"/>
    <w:rsid w:val="005877AC"/>
    <w:rsid w:val="00590576"/>
    <w:rsid w:val="0059275A"/>
    <w:rsid w:val="005936DC"/>
    <w:rsid w:val="00594221"/>
    <w:rsid w:val="005966B7"/>
    <w:rsid w:val="005971F2"/>
    <w:rsid w:val="00597A61"/>
    <w:rsid w:val="005A1375"/>
    <w:rsid w:val="005A2DFC"/>
    <w:rsid w:val="005A447B"/>
    <w:rsid w:val="005A44E2"/>
    <w:rsid w:val="005A4710"/>
    <w:rsid w:val="005A591E"/>
    <w:rsid w:val="005A6048"/>
    <w:rsid w:val="005A65BA"/>
    <w:rsid w:val="005B0F48"/>
    <w:rsid w:val="005B4237"/>
    <w:rsid w:val="005B44F3"/>
    <w:rsid w:val="005B4ED8"/>
    <w:rsid w:val="005B4EEE"/>
    <w:rsid w:val="005B4F03"/>
    <w:rsid w:val="005B5589"/>
    <w:rsid w:val="005B5E2A"/>
    <w:rsid w:val="005B70F5"/>
    <w:rsid w:val="005B71B8"/>
    <w:rsid w:val="005C02A4"/>
    <w:rsid w:val="005C0D03"/>
    <w:rsid w:val="005C0FD3"/>
    <w:rsid w:val="005C1506"/>
    <w:rsid w:val="005C20B0"/>
    <w:rsid w:val="005C20D2"/>
    <w:rsid w:val="005C2418"/>
    <w:rsid w:val="005C2744"/>
    <w:rsid w:val="005C2F83"/>
    <w:rsid w:val="005C32FE"/>
    <w:rsid w:val="005C3781"/>
    <w:rsid w:val="005C4308"/>
    <w:rsid w:val="005C4ED4"/>
    <w:rsid w:val="005C503A"/>
    <w:rsid w:val="005C5678"/>
    <w:rsid w:val="005C7624"/>
    <w:rsid w:val="005C7751"/>
    <w:rsid w:val="005D024A"/>
    <w:rsid w:val="005D28A6"/>
    <w:rsid w:val="005D28A7"/>
    <w:rsid w:val="005D39B6"/>
    <w:rsid w:val="005D4FD4"/>
    <w:rsid w:val="005D6D64"/>
    <w:rsid w:val="005E27F2"/>
    <w:rsid w:val="005E37A7"/>
    <w:rsid w:val="005E4399"/>
    <w:rsid w:val="005F13FD"/>
    <w:rsid w:val="005F1DB3"/>
    <w:rsid w:val="005F2C75"/>
    <w:rsid w:val="005F2E54"/>
    <w:rsid w:val="005F3BB1"/>
    <w:rsid w:val="005F3D66"/>
    <w:rsid w:val="005F654A"/>
    <w:rsid w:val="005F7CB8"/>
    <w:rsid w:val="00601168"/>
    <w:rsid w:val="00601650"/>
    <w:rsid w:val="00601CEE"/>
    <w:rsid w:val="00602D1A"/>
    <w:rsid w:val="00604EEF"/>
    <w:rsid w:val="00605AFD"/>
    <w:rsid w:val="00605B79"/>
    <w:rsid w:val="00606358"/>
    <w:rsid w:val="00606CD3"/>
    <w:rsid w:val="006078C7"/>
    <w:rsid w:val="006123D4"/>
    <w:rsid w:val="0061376F"/>
    <w:rsid w:val="00613FB6"/>
    <w:rsid w:val="0061445B"/>
    <w:rsid w:val="006167E4"/>
    <w:rsid w:val="0061773B"/>
    <w:rsid w:val="00617DEC"/>
    <w:rsid w:val="006206F0"/>
    <w:rsid w:val="00620A88"/>
    <w:rsid w:val="0062112C"/>
    <w:rsid w:val="00622377"/>
    <w:rsid w:val="00622D99"/>
    <w:rsid w:val="00624A98"/>
    <w:rsid w:val="00624C4B"/>
    <w:rsid w:val="00625AC5"/>
    <w:rsid w:val="0062604F"/>
    <w:rsid w:val="00627AAC"/>
    <w:rsid w:val="0063019D"/>
    <w:rsid w:val="006305FD"/>
    <w:rsid w:val="006322F8"/>
    <w:rsid w:val="0063289E"/>
    <w:rsid w:val="006333FA"/>
    <w:rsid w:val="0063472C"/>
    <w:rsid w:val="00635CEC"/>
    <w:rsid w:val="0063653D"/>
    <w:rsid w:val="00636A99"/>
    <w:rsid w:val="00636B6A"/>
    <w:rsid w:val="00636DDA"/>
    <w:rsid w:val="006415C3"/>
    <w:rsid w:val="00641E8B"/>
    <w:rsid w:val="00641EF2"/>
    <w:rsid w:val="0064234D"/>
    <w:rsid w:val="006427AE"/>
    <w:rsid w:val="00642BC8"/>
    <w:rsid w:val="00644F03"/>
    <w:rsid w:val="00645625"/>
    <w:rsid w:val="00646A46"/>
    <w:rsid w:val="0064794D"/>
    <w:rsid w:val="00651DED"/>
    <w:rsid w:val="00652CE4"/>
    <w:rsid w:val="00654312"/>
    <w:rsid w:val="00655835"/>
    <w:rsid w:val="006564D3"/>
    <w:rsid w:val="00656EBE"/>
    <w:rsid w:val="00657D5B"/>
    <w:rsid w:val="00661660"/>
    <w:rsid w:val="00663C0D"/>
    <w:rsid w:val="00664A1C"/>
    <w:rsid w:val="00665284"/>
    <w:rsid w:val="00665DCE"/>
    <w:rsid w:val="00665EDB"/>
    <w:rsid w:val="00666DFD"/>
    <w:rsid w:val="006674F4"/>
    <w:rsid w:val="00667F19"/>
    <w:rsid w:val="0067006E"/>
    <w:rsid w:val="00670BBB"/>
    <w:rsid w:val="0067179F"/>
    <w:rsid w:val="0067208D"/>
    <w:rsid w:val="006737C4"/>
    <w:rsid w:val="00674825"/>
    <w:rsid w:val="00675861"/>
    <w:rsid w:val="0067622C"/>
    <w:rsid w:val="00677FF1"/>
    <w:rsid w:val="00684018"/>
    <w:rsid w:val="00685CF7"/>
    <w:rsid w:val="00686165"/>
    <w:rsid w:val="00686810"/>
    <w:rsid w:val="00686A55"/>
    <w:rsid w:val="00687791"/>
    <w:rsid w:val="00687E3B"/>
    <w:rsid w:val="006915F8"/>
    <w:rsid w:val="00691CB5"/>
    <w:rsid w:val="00692367"/>
    <w:rsid w:val="006923DF"/>
    <w:rsid w:val="00692C29"/>
    <w:rsid w:val="00693FA1"/>
    <w:rsid w:val="00694B6A"/>
    <w:rsid w:val="00694BA5"/>
    <w:rsid w:val="0069512F"/>
    <w:rsid w:val="00696C3A"/>
    <w:rsid w:val="00696D2C"/>
    <w:rsid w:val="006A028C"/>
    <w:rsid w:val="006A058E"/>
    <w:rsid w:val="006A0750"/>
    <w:rsid w:val="006A1F82"/>
    <w:rsid w:val="006A2BA4"/>
    <w:rsid w:val="006A37F5"/>
    <w:rsid w:val="006A4F04"/>
    <w:rsid w:val="006A574E"/>
    <w:rsid w:val="006A5F1A"/>
    <w:rsid w:val="006A6C35"/>
    <w:rsid w:val="006B1177"/>
    <w:rsid w:val="006B357E"/>
    <w:rsid w:val="006B38FF"/>
    <w:rsid w:val="006B486D"/>
    <w:rsid w:val="006B677D"/>
    <w:rsid w:val="006C1892"/>
    <w:rsid w:val="006C1C3F"/>
    <w:rsid w:val="006C2EBB"/>
    <w:rsid w:val="006C349E"/>
    <w:rsid w:val="006C375B"/>
    <w:rsid w:val="006C4898"/>
    <w:rsid w:val="006C5A38"/>
    <w:rsid w:val="006C5B73"/>
    <w:rsid w:val="006C60FB"/>
    <w:rsid w:val="006C645D"/>
    <w:rsid w:val="006C686C"/>
    <w:rsid w:val="006C6F47"/>
    <w:rsid w:val="006C7451"/>
    <w:rsid w:val="006D106E"/>
    <w:rsid w:val="006D18A6"/>
    <w:rsid w:val="006D191E"/>
    <w:rsid w:val="006D195A"/>
    <w:rsid w:val="006D1A71"/>
    <w:rsid w:val="006D1F2A"/>
    <w:rsid w:val="006D3023"/>
    <w:rsid w:val="006D3636"/>
    <w:rsid w:val="006D3878"/>
    <w:rsid w:val="006D3E64"/>
    <w:rsid w:val="006D4C88"/>
    <w:rsid w:val="006D5FF2"/>
    <w:rsid w:val="006E0548"/>
    <w:rsid w:val="006E06C8"/>
    <w:rsid w:val="006E1061"/>
    <w:rsid w:val="006E13DD"/>
    <w:rsid w:val="006E1907"/>
    <w:rsid w:val="006E1E05"/>
    <w:rsid w:val="006E2700"/>
    <w:rsid w:val="006E2D2A"/>
    <w:rsid w:val="006E30B6"/>
    <w:rsid w:val="006E3CC3"/>
    <w:rsid w:val="006E482D"/>
    <w:rsid w:val="006E4E60"/>
    <w:rsid w:val="006E4F93"/>
    <w:rsid w:val="006E5F63"/>
    <w:rsid w:val="006E70A7"/>
    <w:rsid w:val="006E7FF8"/>
    <w:rsid w:val="006F0B19"/>
    <w:rsid w:val="006F307F"/>
    <w:rsid w:val="006F3CB1"/>
    <w:rsid w:val="006F498D"/>
    <w:rsid w:val="006F5B86"/>
    <w:rsid w:val="006F6476"/>
    <w:rsid w:val="006F77C6"/>
    <w:rsid w:val="00700DED"/>
    <w:rsid w:val="00701632"/>
    <w:rsid w:val="00701E07"/>
    <w:rsid w:val="00701FC8"/>
    <w:rsid w:val="00702DB9"/>
    <w:rsid w:val="00703482"/>
    <w:rsid w:val="007046D8"/>
    <w:rsid w:val="0070657C"/>
    <w:rsid w:val="00706A79"/>
    <w:rsid w:val="00706E8E"/>
    <w:rsid w:val="007078DB"/>
    <w:rsid w:val="00707ABA"/>
    <w:rsid w:val="00710113"/>
    <w:rsid w:val="00710697"/>
    <w:rsid w:val="00710AA7"/>
    <w:rsid w:val="00711162"/>
    <w:rsid w:val="007118B7"/>
    <w:rsid w:val="00712CF9"/>
    <w:rsid w:val="00712E2C"/>
    <w:rsid w:val="007172BD"/>
    <w:rsid w:val="0072072C"/>
    <w:rsid w:val="00721256"/>
    <w:rsid w:val="007224D7"/>
    <w:rsid w:val="00722B53"/>
    <w:rsid w:val="00722BF1"/>
    <w:rsid w:val="00723556"/>
    <w:rsid w:val="0072373F"/>
    <w:rsid w:val="00724ACD"/>
    <w:rsid w:val="007266DD"/>
    <w:rsid w:val="007275B4"/>
    <w:rsid w:val="00730753"/>
    <w:rsid w:val="00730BD0"/>
    <w:rsid w:val="00732844"/>
    <w:rsid w:val="007330BF"/>
    <w:rsid w:val="00733100"/>
    <w:rsid w:val="007331C0"/>
    <w:rsid w:val="007342D1"/>
    <w:rsid w:val="0073497A"/>
    <w:rsid w:val="00734C9A"/>
    <w:rsid w:val="007352E8"/>
    <w:rsid w:val="00735741"/>
    <w:rsid w:val="00735CED"/>
    <w:rsid w:val="0073640B"/>
    <w:rsid w:val="00736F8B"/>
    <w:rsid w:val="00741C64"/>
    <w:rsid w:val="0074636F"/>
    <w:rsid w:val="007469E4"/>
    <w:rsid w:val="00746BDA"/>
    <w:rsid w:val="007477EB"/>
    <w:rsid w:val="00747907"/>
    <w:rsid w:val="007500AF"/>
    <w:rsid w:val="007500B1"/>
    <w:rsid w:val="007509DD"/>
    <w:rsid w:val="007520FB"/>
    <w:rsid w:val="0075361A"/>
    <w:rsid w:val="00754946"/>
    <w:rsid w:val="00756823"/>
    <w:rsid w:val="0075699E"/>
    <w:rsid w:val="00756DB9"/>
    <w:rsid w:val="007570CE"/>
    <w:rsid w:val="007572AA"/>
    <w:rsid w:val="007609C0"/>
    <w:rsid w:val="00761673"/>
    <w:rsid w:val="00763474"/>
    <w:rsid w:val="00763842"/>
    <w:rsid w:val="00764D3F"/>
    <w:rsid w:val="007653D1"/>
    <w:rsid w:val="00765739"/>
    <w:rsid w:val="00765928"/>
    <w:rsid w:val="007663B9"/>
    <w:rsid w:val="00766932"/>
    <w:rsid w:val="00767172"/>
    <w:rsid w:val="00767A15"/>
    <w:rsid w:val="00771F5B"/>
    <w:rsid w:val="007726C6"/>
    <w:rsid w:val="0077328B"/>
    <w:rsid w:val="00774787"/>
    <w:rsid w:val="007750AE"/>
    <w:rsid w:val="0077620F"/>
    <w:rsid w:val="007767F1"/>
    <w:rsid w:val="00776A53"/>
    <w:rsid w:val="00777A5A"/>
    <w:rsid w:val="00777F75"/>
    <w:rsid w:val="00781ABE"/>
    <w:rsid w:val="00781FC0"/>
    <w:rsid w:val="00784C0A"/>
    <w:rsid w:val="00785126"/>
    <w:rsid w:val="00785C9D"/>
    <w:rsid w:val="007907C3"/>
    <w:rsid w:val="007916EB"/>
    <w:rsid w:val="00791CFB"/>
    <w:rsid w:val="007941C6"/>
    <w:rsid w:val="007944BB"/>
    <w:rsid w:val="00794B40"/>
    <w:rsid w:val="00794C28"/>
    <w:rsid w:val="00795041"/>
    <w:rsid w:val="00795074"/>
    <w:rsid w:val="007953AE"/>
    <w:rsid w:val="007958D0"/>
    <w:rsid w:val="0079696B"/>
    <w:rsid w:val="007971EB"/>
    <w:rsid w:val="0079754D"/>
    <w:rsid w:val="007977D3"/>
    <w:rsid w:val="007A1079"/>
    <w:rsid w:val="007A1395"/>
    <w:rsid w:val="007A24B5"/>
    <w:rsid w:val="007A2BF2"/>
    <w:rsid w:val="007A5842"/>
    <w:rsid w:val="007A5D1A"/>
    <w:rsid w:val="007A6833"/>
    <w:rsid w:val="007B05BE"/>
    <w:rsid w:val="007B1964"/>
    <w:rsid w:val="007B2677"/>
    <w:rsid w:val="007B39FE"/>
    <w:rsid w:val="007B42D7"/>
    <w:rsid w:val="007B4768"/>
    <w:rsid w:val="007B5023"/>
    <w:rsid w:val="007B52A9"/>
    <w:rsid w:val="007B57BE"/>
    <w:rsid w:val="007B72E6"/>
    <w:rsid w:val="007B73D8"/>
    <w:rsid w:val="007B76AB"/>
    <w:rsid w:val="007C0D44"/>
    <w:rsid w:val="007C18CB"/>
    <w:rsid w:val="007C3422"/>
    <w:rsid w:val="007C3593"/>
    <w:rsid w:val="007C5715"/>
    <w:rsid w:val="007C669E"/>
    <w:rsid w:val="007C6939"/>
    <w:rsid w:val="007C7654"/>
    <w:rsid w:val="007D01B4"/>
    <w:rsid w:val="007D0602"/>
    <w:rsid w:val="007D0F27"/>
    <w:rsid w:val="007D1085"/>
    <w:rsid w:val="007D16B4"/>
    <w:rsid w:val="007D22C9"/>
    <w:rsid w:val="007D592B"/>
    <w:rsid w:val="007D5AA6"/>
    <w:rsid w:val="007D6457"/>
    <w:rsid w:val="007D64F5"/>
    <w:rsid w:val="007D668A"/>
    <w:rsid w:val="007D6D2A"/>
    <w:rsid w:val="007D72B5"/>
    <w:rsid w:val="007D7A91"/>
    <w:rsid w:val="007D7B18"/>
    <w:rsid w:val="007D7DFC"/>
    <w:rsid w:val="007E14F0"/>
    <w:rsid w:val="007E179E"/>
    <w:rsid w:val="007E3766"/>
    <w:rsid w:val="007E4708"/>
    <w:rsid w:val="007E4A6D"/>
    <w:rsid w:val="007E56E6"/>
    <w:rsid w:val="007E61CC"/>
    <w:rsid w:val="007E6269"/>
    <w:rsid w:val="007E6456"/>
    <w:rsid w:val="007E6515"/>
    <w:rsid w:val="007F02E9"/>
    <w:rsid w:val="007F1225"/>
    <w:rsid w:val="007F1D25"/>
    <w:rsid w:val="007F4B15"/>
    <w:rsid w:val="007F5DE8"/>
    <w:rsid w:val="007F5F27"/>
    <w:rsid w:val="007F7C5D"/>
    <w:rsid w:val="0080078C"/>
    <w:rsid w:val="00800791"/>
    <w:rsid w:val="008035B9"/>
    <w:rsid w:val="0080392D"/>
    <w:rsid w:val="00803E65"/>
    <w:rsid w:val="00804DDC"/>
    <w:rsid w:val="00805E0A"/>
    <w:rsid w:val="008063B7"/>
    <w:rsid w:val="008077CC"/>
    <w:rsid w:val="008108CA"/>
    <w:rsid w:val="00810911"/>
    <w:rsid w:val="00810B53"/>
    <w:rsid w:val="008115D9"/>
    <w:rsid w:val="0081190E"/>
    <w:rsid w:val="00811943"/>
    <w:rsid w:val="00812C25"/>
    <w:rsid w:val="008131B7"/>
    <w:rsid w:val="008139D3"/>
    <w:rsid w:val="008149FF"/>
    <w:rsid w:val="008158F7"/>
    <w:rsid w:val="00816B05"/>
    <w:rsid w:val="00816B29"/>
    <w:rsid w:val="008201CB"/>
    <w:rsid w:val="00823C40"/>
    <w:rsid w:val="00824304"/>
    <w:rsid w:val="00824B69"/>
    <w:rsid w:val="00824E9F"/>
    <w:rsid w:val="008259B2"/>
    <w:rsid w:val="00826301"/>
    <w:rsid w:val="008311B8"/>
    <w:rsid w:val="00832687"/>
    <w:rsid w:val="008326AB"/>
    <w:rsid w:val="00833534"/>
    <w:rsid w:val="00834118"/>
    <w:rsid w:val="00834243"/>
    <w:rsid w:val="00834A7A"/>
    <w:rsid w:val="00835350"/>
    <w:rsid w:val="00835FE8"/>
    <w:rsid w:val="008360C0"/>
    <w:rsid w:val="008373C0"/>
    <w:rsid w:val="00837733"/>
    <w:rsid w:val="00837771"/>
    <w:rsid w:val="008402BC"/>
    <w:rsid w:val="0084079C"/>
    <w:rsid w:val="00840A27"/>
    <w:rsid w:val="00840B86"/>
    <w:rsid w:val="008447B3"/>
    <w:rsid w:val="00845706"/>
    <w:rsid w:val="00846237"/>
    <w:rsid w:val="0084655B"/>
    <w:rsid w:val="00847694"/>
    <w:rsid w:val="00850570"/>
    <w:rsid w:val="00850B3F"/>
    <w:rsid w:val="00852E28"/>
    <w:rsid w:val="00853A37"/>
    <w:rsid w:val="008556BF"/>
    <w:rsid w:val="00855E8C"/>
    <w:rsid w:val="00856A7C"/>
    <w:rsid w:val="00857326"/>
    <w:rsid w:val="00857969"/>
    <w:rsid w:val="00860801"/>
    <w:rsid w:val="00862B9A"/>
    <w:rsid w:val="0086376B"/>
    <w:rsid w:val="00866A34"/>
    <w:rsid w:val="00867207"/>
    <w:rsid w:val="00867517"/>
    <w:rsid w:val="0086795F"/>
    <w:rsid w:val="00867CC9"/>
    <w:rsid w:val="00867E63"/>
    <w:rsid w:val="008715DC"/>
    <w:rsid w:val="00871CED"/>
    <w:rsid w:val="0087257E"/>
    <w:rsid w:val="00873832"/>
    <w:rsid w:val="008752C2"/>
    <w:rsid w:val="0087585D"/>
    <w:rsid w:val="008760D8"/>
    <w:rsid w:val="00876B45"/>
    <w:rsid w:val="0087718B"/>
    <w:rsid w:val="00880487"/>
    <w:rsid w:val="00882002"/>
    <w:rsid w:val="00882305"/>
    <w:rsid w:val="008826B1"/>
    <w:rsid w:val="008829F6"/>
    <w:rsid w:val="00882CC4"/>
    <w:rsid w:val="008830CD"/>
    <w:rsid w:val="0088348A"/>
    <w:rsid w:val="008844AC"/>
    <w:rsid w:val="00884999"/>
    <w:rsid w:val="00887AD0"/>
    <w:rsid w:val="00887D73"/>
    <w:rsid w:val="008925FE"/>
    <w:rsid w:val="00893552"/>
    <w:rsid w:val="0089533C"/>
    <w:rsid w:val="008954D7"/>
    <w:rsid w:val="00895632"/>
    <w:rsid w:val="008977DD"/>
    <w:rsid w:val="00897B11"/>
    <w:rsid w:val="00897D66"/>
    <w:rsid w:val="008A0708"/>
    <w:rsid w:val="008A0BEA"/>
    <w:rsid w:val="008A0CA3"/>
    <w:rsid w:val="008A1EFD"/>
    <w:rsid w:val="008A4F49"/>
    <w:rsid w:val="008A54F8"/>
    <w:rsid w:val="008A6F12"/>
    <w:rsid w:val="008B1733"/>
    <w:rsid w:val="008B211C"/>
    <w:rsid w:val="008B30DF"/>
    <w:rsid w:val="008B48B6"/>
    <w:rsid w:val="008B6787"/>
    <w:rsid w:val="008C0310"/>
    <w:rsid w:val="008C090B"/>
    <w:rsid w:val="008C0C81"/>
    <w:rsid w:val="008C2628"/>
    <w:rsid w:val="008C2AAD"/>
    <w:rsid w:val="008C3AC1"/>
    <w:rsid w:val="008C48C7"/>
    <w:rsid w:val="008C57B2"/>
    <w:rsid w:val="008C5872"/>
    <w:rsid w:val="008C663B"/>
    <w:rsid w:val="008C67F8"/>
    <w:rsid w:val="008C70B5"/>
    <w:rsid w:val="008C7C75"/>
    <w:rsid w:val="008C7F71"/>
    <w:rsid w:val="008D026A"/>
    <w:rsid w:val="008D089D"/>
    <w:rsid w:val="008D181E"/>
    <w:rsid w:val="008D2933"/>
    <w:rsid w:val="008D339F"/>
    <w:rsid w:val="008D3FCD"/>
    <w:rsid w:val="008D4133"/>
    <w:rsid w:val="008D5279"/>
    <w:rsid w:val="008D5561"/>
    <w:rsid w:val="008D5EA4"/>
    <w:rsid w:val="008D6E9E"/>
    <w:rsid w:val="008D79B6"/>
    <w:rsid w:val="008D7FCC"/>
    <w:rsid w:val="008E02C4"/>
    <w:rsid w:val="008E078F"/>
    <w:rsid w:val="008E0B76"/>
    <w:rsid w:val="008E1800"/>
    <w:rsid w:val="008E3551"/>
    <w:rsid w:val="008E3909"/>
    <w:rsid w:val="008E3DBD"/>
    <w:rsid w:val="008E6292"/>
    <w:rsid w:val="008E709F"/>
    <w:rsid w:val="008E759C"/>
    <w:rsid w:val="008E7B7C"/>
    <w:rsid w:val="008F058F"/>
    <w:rsid w:val="008F1FA0"/>
    <w:rsid w:val="008F2201"/>
    <w:rsid w:val="008F23EB"/>
    <w:rsid w:val="008F46DF"/>
    <w:rsid w:val="008F4C7F"/>
    <w:rsid w:val="008F709C"/>
    <w:rsid w:val="0090014D"/>
    <w:rsid w:val="009028CC"/>
    <w:rsid w:val="00902D34"/>
    <w:rsid w:val="00903842"/>
    <w:rsid w:val="009066FE"/>
    <w:rsid w:val="00910569"/>
    <w:rsid w:val="009107F3"/>
    <w:rsid w:val="009114CF"/>
    <w:rsid w:val="00912332"/>
    <w:rsid w:val="0091420F"/>
    <w:rsid w:val="0091460F"/>
    <w:rsid w:val="009149AA"/>
    <w:rsid w:val="00915403"/>
    <w:rsid w:val="00915BA7"/>
    <w:rsid w:val="0091719C"/>
    <w:rsid w:val="00917D37"/>
    <w:rsid w:val="00917E28"/>
    <w:rsid w:val="009231F5"/>
    <w:rsid w:val="009242D1"/>
    <w:rsid w:val="0092511F"/>
    <w:rsid w:val="00925AA5"/>
    <w:rsid w:val="009265E9"/>
    <w:rsid w:val="009267A9"/>
    <w:rsid w:val="009269FE"/>
    <w:rsid w:val="00927CC8"/>
    <w:rsid w:val="00932548"/>
    <w:rsid w:val="009326B9"/>
    <w:rsid w:val="00932D5F"/>
    <w:rsid w:val="00933CBC"/>
    <w:rsid w:val="0093524A"/>
    <w:rsid w:val="009353F7"/>
    <w:rsid w:val="0093540D"/>
    <w:rsid w:val="009356BC"/>
    <w:rsid w:val="0094019D"/>
    <w:rsid w:val="00940485"/>
    <w:rsid w:val="00942C11"/>
    <w:rsid w:val="0094351F"/>
    <w:rsid w:val="00943825"/>
    <w:rsid w:val="00944B78"/>
    <w:rsid w:val="00944E2E"/>
    <w:rsid w:val="00944F5A"/>
    <w:rsid w:val="00946605"/>
    <w:rsid w:val="00950161"/>
    <w:rsid w:val="00951265"/>
    <w:rsid w:val="009526DE"/>
    <w:rsid w:val="00952C48"/>
    <w:rsid w:val="00952DA4"/>
    <w:rsid w:val="00954121"/>
    <w:rsid w:val="009547F8"/>
    <w:rsid w:val="0095540A"/>
    <w:rsid w:val="00956089"/>
    <w:rsid w:val="00957CFA"/>
    <w:rsid w:val="009602FF"/>
    <w:rsid w:val="00960738"/>
    <w:rsid w:val="00960CEF"/>
    <w:rsid w:val="009612B5"/>
    <w:rsid w:val="009619DC"/>
    <w:rsid w:val="00962DCC"/>
    <w:rsid w:val="00963D1D"/>
    <w:rsid w:val="00964729"/>
    <w:rsid w:val="00965F3F"/>
    <w:rsid w:val="00966A1E"/>
    <w:rsid w:val="00967F2B"/>
    <w:rsid w:val="0097053E"/>
    <w:rsid w:val="00970F37"/>
    <w:rsid w:val="009710C0"/>
    <w:rsid w:val="009719CD"/>
    <w:rsid w:val="0097207C"/>
    <w:rsid w:val="00972362"/>
    <w:rsid w:val="009729D4"/>
    <w:rsid w:val="009730B6"/>
    <w:rsid w:val="00973307"/>
    <w:rsid w:val="0097395A"/>
    <w:rsid w:val="00975142"/>
    <w:rsid w:val="00975359"/>
    <w:rsid w:val="00976465"/>
    <w:rsid w:val="00976C19"/>
    <w:rsid w:val="00976FB3"/>
    <w:rsid w:val="00976FBD"/>
    <w:rsid w:val="00980759"/>
    <w:rsid w:val="00980D21"/>
    <w:rsid w:val="00981759"/>
    <w:rsid w:val="009817B0"/>
    <w:rsid w:val="00981867"/>
    <w:rsid w:val="009821CE"/>
    <w:rsid w:val="00982A28"/>
    <w:rsid w:val="00983C67"/>
    <w:rsid w:val="009849D3"/>
    <w:rsid w:val="00987173"/>
    <w:rsid w:val="00987977"/>
    <w:rsid w:val="00990ECE"/>
    <w:rsid w:val="00990FF9"/>
    <w:rsid w:val="00995452"/>
    <w:rsid w:val="009A0907"/>
    <w:rsid w:val="009A0FC0"/>
    <w:rsid w:val="009A177E"/>
    <w:rsid w:val="009A18F9"/>
    <w:rsid w:val="009A1BB2"/>
    <w:rsid w:val="009A277C"/>
    <w:rsid w:val="009A2CFF"/>
    <w:rsid w:val="009A32DA"/>
    <w:rsid w:val="009A39E4"/>
    <w:rsid w:val="009A4095"/>
    <w:rsid w:val="009A5501"/>
    <w:rsid w:val="009A5DFB"/>
    <w:rsid w:val="009A60E0"/>
    <w:rsid w:val="009A62CE"/>
    <w:rsid w:val="009A63A7"/>
    <w:rsid w:val="009A658F"/>
    <w:rsid w:val="009A7936"/>
    <w:rsid w:val="009A7C42"/>
    <w:rsid w:val="009B29FD"/>
    <w:rsid w:val="009B61A5"/>
    <w:rsid w:val="009B6725"/>
    <w:rsid w:val="009B6CDD"/>
    <w:rsid w:val="009C015D"/>
    <w:rsid w:val="009C2F63"/>
    <w:rsid w:val="009C37D7"/>
    <w:rsid w:val="009C6D7C"/>
    <w:rsid w:val="009C7337"/>
    <w:rsid w:val="009D3D9D"/>
    <w:rsid w:val="009D4B67"/>
    <w:rsid w:val="009D4E67"/>
    <w:rsid w:val="009D4FFF"/>
    <w:rsid w:val="009D7477"/>
    <w:rsid w:val="009E07F8"/>
    <w:rsid w:val="009E171B"/>
    <w:rsid w:val="009E1985"/>
    <w:rsid w:val="009E2A19"/>
    <w:rsid w:val="009E2FEB"/>
    <w:rsid w:val="009E3416"/>
    <w:rsid w:val="009E3FB4"/>
    <w:rsid w:val="009E44F1"/>
    <w:rsid w:val="009E4DA1"/>
    <w:rsid w:val="009E56DB"/>
    <w:rsid w:val="009E65EE"/>
    <w:rsid w:val="009E73FC"/>
    <w:rsid w:val="009F0619"/>
    <w:rsid w:val="009F0E2E"/>
    <w:rsid w:val="009F1336"/>
    <w:rsid w:val="009F1AE5"/>
    <w:rsid w:val="009F38EA"/>
    <w:rsid w:val="009F579F"/>
    <w:rsid w:val="009F7A3B"/>
    <w:rsid w:val="00A010E7"/>
    <w:rsid w:val="00A012DB"/>
    <w:rsid w:val="00A015E8"/>
    <w:rsid w:val="00A0190F"/>
    <w:rsid w:val="00A01A2D"/>
    <w:rsid w:val="00A0326A"/>
    <w:rsid w:val="00A03A05"/>
    <w:rsid w:val="00A03DD6"/>
    <w:rsid w:val="00A04386"/>
    <w:rsid w:val="00A04A60"/>
    <w:rsid w:val="00A05DB0"/>
    <w:rsid w:val="00A06700"/>
    <w:rsid w:val="00A07D47"/>
    <w:rsid w:val="00A12CC3"/>
    <w:rsid w:val="00A12F62"/>
    <w:rsid w:val="00A13707"/>
    <w:rsid w:val="00A141AF"/>
    <w:rsid w:val="00A14FE9"/>
    <w:rsid w:val="00A150F1"/>
    <w:rsid w:val="00A167AE"/>
    <w:rsid w:val="00A17573"/>
    <w:rsid w:val="00A17C24"/>
    <w:rsid w:val="00A20668"/>
    <w:rsid w:val="00A2173A"/>
    <w:rsid w:val="00A23587"/>
    <w:rsid w:val="00A236F0"/>
    <w:rsid w:val="00A23B2E"/>
    <w:rsid w:val="00A2652A"/>
    <w:rsid w:val="00A26B83"/>
    <w:rsid w:val="00A30B1C"/>
    <w:rsid w:val="00A30D25"/>
    <w:rsid w:val="00A3113F"/>
    <w:rsid w:val="00A31849"/>
    <w:rsid w:val="00A33EE3"/>
    <w:rsid w:val="00A34C90"/>
    <w:rsid w:val="00A36B30"/>
    <w:rsid w:val="00A36B70"/>
    <w:rsid w:val="00A36CCF"/>
    <w:rsid w:val="00A3749B"/>
    <w:rsid w:val="00A37D87"/>
    <w:rsid w:val="00A40787"/>
    <w:rsid w:val="00A40A34"/>
    <w:rsid w:val="00A40A50"/>
    <w:rsid w:val="00A40B8D"/>
    <w:rsid w:val="00A412BA"/>
    <w:rsid w:val="00A41426"/>
    <w:rsid w:val="00A41799"/>
    <w:rsid w:val="00A428E5"/>
    <w:rsid w:val="00A4315B"/>
    <w:rsid w:val="00A43B24"/>
    <w:rsid w:val="00A43C90"/>
    <w:rsid w:val="00A44146"/>
    <w:rsid w:val="00A454E1"/>
    <w:rsid w:val="00A45D2F"/>
    <w:rsid w:val="00A462B3"/>
    <w:rsid w:val="00A468FD"/>
    <w:rsid w:val="00A50D88"/>
    <w:rsid w:val="00A50F74"/>
    <w:rsid w:val="00A51D9F"/>
    <w:rsid w:val="00A562B7"/>
    <w:rsid w:val="00A56923"/>
    <w:rsid w:val="00A57D54"/>
    <w:rsid w:val="00A57EE4"/>
    <w:rsid w:val="00A61CBE"/>
    <w:rsid w:val="00A62E42"/>
    <w:rsid w:val="00A63EA6"/>
    <w:rsid w:val="00A64A71"/>
    <w:rsid w:val="00A6754C"/>
    <w:rsid w:val="00A72960"/>
    <w:rsid w:val="00A72D8F"/>
    <w:rsid w:val="00A735FF"/>
    <w:rsid w:val="00A73EFC"/>
    <w:rsid w:val="00A752FD"/>
    <w:rsid w:val="00A759B8"/>
    <w:rsid w:val="00A7603F"/>
    <w:rsid w:val="00A7629F"/>
    <w:rsid w:val="00A763CD"/>
    <w:rsid w:val="00A775FC"/>
    <w:rsid w:val="00A81588"/>
    <w:rsid w:val="00A822F8"/>
    <w:rsid w:val="00A8308B"/>
    <w:rsid w:val="00A90296"/>
    <w:rsid w:val="00A90BE4"/>
    <w:rsid w:val="00A90EA4"/>
    <w:rsid w:val="00A93401"/>
    <w:rsid w:val="00A944D5"/>
    <w:rsid w:val="00A96367"/>
    <w:rsid w:val="00A96617"/>
    <w:rsid w:val="00A96B83"/>
    <w:rsid w:val="00A96D90"/>
    <w:rsid w:val="00A9752C"/>
    <w:rsid w:val="00AA018F"/>
    <w:rsid w:val="00AA022A"/>
    <w:rsid w:val="00AA03CE"/>
    <w:rsid w:val="00AA0660"/>
    <w:rsid w:val="00AA07CD"/>
    <w:rsid w:val="00AA10FE"/>
    <w:rsid w:val="00AA1AF0"/>
    <w:rsid w:val="00AA2A22"/>
    <w:rsid w:val="00AA46BF"/>
    <w:rsid w:val="00AA47F0"/>
    <w:rsid w:val="00AA4E67"/>
    <w:rsid w:val="00AA6204"/>
    <w:rsid w:val="00AA6233"/>
    <w:rsid w:val="00AA6929"/>
    <w:rsid w:val="00AA6BBC"/>
    <w:rsid w:val="00AA759F"/>
    <w:rsid w:val="00AA7950"/>
    <w:rsid w:val="00AB0427"/>
    <w:rsid w:val="00AB2777"/>
    <w:rsid w:val="00AB2AF9"/>
    <w:rsid w:val="00AB2B0D"/>
    <w:rsid w:val="00AB2F1B"/>
    <w:rsid w:val="00AB6874"/>
    <w:rsid w:val="00AB6A3C"/>
    <w:rsid w:val="00AB771B"/>
    <w:rsid w:val="00AB7C88"/>
    <w:rsid w:val="00AB7FE6"/>
    <w:rsid w:val="00AC0AA2"/>
    <w:rsid w:val="00AC0FCB"/>
    <w:rsid w:val="00AC11F6"/>
    <w:rsid w:val="00AC1CD6"/>
    <w:rsid w:val="00AC3196"/>
    <w:rsid w:val="00AC45A6"/>
    <w:rsid w:val="00AD0355"/>
    <w:rsid w:val="00AD0A4C"/>
    <w:rsid w:val="00AD1EC7"/>
    <w:rsid w:val="00AD6372"/>
    <w:rsid w:val="00AD6622"/>
    <w:rsid w:val="00AD7E20"/>
    <w:rsid w:val="00AE03BC"/>
    <w:rsid w:val="00AE14B1"/>
    <w:rsid w:val="00AE2087"/>
    <w:rsid w:val="00AE259E"/>
    <w:rsid w:val="00AE2F90"/>
    <w:rsid w:val="00AE4734"/>
    <w:rsid w:val="00AE4C18"/>
    <w:rsid w:val="00AE59CB"/>
    <w:rsid w:val="00AE6110"/>
    <w:rsid w:val="00AE63A7"/>
    <w:rsid w:val="00AE7F20"/>
    <w:rsid w:val="00AF2471"/>
    <w:rsid w:val="00AF34AE"/>
    <w:rsid w:val="00AF34E7"/>
    <w:rsid w:val="00AF3A87"/>
    <w:rsid w:val="00AF3B95"/>
    <w:rsid w:val="00AF3EF9"/>
    <w:rsid w:val="00AF6674"/>
    <w:rsid w:val="00B016F1"/>
    <w:rsid w:val="00B035BB"/>
    <w:rsid w:val="00B03DD6"/>
    <w:rsid w:val="00B0740C"/>
    <w:rsid w:val="00B07A43"/>
    <w:rsid w:val="00B07B99"/>
    <w:rsid w:val="00B10109"/>
    <w:rsid w:val="00B1058D"/>
    <w:rsid w:val="00B10FC4"/>
    <w:rsid w:val="00B11EBB"/>
    <w:rsid w:val="00B146AC"/>
    <w:rsid w:val="00B1660E"/>
    <w:rsid w:val="00B17627"/>
    <w:rsid w:val="00B17FF6"/>
    <w:rsid w:val="00B209F5"/>
    <w:rsid w:val="00B21551"/>
    <w:rsid w:val="00B231A5"/>
    <w:rsid w:val="00B243D9"/>
    <w:rsid w:val="00B26986"/>
    <w:rsid w:val="00B26EF9"/>
    <w:rsid w:val="00B27EAF"/>
    <w:rsid w:val="00B3075F"/>
    <w:rsid w:val="00B31997"/>
    <w:rsid w:val="00B31AF7"/>
    <w:rsid w:val="00B32903"/>
    <w:rsid w:val="00B3291B"/>
    <w:rsid w:val="00B33110"/>
    <w:rsid w:val="00B3312B"/>
    <w:rsid w:val="00B33966"/>
    <w:rsid w:val="00B33F1D"/>
    <w:rsid w:val="00B33FEE"/>
    <w:rsid w:val="00B34287"/>
    <w:rsid w:val="00B34325"/>
    <w:rsid w:val="00B3583B"/>
    <w:rsid w:val="00B36132"/>
    <w:rsid w:val="00B361E2"/>
    <w:rsid w:val="00B367D5"/>
    <w:rsid w:val="00B367F2"/>
    <w:rsid w:val="00B36997"/>
    <w:rsid w:val="00B37A8F"/>
    <w:rsid w:val="00B37B09"/>
    <w:rsid w:val="00B37D6C"/>
    <w:rsid w:val="00B40457"/>
    <w:rsid w:val="00B405DC"/>
    <w:rsid w:val="00B40CA6"/>
    <w:rsid w:val="00B40DAB"/>
    <w:rsid w:val="00B41E0E"/>
    <w:rsid w:val="00B42436"/>
    <w:rsid w:val="00B43BD8"/>
    <w:rsid w:val="00B467DE"/>
    <w:rsid w:val="00B47084"/>
    <w:rsid w:val="00B4786F"/>
    <w:rsid w:val="00B53225"/>
    <w:rsid w:val="00B53D3D"/>
    <w:rsid w:val="00B54EBD"/>
    <w:rsid w:val="00B562E6"/>
    <w:rsid w:val="00B568F5"/>
    <w:rsid w:val="00B56AFF"/>
    <w:rsid w:val="00B57821"/>
    <w:rsid w:val="00B57CDC"/>
    <w:rsid w:val="00B628FD"/>
    <w:rsid w:val="00B62BC8"/>
    <w:rsid w:val="00B65347"/>
    <w:rsid w:val="00B655E6"/>
    <w:rsid w:val="00B65613"/>
    <w:rsid w:val="00B65DE1"/>
    <w:rsid w:val="00B65E3B"/>
    <w:rsid w:val="00B70979"/>
    <w:rsid w:val="00B721E2"/>
    <w:rsid w:val="00B72C46"/>
    <w:rsid w:val="00B76703"/>
    <w:rsid w:val="00B772D5"/>
    <w:rsid w:val="00B77CF1"/>
    <w:rsid w:val="00B80FB0"/>
    <w:rsid w:val="00B81544"/>
    <w:rsid w:val="00B81615"/>
    <w:rsid w:val="00B82EF5"/>
    <w:rsid w:val="00B834ED"/>
    <w:rsid w:val="00B8380E"/>
    <w:rsid w:val="00B839CD"/>
    <w:rsid w:val="00B840B4"/>
    <w:rsid w:val="00B852CA"/>
    <w:rsid w:val="00B85418"/>
    <w:rsid w:val="00B85815"/>
    <w:rsid w:val="00B87927"/>
    <w:rsid w:val="00B87B2B"/>
    <w:rsid w:val="00B90833"/>
    <w:rsid w:val="00B92869"/>
    <w:rsid w:val="00B944CF"/>
    <w:rsid w:val="00B948C5"/>
    <w:rsid w:val="00B95A96"/>
    <w:rsid w:val="00B9734C"/>
    <w:rsid w:val="00B97984"/>
    <w:rsid w:val="00B97B5C"/>
    <w:rsid w:val="00BA0002"/>
    <w:rsid w:val="00BA0BEA"/>
    <w:rsid w:val="00BA23F4"/>
    <w:rsid w:val="00BA2FCA"/>
    <w:rsid w:val="00BA347E"/>
    <w:rsid w:val="00BA3CE5"/>
    <w:rsid w:val="00BA4B00"/>
    <w:rsid w:val="00BA4BB1"/>
    <w:rsid w:val="00BA5280"/>
    <w:rsid w:val="00BA7759"/>
    <w:rsid w:val="00BB07FF"/>
    <w:rsid w:val="00BB0BAB"/>
    <w:rsid w:val="00BB17D7"/>
    <w:rsid w:val="00BB604F"/>
    <w:rsid w:val="00BB786B"/>
    <w:rsid w:val="00BC10E7"/>
    <w:rsid w:val="00BC25AB"/>
    <w:rsid w:val="00BC2944"/>
    <w:rsid w:val="00BC3316"/>
    <w:rsid w:val="00BC39DC"/>
    <w:rsid w:val="00BC4620"/>
    <w:rsid w:val="00BC670A"/>
    <w:rsid w:val="00BC705B"/>
    <w:rsid w:val="00BD0A17"/>
    <w:rsid w:val="00BD0CEF"/>
    <w:rsid w:val="00BD1022"/>
    <w:rsid w:val="00BD26AA"/>
    <w:rsid w:val="00BD3847"/>
    <w:rsid w:val="00BD454F"/>
    <w:rsid w:val="00BD477A"/>
    <w:rsid w:val="00BD6414"/>
    <w:rsid w:val="00BE2F30"/>
    <w:rsid w:val="00BE3674"/>
    <w:rsid w:val="00BE407F"/>
    <w:rsid w:val="00BE42C1"/>
    <w:rsid w:val="00BE4431"/>
    <w:rsid w:val="00BF04A7"/>
    <w:rsid w:val="00BF116B"/>
    <w:rsid w:val="00BF22E8"/>
    <w:rsid w:val="00BF3F5F"/>
    <w:rsid w:val="00BF43A0"/>
    <w:rsid w:val="00BF6A1E"/>
    <w:rsid w:val="00BF6E5E"/>
    <w:rsid w:val="00BF741F"/>
    <w:rsid w:val="00C015CC"/>
    <w:rsid w:val="00C01DCC"/>
    <w:rsid w:val="00C028C7"/>
    <w:rsid w:val="00C03A9C"/>
    <w:rsid w:val="00C03D25"/>
    <w:rsid w:val="00C07D18"/>
    <w:rsid w:val="00C1228A"/>
    <w:rsid w:val="00C13777"/>
    <w:rsid w:val="00C14034"/>
    <w:rsid w:val="00C152B4"/>
    <w:rsid w:val="00C17090"/>
    <w:rsid w:val="00C17B5A"/>
    <w:rsid w:val="00C202B3"/>
    <w:rsid w:val="00C20CF5"/>
    <w:rsid w:val="00C21C44"/>
    <w:rsid w:val="00C21EE0"/>
    <w:rsid w:val="00C2347E"/>
    <w:rsid w:val="00C23F4F"/>
    <w:rsid w:val="00C24349"/>
    <w:rsid w:val="00C25476"/>
    <w:rsid w:val="00C26007"/>
    <w:rsid w:val="00C276E5"/>
    <w:rsid w:val="00C30297"/>
    <w:rsid w:val="00C30C63"/>
    <w:rsid w:val="00C31223"/>
    <w:rsid w:val="00C314CF"/>
    <w:rsid w:val="00C31746"/>
    <w:rsid w:val="00C31C3E"/>
    <w:rsid w:val="00C3262C"/>
    <w:rsid w:val="00C330AC"/>
    <w:rsid w:val="00C33733"/>
    <w:rsid w:val="00C3374B"/>
    <w:rsid w:val="00C341F1"/>
    <w:rsid w:val="00C36FFA"/>
    <w:rsid w:val="00C4033B"/>
    <w:rsid w:val="00C406B4"/>
    <w:rsid w:val="00C407A5"/>
    <w:rsid w:val="00C43641"/>
    <w:rsid w:val="00C43A8E"/>
    <w:rsid w:val="00C442E8"/>
    <w:rsid w:val="00C44312"/>
    <w:rsid w:val="00C44D68"/>
    <w:rsid w:val="00C470F3"/>
    <w:rsid w:val="00C47223"/>
    <w:rsid w:val="00C472B8"/>
    <w:rsid w:val="00C50516"/>
    <w:rsid w:val="00C50C4A"/>
    <w:rsid w:val="00C50D02"/>
    <w:rsid w:val="00C51B78"/>
    <w:rsid w:val="00C522B1"/>
    <w:rsid w:val="00C54D12"/>
    <w:rsid w:val="00C55542"/>
    <w:rsid w:val="00C558B2"/>
    <w:rsid w:val="00C55A0F"/>
    <w:rsid w:val="00C55B01"/>
    <w:rsid w:val="00C56C98"/>
    <w:rsid w:val="00C56F00"/>
    <w:rsid w:val="00C60F77"/>
    <w:rsid w:val="00C62E8F"/>
    <w:rsid w:val="00C63361"/>
    <w:rsid w:val="00C63E06"/>
    <w:rsid w:val="00C64452"/>
    <w:rsid w:val="00C658D1"/>
    <w:rsid w:val="00C66A56"/>
    <w:rsid w:val="00C67B43"/>
    <w:rsid w:val="00C70C2D"/>
    <w:rsid w:val="00C718C3"/>
    <w:rsid w:val="00C718C6"/>
    <w:rsid w:val="00C71A49"/>
    <w:rsid w:val="00C71CFA"/>
    <w:rsid w:val="00C72318"/>
    <w:rsid w:val="00C724E6"/>
    <w:rsid w:val="00C744C1"/>
    <w:rsid w:val="00C747A5"/>
    <w:rsid w:val="00C76BA1"/>
    <w:rsid w:val="00C77C8D"/>
    <w:rsid w:val="00C80860"/>
    <w:rsid w:val="00C81A60"/>
    <w:rsid w:val="00C824E0"/>
    <w:rsid w:val="00C82AB5"/>
    <w:rsid w:val="00C82B2E"/>
    <w:rsid w:val="00C831BB"/>
    <w:rsid w:val="00C83311"/>
    <w:rsid w:val="00C846D5"/>
    <w:rsid w:val="00C84E6A"/>
    <w:rsid w:val="00C85314"/>
    <w:rsid w:val="00C854CC"/>
    <w:rsid w:val="00C86C72"/>
    <w:rsid w:val="00C8718D"/>
    <w:rsid w:val="00C87FF0"/>
    <w:rsid w:val="00C91B3C"/>
    <w:rsid w:val="00C9370C"/>
    <w:rsid w:val="00C9427A"/>
    <w:rsid w:val="00C946E8"/>
    <w:rsid w:val="00C9550F"/>
    <w:rsid w:val="00C9629A"/>
    <w:rsid w:val="00CA0116"/>
    <w:rsid w:val="00CA2C34"/>
    <w:rsid w:val="00CA3223"/>
    <w:rsid w:val="00CA3523"/>
    <w:rsid w:val="00CA4BC0"/>
    <w:rsid w:val="00CA5CA8"/>
    <w:rsid w:val="00CA6128"/>
    <w:rsid w:val="00CA7202"/>
    <w:rsid w:val="00CA796A"/>
    <w:rsid w:val="00CA7B25"/>
    <w:rsid w:val="00CB0157"/>
    <w:rsid w:val="00CB3C68"/>
    <w:rsid w:val="00CB5205"/>
    <w:rsid w:val="00CB733A"/>
    <w:rsid w:val="00CC0447"/>
    <w:rsid w:val="00CC168E"/>
    <w:rsid w:val="00CC1D1D"/>
    <w:rsid w:val="00CC2945"/>
    <w:rsid w:val="00CC40C5"/>
    <w:rsid w:val="00CC4CB0"/>
    <w:rsid w:val="00CC559D"/>
    <w:rsid w:val="00CD05F1"/>
    <w:rsid w:val="00CD07A8"/>
    <w:rsid w:val="00CD1BE1"/>
    <w:rsid w:val="00CD20F4"/>
    <w:rsid w:val="00CD21CE"/>
    <w:rsid w:val="00CD2945"/>
    <w:rsid w:val="00CD3E26"/>
    <w:rsid w:val="00CD46BE"/>
    <w:rsid w:val="00CD4B39"/>
    <w:rsid w:val="00CD5FE6"/>
    <w:rsid w:val="00CD654B"/>
    <w:rsid w:val="00CD66DE"/>
    <w:rsid w:val="00CD67D7"/>
    <w:rsid w:val="00CD6F41"/>
    <w:rsid w:val="00CD788B"/>
    <w:rsid w:val="00CE223E"/>
    <w:rsid w:val="00CE2E6E"/>
    <w:rsid w:val="00CE620F"/>
    <w:rsid w:val="00CE65AB"/>
    <w:rsid w:val="00CE73A6"/>
    <w:rsid w:val="00CF312A"/>
    <w:rsid w:val="00CF33F5"/>
    <w:rsid w:val="00CF36D6"/>
    <w:rsid w:val="00CF3F0D"/>
    <w:rsid w:val="00CF457C"/>
    <w:rsid w:val="00CF6ED1"/>
    <w:rsid w:val="00CF7A96"/>
    <w:rsid w:val="00D010F8"/>
    <w:rsid w:val="00D01D79"/>
    <w:rsid w:val="00D0333B"/>
    <w:rsid w:val="00D0525D"/>
    <w:rsid w:val="00D05991"/>
    <w:rsid w:val="00D06065"/>
    <w:rsid w:val="00D06198"/>
    <w:rsid w:val="00D061BC"/>
    <w:rsid w:val="00D0632A"/>
    <w:rsid w:val="00D0708D"/>
    <w:rsid w:val="00D07F6D"/>
    <w:rsid w:val="00D10157"/>
    <w:rsid w:val="00D101F7"/>
    <w:rsid w:val="00D102E8"/>
    <w:rsid w:val="00D103E3"/>
    <w:rsid w:val="00D10FF8"/>
    <w:rsid w:val="00D1175A"/>
    <w:rsid w:val="00D12163"/>
    <w:rsid w:val="00D12A25"/>
    <w:rsid w:val="00D12F65"/>
    <w:rsid w:val="00D1372D"/>
    <w:rsid w:val="00D13F9A"/>
    <w:rsid w:val="00D145F5"/>
    <w:rsid w:val="00D162D3"/>
    <w:rsid w:val="00D16D2A"/>
    <w:rsid w:val="00D1763B"/>
    <w:rsid w:val="00D17F06"/>
    <w:rsid w:val="00D222BA"/>
    <w:rsid w:val="00D239F9"/>
    <w:rsid w:val="00D25232"/>
    <w:rsid w:val="00D25522"/>
    <w:rsid w:val="00D261AC"/>
    <w:rsid w:val="00D26D13"/>
    <w:rsid w:val="00D2793F"/>
    <w:rsid w:val="00D27C76"/>
    <w:rsid w:val="00D3084A"/>
    <w:rsid w:val="00D30CC0"/>
    <w:rsid w:val="00D32F4B"/>
    <w:rsid w:val="00D33B10"/>
    <w:rsid w:val="00D34EE1"/>
    <w:rsid w:val="00D355F0"/>
    <w:rsid w:val="00D35B48"/>
    <w:rsid w:val="00D35FC2"/>
    <w:rsid w:val="00D36938"/>
    <w:rsid w:val="00D37A1E"/>
    <w:rsid w:val="00D4093D"/>
    <w:rsid w:val="00D40F60"/>
    <w:rsid w:val="00D41EB4"/>
    <w:rsid w:val="00D43AC8"/>
    <w:rsid w:val="00D446B2"/>
    <w:rsid w:val="00D44ACD"/>
    <w:rsid w:val="00D44CBA"/>
    <w:rsid w:val="00D4540E"/>
    <w:rsid w:val="00D476DA"/>
    <w:rsid w:val="00D50052"/>
    <w:rsid w:val="00D501A4"/>
    <w:rsid w:val="00D50341"/>
    <w:rsid w:val="00D51C4E"/>
    <w:rsid w:val="00D533A9"/>
    <w:rsid w:val="00D535F2"/>
    <w:rsid w:val="00D53BAE"/>
    <w:rsid w:val="00D541ED"/>
    <w:rsid w:val="00D54DB3"/>
    <w:rsid w:val="00D5557E"/>
    <w:rsid w:val="00D56113"/>
    <w:rsid w:val="00D56682"/>
    <w:rsid w:val="00D604C1"/>
    <w:rsid w:val="00D60EA5"/>
    <w:rsid w:val="00D61FFC"/>
    <w:rsid w:val="00D62DF1"/>
    <w:rsid w:val="00D63EDE"/>
    <w:rsid w:val="00D67D38"/>
    <w:rsid w:val="00D71587"/>
    <w:rsid w:val="00D71792"/>
    <w:rsid w:val="00D7182A"/>
    <w:rsid w:val="00D727CE"/>
    <w:rsid w:val="00D738CD"/>
    <w:rsid w:val="00D73D85"/>
    <w:rsid w:val="00D73F25"/>
    <w:rsid w:val="00D75ECB"/>
    <w:rsid w:val="00D777E7"/>
    <w:rsid w:val="00D801CB"/>
    <w:rsid w:val="00D80E45"/>
    <w:rsid w:val="00D833D9"/>
    <w:rsid w:val="00D83BD9"/>
    <w:rsid w:val="00D83FC9"/>
    <w:rsid w:val="00D845BD"/>
    <w:rsid w:val="00D8582A"/>
    <w:rsid w:val="00D86FBA"/>
    <w:rsid w:val="00D87AD6"/>
    <w:rsid w:val="00D92B75"/>
    <w:rsid w:val="00D92CFD"/>
    <w:rsid w:val="00D942D3"/>
    <w:rsid w:val="00D94DCF"/>
    <w:rsid w:val="00D94EAE"/>
    <w:rsid w:val="00D95945"/>
    <w:rsid w:val="00D97A1C"/>
    <w:rsid w:val="00D97A31"/>
    <w:rsid w:val="00DA071C"/>
    <w:rsid w:val="00DA1796"/>
    <w:rsid w:val="00DA1ED0"/>
    <w:rsid w:val="00DA23DD"/>
    <w:rsid w:val="00DA2587"/>
    <w:rsid w:val="00DA25CD"/>
    <w:rsid w:val="00DA2D8B"/>
    <w:rsid w:val="00DA3AE9"/>
    <w:rsid w:val="00DA3B77"/>
    <w:rsid w:val="00DA4383"/>
    <w:rsid w:val="00DA457F"/>
    <w:rsid w:val="00DA525C"/>
    <w:rsid w:val="00DA5792"/>
    <w:rsid w:val="00DA586F"/>
    <w:rsid w:val="00DA5AC3"/>
    <w:rsid w:val="00DA5BEC"/>
    <w:rsid w:val="00DB0263"/>
    <w:rsid w:val="00DB07B3"/>
    <w:rsid w:val="00DB08DA"/>
    <w:rsid w:val="00DB15DB"/>
    <w:rsid w:val="00DB184C"/>
    <w:rsid w:val="00DB21F4"/>
    <w:rsid w:val="00DB2813"/>
    <w:rsid w:val="00DB2A88"/>
    <w:rsid w:val="00DB57AE"/>
    <w:rsid w:val="00DB5FD4"/>
    <w:rsid w:val="00DB6770"/>
    <w:rsid w:val="00DB72C9"/>
    <w:rsid w:val="00DB7E2A"/>
    <w:rsid w:val="00DB7F09"/>
    <w:rsid w:val="00DC00E8"/>
    <w:rsid w:val="00DC05BD"/>
    <w:rsid w:val="00DC157A"/>
    <w:rsid w:val="00DC1C56"/>
    <w:rsid w:val="00DC1F34"/>
    <w:rsid w:val="00DC2721"/>
    <w:rsid w:val="00DC4756"/>
    <w:rsid w:val="00DC58C9"/>
    <w:rsid w:val="00DC6379"/>
    <w:rsid w:val="00DC696E"/>
    <w:rsid w:val="00DC6C02"/>
    <w:rsid w:val="00DC7E00"/>
    <w:rsid w:val="00DD05AA"/>
    <w:rsid w:val="00DD06B0"/>
    <w:rsid w:val="00DD33D3"/>
    <w:rsid w:val="00DD50ED"/>
    <w:rsid w:val="00DD6869"/>
    <w:rsid w:val="00DD6A34"/>
    <w:rsid w:val="00DD77BD"/>
    <w:rsid w:val="00DD788C"/>
    <w:rsid w:val="00DD78E3"/>
    <w:rsid w:val="00DE0431"/>
    <w:rsid w:val="00DE0FA0"/>
    <w:rsid w:val="00DE3A09"/>
    <w:rsid w:val="00DE3A19"/>
    <w:rsid w:val="00DE3B7E"/>
    <w:rsid w:val="00DE3C77"/>
    <w:rsid w:val="00DE3FCA"/>
    <w:rsid w:val="00DE4313"/>
    <w:rsid w:val="00DE4864"/>
    <w:rsid w:val="00DE5183"/>
    <w:rsid w:val="00DE63BC"/>
    <w:rsid w:val="00DE7427"/>
    <w:rsid w:val="00DE74B8"/>
    <w:rsid w:val="00DE7F57"/>
    <w:rsid w:val="00DF0052"/>
    <w:rsid w:val="00DF4A81"/>
    <w:rsid w:val="00DF5B87"/>
    <w:rsid w:val="00DF6F61"/>
    <w:rsid w:val="00E00A68"/>
    <w:rsid w:val="00E01966"/>
    <w:rsid w:val="00E0308B"/>
    <w:rsid w:val="00E0357B"/>
    <w:rsid w:val="00E03D56"/>
    <w:rsid w:val="00E0465D"/>
    <w:rsid w:val="00E04B51"/>
    <w:rsid w:val="00E052B5"/>
    <w:rsid w:val="00E075DD"/>
    <w:rsid w:val="00E07FD7"/>
    <w:rsid w:val="00E101C6"/>
    <w:rsid w:val="00E10A04"/>
    <w:rsid w:val="00E10A43"/>
    <w:rsid w:val="00E11068"/>
    <w:rsid w:val="00E110D9"/>
    <w:rsid w:val="00E11198"/>
    <w:rsid w:val="00E12723"/>
    <w:rsid w:val="00E1285C"/>
    <w:rsid w:val="00E14F0E"/>
    <w:rsid w:val="00E154B4"/>
    <w:rsid w:val="00E20CA0"/>
    <w:rsid w:val="00E213C2"/>
    <w:rsid w:val="00E21695"/>
    <w:rsid w:val="00E21863"/>
    <w:rsid w:val="00E22D51"/>
    <w:rsid w:val="00E2377A"/>
    <w:rsid w:val="00E24868"/>
    <w:rsid w:val="00E25416"/>
    <w:rsid w:val="00E25D0C"/>
    <w:rsid w:val="00E25FFF"/>
    <w:rsid w:val="00E262A5"/>
    <w:rsid w:val="00E27330"/>
    <w:rsid w:val="00E31EA6"/>
    <w:rsid w:val="00E3201E"/>
    <w:rsid w:val="00E3329C"/>
    <w:rsid w:val="00E33739"/>
    <w:rsid w:val="00E3509F"/>
    <w:rsid w:val="00E35A8E"/>
    <w:rsid w:val="00E35F5A"/>
    <w:rsid w:val="00E378EA"/>
    <w:rsid w:val="00E37BD8"/>
    <w:rsid w:val="00E403BF"/>
    <w:rsid w:val="00E40E7B"/>
    <w:rsid w:val="00E4280F"/>
    <w:rsid w:val="00E43191"/>
    <w:rsid w:val="00E43D0A"/>
    <w:rsid w:val="00E4467B"/>
    <w:rsid w:val="00E4487B"/>
    <w:rsid w:val="00E449C9"/>
    <w:rsid w:val="00E44EF5"/>
    <w:rsid w:val="00E45554"/>
    <w:rsid w:val="00E455D3"/>
    <w:rsid w:val="00E46B90"/>
    <w:rsid w:val="00E50E7C"/>
    <w:rsid w:val="00E5150B"/>
    <w:rsid w:val="00E51545"/>
    <w:rsid w:val="00E51D9E"/>
    <w:rsid w:val="00E51FD5"/>
    <w:rsid w:val="00E537D1"/>
    <w:rsid w:val="00E5391B"/>
    <w:rsid w:val="00E53A93"/>
    <w:rsid w:val="00E53BFB"/>
    <w:rsid w:val="00E53FC5"/>
    <w:rsid w:val="00E54E33"/>
    <w:rsid w:val="00E55100"/>
    <w:rsid w:val="00E567E6"/>
    <w:rsid w:val="00E56971"/>
    <w:rsid w:val="00E6011E"/>
    <w:rsid w:val="00E601F2"/>
    <w:rsid w:val="00E61484"/>
    <w:rsid w:val="00E6416A"/>
    <w:rsid w:val="00E64447"/>
    <w:rsid w:val="00E711D7"/>
    <w:rsid w:val="00E71280"/>
    <w:rsid w:val="00E71669"/>
    <w:rsid w:val="00E719F0"/>
    <w:rsid w:val="00E7222F"/>
    <w:rsid w:val="00E72BF0"/>
    <w:rsid w:val="00E73EB1"/>
    <w:rsid w:val="00E74986"/>
    <w:rsid w:val="00E74F6C"/>
    <w:rsid w:val="00E751F0"/>
    <w:rsid w:val="00E759FA"/>
    <w:rsid w:val="00E76C6B"/>
    <w:rsid w:val="00E8080B"/>
    <w:rsid w:val="00E815E1"/>
    <w:rsid w:val="00E8254B"/>
    <w:rsid w:val="00E82A0D"/>
    <w:rsid w:val="00E83E9A"/>
    <w:rsid w:val="00E847F2"/>
    <w:rsid w:val="00E84E1B"/>
    <w:rsid w:val="00E85B74"/>
    <w:rsid w:val="00E864DF"/>
    <w:rsid w:val="00E877F4"/>
    <w:rsid w:val="00E902B0"/>
    <w:rsid w:val="00E902E8"/>
    <w:rsid w:val="00E92814"/>
    <w:rsid w:val="00E94139"/>
    <w:rsid w:val="00E96588"/>
    <w:rsid w:val="00EA00FA"/>
    <w:rsid w:val="00EA0CC0"/>
    <w:rsid w:val="00EA1AFD"/>
    <w:rsid w:val="00EA23AC"/>
    <w:rsid w:val="00EA3280"/>
    <w:rsid w:val="00EA3F2A"/>
    <w:rsid w:val="00EA75DB"/>
    <w:rsid w:val="00EA7C3D"/>
    <w:rsid w:val="00EA7FA6"/>
    <w:rsid w:val="00EB22F5"/>
    <w:rsid w:val="00EB5AE3"/>
    <w:rsid w:val="00EB6320"/>
    <w:rsid w:val="00EB6878"/>
    <w:rsid w:val="00EB72E8"/>
    <w:rsid w:val="00EB7B79"/>
    <w:rsid w:val="00EB7EF1"/>
    <w:rsid w:val="00EC1D00"/>
    <w:rsid w:val="00EC1E0E"/>
    <w:rsid w:val="00EC2301"/>
    <w:rsid w:val="00EC236D"/>
    <w:rsid w:val="00EC2852"/>
    <w:rsid w:val="00EC3B65"/>
    <w:rsid w:val="00EC3CA1"/>
    <w:rsid w:val="00EC42C4"/>
    <w:rsid w:val="00EC4753"/>
    <w:rsid w:val="00EC53EB"/>
    <w:rsid w:val="00EC6B16"/>
    <w:rsid w:val="00EC6B7A"/>
    <w:rsid w:val="00EC761C"/>
    <w:rsid w:val="00EC775E"/>
    <w:rsid w:val="00EC78AF"/>
    <w:rsid w:val="00EC78B2"/>
    <w:rsid w:val="00ED2B19"/>
    <w:rsid w:val="00ED2E7F"/>
    <w:rsid w:val="00ED351B"/>
    <w:rsid w:val="00ED47DD"/>
    <w:rsid w:val="00ED4B7D"/>
    <w:rsid w:val="00ED5394"/>
    <w:rsid w:val="00ED5667"/>
    <w:rsid w:val="00ED576A"/>
    <w:rsid w:val="00ED6C9B"/>
    <w:rsid w:val="00ED6FA9"/>
    <w:rsid w:val="00EE1084"/>
    <w:rsid w:val="00EE1447"/>
    <w:rsid w:val="00EE159E"/>
    <w:rsid w:val="00EE1A04"/>
    <w:rsid w:val="00EE3ED0"/>
    <w:rsid w:val="00EE418F"/>
    <w:rsid w:val="00EE4381"/>
    <w:rsid w:val="00EE43DE"/>
    <w:rsid w:val="00EE46B9"/>
    <w:rsid w:val="00EE4F6B"/>
    <w:rsid w:val="00EE52A7"/>
    <w:rsid w:val="00EE5E15"/>
    <w:rsid w:val="00EE66BB"/>
    <w:rsid w:val="00EE6C17"/>
    <w:rsid w:val="00EE6FA3"/>
    <w:rsid w:val="00EF145E"/>
    <w:rsid w:val="00EF2A4B"/>
    <w:rsid w:val="00EF2BBB"/>
    <w:rsid w:val="00EF2E13"/>
    <w:rsid w:val="00EF32AC"/>
    <w:rsid w:val="00EF3DDF"/>
    <w:rsid w:val="00EF4F67"/>
    <w:rsid w:val="00EF7368"/>
    <w:rsid w:val="00F003BC"/>
    <w:rsid w:val="00F0082D"/>
    <w:rsid w:val="00F015AB"/>
    <w:rsid w:val="00F01E99"/>
    <w:rsid w:val="00F02151"/>
    <w:rsid w:val="00F02AA8"/>
    <w:rsid w:val="00F0477A"/>
    <w:rsid w:val="00F06FA3"/>
    <w:rsid w:val="00F0797C"/>
    <w:rsid w:val="00F07C90"/>
    <w:rsid w:val="00F07DBE"/>
    <w:rsid w:val="00F10E1C"/>
    <w:rsid w:val="00F110E7"/>
    <w:rsid w:val="00F116ED"/>
    <w:rsid w:val="00F11F5F"/>
    <w:rsid w:val="00F121FD"/>
    <w:rsid w:val="00F1226B"/>
    <w:rsid w:val="00F14D4B"/>
    <w:rsid w:val="00F1531E"/>
    <w:rsid w:val="00F1620C"/>
    <w:rsid w:val="00F16784"/>
    <w:rsid w:val="00F17719"/>
    <w:rsid w:val="00F17F1E"/>
    <w:rsid w:val="00F214DD"/>
    <w:rsid w:val="00F25427"/>
    <w:rsid w:val="00F25718"/>
    <w:rsid w:val="00F33DB8"/>
    <w:rsid w:val="00F3419C"/>
    <w:rsid w:val="00F35CE4"/>
    <w:rsid w:val="00F36BA7"/>
    <w:rsid w:val="00F36F11"/>
    <w:rsid w:val="00F371F0"/>
    <w:rsid w:val="00F40AA2"/>
    <w:rsid w:val="00F42085"/>
    <w:rsid w:val="00F43B90"/>
    <w:rsid w:val="00F44961"/>
    <w:rsid w:val="00F4512B"/>
    <w:rsid w:val="00F4575A"/>
    <w:rsid w:val="00F45D25"/>
    <w:rsid w:val="00F4621E"/>
    <w:rsid w:val="00F46D9A"/>
    <w:rsid w:val="00F4784F"/>
    <w:rsid w:val="00F50048"/>
    <w:rsid w:val="00F502F6"/>
    <w:rsid w:val="00F503C2"/>
    <w:rsid w:val="00F5056D"/>
    <w:rsid w:val="00F51E25"/>
    <w:rsid w:val="00F5278A"/>
    <w:rsid w:val="00F55E31"/>
    <w:rsid w:val="00F56EE8"/>
    <w:rsid w:val="00F57BED"/>
    <w:rsid w:val="00F57E65"/>
    <w:rsid w:val="00F60198"/>
    <w:rsid w:val="00F607DD"/>
    <w:rsid w:val="00F61704"/>
    <w:rsid w:val="00F619EC"/>
    <w:rsid w:val="00F626E8"/>
    <w:rsid w:val="00F63A9A"/>
    <w:rsid w:val="00F646A8"/>
    <w:rsid w:val="00F6478D"/>
    <w:rsid w:val="00F70902"/>
    <w:rsid w:val="00F709AC"/>
    <w:rsid w:val="00F70B32"/>
    <w:rsid w:val="00F7115D"/>
    <w:rsid w:val="00F713CB"/>
    <w:rsid w:val="00F7171C"/>
    <w:rsid w:val="00F7172F"/>
    <w:rsid w:val="00F726FB"/>
    <w:rsid w:val="00F72701"/>
    <w:rsid w:val="00F739DC"/>
    <w:rsid w:val="00F73ABA"/>
    <w:rsid w:val="00F74169"/>
    <w:rsid w:val="00F74540"/>
    <w:rsid w:val="00F75749"/>
    <w:rsid w:val="00F7613A"/>
    <w:rsid w:val="00F76179"/>
    <w:rsid w:val="00F761C4"/>
    <w:rsid w:val="00F76A19"/>
    <w:rsid w:val="00F772EE"/>
    <w:rsid w:val="00F775B6"/>
    <w:rsid w:val="00F77628"/>
    <w:rsid w:val="00F77FFC"/>
    <w:rsid w:val="00F81A66"/>
    <w:rsid w:val="00F82746"/>
    <w:rsid w:val="00F836F9"/>
    <w:rsid w:val="00F845D7"/>
    <w:rsid w:val="00F847B1"/>
    <w:rsid w:val="00F84A84"/>
    <w:rsid w:val="00F879D9"/>
    <w:rsid w:val="00F90F7A"/>
    <w:rsid w:val="00F912D3"/>
    <w:rsid w:val="00F92279"/>
    <w:rsid w:val="00F927A7"/>
    <w:rsid w:val="00F92A67"/>
    <w:rsid w:val="00F92A6C"/>
    <w:rsid w:val="00F92EA6"/>
    <w:rsid w:val="00F93C00"/>
    <w:rsid w:val="00F94141"/>
    <w:rsid w:val="00F94459"/>
    <w:rsid w:val="00F94CC0"/>
    <w:rsid w:val="00F94D28"/>
    <w:rsid w:val="00F950FA"/>
    <w:rsid w:val="00F95AB1"/>
    <w:rsid w:val="00F9606A"/>
    <w:rsid w:val="00F9769D"/>
    <w:rsid w:val="00FA080A"/>
    <w:rsid w:val="00FA0C9D"/>
    <w:rsid w:val="00FA182A"/>
    <w:rsid w:val="00FA1F90"/>
    <w:rsid w:val="00FA2691"/>
    <w:rsid w:val="00FA36EF"/>
    <w:rsid w:val="00FA42CF"/>
    <w:rsid w:val="00FA5203"/>
    <w:rsid w:val="00FA567E"/>
    <w:rsid w:val="00FA5F89"/>
    <w:rsid w:val="00FA6572"/>
    <w:rsid w:val="00FA684A"/>
    <w:rsid w:val="00FA6EE7"/>
    <w:rsid w:val="00FB0914"/>
    <w:rsid w:val="00FB14D7"/>
    <w:rsid w:val="00FB1DB2"/>
    <w:rsid w:val="00FB2399"/>
    <w:rsid w:val="00FB271E"/>
    <w:rsid w:val="00FB4B02"/>
    <w:rsid w:val="00FB4D21"/>
    <w:rsid w:val="00FB5287"/>
    <w:rsid w:val="00FB6035"/>
    <w:rsid w:val="00FB61E5"/>
    <w:rsid w:val="00FB6313"/>
    <w:rsid w:val="00FB762B"/>
    <w:rsid w:val="00FB777E"/>
    <w:rsid w:val="00FC1670"/>
    <w:rsid w:val="00FC186F"/>
    <w:rsid w:val="00FC34C4"/>
    <w:rsid w:val="00FC3814"/>
    <w:rsid w:val="00FC60D2"/>
    <w:rsid w:val="00FC6509"/>
    <w:rsid w:val="00FC67B8"/>
    <w:rsid w:val="00FC6ADA"/>
    <w:rsid w:val="00FC756E"/>
    <w:rsid w:val="00FD0672"/>
    <w:rsid w:val="00FD0DC7"/>
    <w:rsid w:val="00FD1756"/>
    <w:rsid w:val="00FD1F0A"/>
    <w:rsid w:val="00FD2674"/>
    <w:rsid w:val="00FD4777"/>
    <w:rsid w:val="00FD5CFF"/>
    <w:rsid w:val="00FD6C8D"/>
    <w:rsid w:val="00FD77DE"/>
    <w:rsid w:val="00FD7D76"/>
    <w:rsid w:val="00FE0DE7"/>
    <w:rsid w:val="00FE1F6A"/>
    <w:rsid w:val="00FE4E00"/>
    <w:rsid w:val="00FE5494"/>
    <w:rsid w:val="00FE57A7"/>
    <w:rsid w:val="00FE6800"/>
    <w:rsid w:val="00FE775D"/>
    <w:rsid w:val="00FF050F"/>
    <w:rsid w:val="00FF3232"/>
    <w:rsid w:val="00FF369D"/>
    <w:rsid w:val="00FF41AC"/>
    <w:rsid w:val="00FF447A"/>
    <w:rsid w:val="00FF45D4"/>
    <w:rsid w:val="00FF55F5"/>
    <w:rsid w:val="00FF5D18"/>
    <w:rsid w:val="00FF695B"/>
    <w:rsid w:val="00FF6B99"/>
    <w:rsid w:val="00FF770D"/>
    <w:rsid w:val="00FF7927"/>
    <w:rsid w:val="0BFC5EFF"/>
    <w:rsid w:val="50DCFC3F"/>
    <w:rsid w:val="7BF36E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247BAC"/>
    <w:pPr>
      <w:spacing w:before="480"/>
      <w:outlineLvl w:val="0"/>
    </w:pPr>
    <w:rPr>
      <w:bCs w:val="0"/>
      <w:color w:val="3A6FAF" w:themeColor="accent3"/>
    </w:rPr>
  </w:style>
  <w:style w:type="paragraph" w:styleId="Heading2">
    <w:name w:val="heading 2"/>
    <w:basedOn w:val="HeadingBase"/>
    <w:next w:val="Normal"/>
    <w:link w:val="Heading2Char"/>
    <w:qFormat/>
    <w:rsid w:val="00247BAC"/>
    <w:pPr>
      <w:spacing w:before="360"/>
      <w:outlineLvl w:val="1"/>
    </w:pPr>
    <w:rPr>
      <w:bCs w:val="0"/>
      <w:iCs/>
      <w:color w:val="3A6FAF" w:themeColor="accent3"/>
      <w:sz w:val="36"/>
      <w:szCs w:val="28"/>
    </w:rPr>
  </w:style>
  <w:style w:type="paragraph" w:styleId="Heading3">
    <w:name w:val="heading 3"/>
    <w:basedOn w:val="HeadingBase"/>
    <w:next w:val="Normal"/>
    <w:link w:val="Heading3Char"/>
    <w:qFormat/>
    <w:rsid w:val="00247BAC"/>
    <w:pPr>
      <w:spacing w:before="240"/>
      <w:outlineLvl w:val="2"/>
    </w:pPr>
    <w:rPr>
      <w:sz w:val="28"/>
      <w:szCs w:val="26"/>
    </w:rPr>
  </w:style>
  <w:style w:type="paragraph" w:styleId="Heading4">
    <w:name w:val="heading 4"/>
    <w:basedOn w:val="Heading3"/>
    <w:next w:val="Normal"/>
    <w:link w:val="Heading4Char"/>
    <w:qFormat/>
    <w:rsid w:val="00247BAC"/>
    <w:pPr>
      <w:outlineLvl w:val="3"/>
    </w:pPr>
    <w:rPr>
      <w:rFonts w:eastAsiaTheme="minorHAnsi"/>
      <w:b/>
      <w:sz w:val="22"/>
      <w:szCs w:val="22"/>
    </w:rPr>
  </w:style>
  <w:style w:type="paragraph" w:styleId="Heading5">
    <w:name w:val="heading 5"/>
    <w:basedOn w:val="HeadingBase"/>
    <w:next w:val="Normal"/>
    <w:link w:val="Heading5Char"/>
    <w:qFormat/>
    <w:rsid w:val="008F1FA0"/>
    <w:pPr>
      <w:outlineLvl w:val="4"/>
    </w:pPr>
    <w:rPr>
      <w:b/>
      <w:bCs w:val="0"/>
      <w:iCs/>
      <w:color w:val="00827F"/>
      <w:sz w:val="22"/>
    </w:rPr>
  </w:style>
  <w:style w:type="paragraph" w:styleId="Heading6">
    <w:name w:val="heading 6"/>
    <w:basedOn w:val="HeadingBase"/>
    <w:next w:val="Normal"/>
    <w:link w:val="Heading6Char"/>
    <w:qFormat/>
    <w:rsid w:val="008F1FA0"/>
    <w:pPr>
      <w:outlineLvl w:val="5"/>
    </w:pPr>
    <w:rPr>
      <w:bCs w:val="0"/>
      <w:color w:val="00827F"/>
      <w:sz w:val="22"/>
      <w:szCs w:val="22"/>
    </w:rPr>
  </w:style>
  <w:style w:type="paragraph" w:styleId="Heading7">
    <w:name w:val="heading 7"/>
    <w:basedOn w:val="Normal"/>
    <w:next w:val="Normal"/>
    <w:link w:val="Heading7Char"/>
    <w:uiPriority w:val="9"/>
    <w:semiHidden/>
    <w:unhideWhenUsed/>
    <w:qFormat/>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BAC"/>
    <w:rPr>
      <w:rFonts w:ascii="Calibri" w:eastAsia="Times New Roman" w:hAnsi="Calibri" w:cs="Arial"/>
      <w:color w:val="3A6FAF" w:themeColor="accent3"/>
      <w:kern w:val="32"/>
      <w:sz w:val="48"/>
      <w:szCs w:val="36"/>
      <w:lang w:eastAsia="en-AU"/>
    </w:rPr>
  </w:style>
  <w:style w:type="character" w:customStyle="1" w:styleId="Heading2Char">
    <w:name w:val="Heading 2 Char"/>
    <w:basedOn w:val="DefaultParagraphFont"/>
    <w:link w:val="Heading2"/>
    <w:rsid w:val="00247BAC"/>
    <w:rPr>
      <w:rFonts w:ascii="Calibri" w:eastAsia="Times New Roman" w:hAnsi="Calibri" w:cs="Arial"/>
      <w:iCs/>
      <w:color w:val="3A6FAF" w:themeColor="accent3"/>
      <w:kern w:val="32"/>
      <w:sz w:val="36"/>
      <w:szCs w:val="28"/>
      <w:lang w:eastAsia="en-AU"/>
    </w:rPr>
  </w:style>
  <w:style w:type="character" w:customStyle="1" w:styleId="Heading3Char">
    <w:name w:val="Heading 3 Char"/>
    <w:basedOn w:val="DefaultParagraphFont"/>
    <w:link w:val="Heading3"/>
    <w:rsid w:val="00247BAC"/>
    <w:rPr>
      <w:rFonts w:ascii="Calibri" w:eastAsia="Times New Roman" w:hAnsi="Calibri" w:cs="Arial"/>
      <w:bCs/>
      <w:color w:val="002C47" w:themeColor="accent1"/>
      <w:kern w:val="32"/>
      <w:sz w:val="28"/>
      <w:szCs w:val="26"/>
      <w:lang w:eastAsia="en-AU"/>
    </w:rPr>
  </w:style>
  <w:style w:type="character" w:customStyle="1" w:styleId="Heading4Char">
    <w:name w:val="Heading 4 Char"/>
    <w:basedOn w:val="DefaultParagraphFont"/>
    <w:link w:val="Heading4"/>
    <w:rsid w:val="00247BAC"/>
    <w:rPr>
      <w:rFonts w:ascii="Calibri" w:hAnsi="Calibri" w:cs="Arial"/>
      <w:b/>
      <w:bCs/>
      <w:color w:val="002C47" w:themeColor="accent1"/>
      <w:kern w:val="32"/>
      <w:lang w:eastAsia="en-AU"/>
    </w:rPr>
  </w:style>
  <w:style w:type="character" w:customStyle="1" w:styleId="Heading5Char">
    <w:name w:val="Heading 5 Char"/>
    <w:basedOn w:val="DefaultParagraphFont"/>
    <w:link w:val="Heading5"/>
    <w:rsid w:val="008F1FA0"/>
    <w:rPr>
      <w:rFonts w:ascii="Calibri" w:eastAsia="Times New Roman" w:hAnsi="Calibri" w:cs="Arial"/>
      <w:b/>
      <w:iCs/>
      <w:color w:val="00827F"/>
      <w:kern w:val="32"/>
      <w:szCs w:val="36"/>
      <w:lang w:eastAsia="en-AU"/>
    </w:rPr>
  </w:style>
  <w:style w:type="character" w:customStyle="1" w:styleId="Heading6Char">
    <w:name w:val="Heading 6 Char"/>
    <w:basedOn w:val="DefaultParagraphFont"/>
    <w:link w:val="Heading6"/>
    <w:rsid w:val="008F1FA0"/>
    <w:rPr>
      <w:rFonts w:ascii="Calibri" w:eastAsia="Times New Roman" w:hAnsi="Calibri" w:cs="Arial"/>
      <w:color w:val="0082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A8308B"/>
    <w:pPr>
      <w:keepNext/>
      <w:spacing w:before="240"/>
    </w:pPr>
    <w:rPr>
      <w:b/>
      <w:color w:val="000000" w:themeColor="text1"/>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7A24B5"/>
    <w:pPr>
      <w:keepNext/>
      <w:spacing w:before="0" w:after="360"/>
    </w:pPr>
    <w:rPr>
      <w:color w:val="FFFFFF" w:themeColor="background1"/>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1F5FF9"/>
    <w:pPr>
      <w:keepNext/>
      <w:tabs>
        <w:tab w:val="clear" w:pos="4513"/>
        <w:tab w:val="clear" w:pos="9026"/>
      </w:tabs>
      <w:jc w:val="left"/>
    </w:pPr>
    <w:rPr>
      <w:noProof/>
      <w:color w:val="000000" w:themeColor="text1"/>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247BAC"/>
    <w:rPr>
      <w:color w:val="3A6FAF" w:themeColor="accent3"/>
      <w:u w:val="single"/>
    </w:rPr>
  </w:style>
  <w:style w:type="paragraph" w:customStyle="1" w:styleId="OutlineNumbered1">
    <w:name w:val="Outline Numbered 1"/>
    <w:basedOn w:val="Normal"/>
    <w:rsid w:val="00835350"/>
    <w:pPr>
      <w:numPr>
        <w:numId w:val="6"/>
      </w:numPr>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00827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6564D3"/>
    <w:pPr>
      <w:tabs>
        <w:tab w:val="right" w:leader="dot" w:pos="9072"/>
      </w:tabs>
      <w:spacing w:before="20" w:after="0"/>
      <w:ind w:left="284" w:right="-2"/>
    </w:pPr>
    <w:rPr>
      <w:rFonts w:cs="Calibri"/>
      <w:noProof/>
      <w:color w:val="00827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50375C"/>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5103E4"/>
    <w:pPr>
      <w:spacing w:before="376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5103E4"/>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7A24B5"/>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7A24B5"/>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7A24B5"/>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1F5FF9"/>
    <w:rPr>
      <w:color w:val="002C47" w:themeColor="accent1"/>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Emphasis">
    <w:name w:val="Emphasis"/>
    <w:basedOn w:val="DefaultParagraphFont"/>
    <w:uiPriority w:val="20"/>
    <w:rsid w:val="0050375C"/>
    <w:rPr>
      <w:i/>
      <w:iCs/>
    </w:rPr>
  </w:style>
  <w:style w:type="character" w:styleId="Strong">
    <w:name w:val="Strong"/>
    <w:basedOn w:val="DefaultParagraphFont"/>
    <w:qFormat/>
    <w:rsid w:val="0050375C"/>
    <w:rPr>
      <w:b/>
      <w:bCs/>
    </w:rPr>
  </w:style>
  <w:style w:type="paragraph" w:styleId="ListParagraph">
    <w:name w:val="List Paragraph"/>
    <w:basedOn w:val="Normal"/>
    <w:link w:val="ListParagraphChar"/>
    <w:uiPriority w:val="34"/>
    <w:qFormat/>
    <w:rsid w:val="00835350"/>
    <w:pPr>
      <w:numPr>
        <w:numId w:val="19"/>
      </w:numPr>
      <w:spacing w:before="0" w:line="259" w:lineRule="auto"/>
      <w:jc w:val="both"/>
    </w:pPr>
    <w:rPr>
      <w:rFonts w:asciiTheme="minorHAnsi" w:eastAsiaTheme="minorHAnsi" w:hAnsiTheme="minorHAnsi" w:cstheme="minorBidi"/>
      <w:color w:val="262626" w:themeColor="text1" w:themeTint="D9"/>
      <w:szCs w:val="22"/>
      <w:lang w:eastAsia="en-US"/>
    </w:rPr>
  </w:style>
  <w:style w:type="character" w:customStyle="1" w:styleId="BulletChar">
    <w:name w:val="Bullet Char"/>
    <w:basedOn w:val="Heading4Char"/>
    <w:link w:val="Bullet"/>
    <w:rsid w:val="00835350"/>
    <w:rPr>
      <w:rFonts w:ascii="Calibri" w:hAnsi="Calibri" w:cs="Times New Roman"/>
      <w:b/>
      <w:bCs/>
      <w:color w:val="075D5C"/>
      <w:kern w:val="32"/>
      <w:szCs w:val="20"/>
      <w:lang w:eastAsia="en-AU"/>
    </w:rPr>
  </w:style>
  <w:style w:type="character" w:customStyle="1" w:styleId="ListParagraphChar">
    <w:name w:val="List Paragraph Char"/>
    <w:basedOn w:val="DefaultParagraphFont"/>
    <w:link w:val="ListParagraph"/>
    <w:uiPriority w:val="34"/>
    <w:rsid w:val="00835350"/>
    <w:rPr>
      <w:color w:val="262626" w:themeColor="text1" w:themeTint="D9"/>
    </w:rPr>
  </w:style>
  <w:style w:type="paragraph" w:customStyle="1" w:styleId="GRRParanumbers">
    <w:name w:val="GRR Para numbers"/>
    <w:basedOn w:val="ListParagraph"/>
    <w:link w:val="GRRParanumbersChar"/>
    <w:qFormat/>
    <w:rsid w:val="00835350"/>
    <w:pPr>
      <w:numPr>
        <w:numId w:val="20"/>
      </w:numPr>
      <w:ind w:hanging="720"/>
    </w:pPr>
  </w:style>
  <w:style w:type="character" w:customStyle="1" w:styleId="GRRParanumbersChar">
    <w:name w:val="GRR Para numbers Char"/>
    <w:basedOn w:val="ListParagraphChar"/>
    <w:link w:val="GRRParanumbers"/>
    <w:rsid w:val="00835350"/>
    <w:rPr>
      <w:color w:val="262626" w:themeColor="text1" w:themeTint="D9"/>
    </w:rPr>
  </w:style>
  <w:style w:type="paragraph" w:styleId="NoSpacing">
    <w:name w:val="No Spacing"/>
    <w:uiPriority w:val="1"/>
    <w:qFormat/>
    <w:rsid w:val="00081879"/>
    <w:pPr>
      <w:spacing w:after="0" w:line="240" w:lineRule="auto"/>
    </w:pPr>
    <w:rPr>
      <w:rFonts w:ascii="Calibri" w:eastAsia="Times New Roman" w:hAnsi="Calibri" w:cs="Times New Roman"/>
      <w:szCs w:val="20"/>
      <w:lang w:eastAsia="en-AU"/>
    </w:rPr>
  </w:style>
  <w:style w:type="paragraph" w:customStyle="1" w:styleId="OutlineNumberedDot">
    <w:name w:val="Outline Numbered Dot"/>
    <w:basedOn w:val="Bullet"/>
    <w:qFormat/>
    <w:rsid w:val="005F3D66"/>
    <w:pPr>
      <w:ind w:left="851"/>
    </w:pPr>
  </w:style>
  <w:style w:type="paragraph" w:customStyle="1" w:styleId="OutlineNumberedDash">
    <w:name w:val="Outline Numbered Dash"/>
    <w:basedOn w:val="Dash"/>
    <w:qFormat/>
    <w:rsid w:val="005F3D66"/>
    <w:pPr>
      <w:ind w:left="851"/>
    </w:pPr>
  </w:style>
  <w:style w:type="paragraph" w:customStyle="1" w:styleId="BoxHeading2-Orange">
    <w:name w:val="Box Heading 2 - Orange"/>
    <w:basedOn w:val="BoxText"/>
    <w:qFormat/>
    <w:rsid w:val="00EA1AFD"/>
    <w:pPr>
      <w:shd w:val="clear" w:color="auto" w:fill="FDE7CD"/>
      <w:spacing w:before="240"/>
    </w:pPr>
  </w:style>
  <w:style w:type="paragraph" w:customStyle="1" w:styleId="BoxHeading2-Blue">
    <w:name w:val="Box Heading 2 - Blue"/>
    <w:basedOn w:val="BoxText"/>
    <w:qFormat/>
    <w:rsid w:val="00247BAC"/>
    <w:pPr>
      <w:shd w:val="clear" w:color="auto" w:fill="D8E2EF"/>
      <w:spacing w:before="240"/>
    </w:pPr>
  </w:style>
  <w:style w:type="table" w:styleId="TableGridLight">
    <w:name w:val="Grid Table Light"/>
    <w:basedOn w:val="TableNormal"/>
    <w:uiPriority w:val="40"/>
    <w:rsid w:val="004646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61FFC"/>
    <w:rPr>
      <w:color w:val="605E5C"/>
      <w:shd w:val="clear" w:color="auto" w:fill="E1DFDD"/>
    </w:rPr>
  </w:style>
  <w:style w:type="character" w:styleId="CommentReference">
    <w:name w:val="annotation reference"/>
    <w:basedOn w:val="DefaultParagraphFont"/>
    <w:uiPriority w:val="99"/>
    <w:semiHidden/>
    <w:unhideWhenUsed/>
    <w:rsid w:val="000563C8"/>
    <w:rPr>
      <w:sz w:val="16"/>
      <w:szCs w:val="16"/>
    </w:rPr>
  </w:style>
  <w:style w:type="paragraph" w:styleId="CommentText">
    <w:name w:val="annotation text"/>
    <w:basedOn w:val="Normal"/>
    <w:link w:val="CommentTextChar"/>
    <w:uiPriority w:val="99"/>
    <w:unhideWhenUsed/>
    <w:rsid w:val="000563C8"/>
    <w:rPr>
      <w:sz w:val="20"/>
    </w:rPr>
  </w:style>
  <w:style w:type="character" w:customStyle="1" w:styleId="CommentTextChar">
    <w:name w:val="Comment Text Char"/>
    <w:basedOn w:val="DefaultParagraphFont"/>
    <w:link w:val="CommentText"/>
    <w:uiPriority w:val="99"/>
    <w:rsid w:val="000563C8"/>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563C8"/>
    <w:rPr>
      <w:b/>
      <w:bCs/>
    </w:rPr>
  </w:style>
  <w:style w:type="character" w:customStyle="1" w:styleId="CommentSubjectChar">
    <w:name w:val="Comment Subject Char"/>
    <w:basedOn w:val="CommentTextChar"/>
    <w:link w:val="CommentSubject"/>
    <w:uiPriority w:val="99"/>
    <w:semiHidden/>
    <w:rsid w:val="000563C8"/>
    <w:rPr>
      <w:rFonts w:ascii="Calibri" w:eastAsia="Times New Roman" w:hAnsi="Calibri" w:cs="Times New Roman"/>
      <w:b/>
      <w:bCs/>
      <w:sz w:val="20"/>
      <w:szCs w:val="20"/>
      <w:lang w:eastAsia="en-AU"/>
    </w:rPr>
  </w:style>
  <w:style w:type="paragraph" w:styleId="Revision">
    <w:name w:val="Revision"/>
    <w:hidden/>
    <w:uiPriority w:val="99"/>
    <w:semiHidden/>
    <w:rsid w:val="00D75ECB"/>
    <w:pPr>
      <w:spacing w:after="0" w:line="240" w:lineRule="auto"/>
    </w:pPr>
    <w:rPr>
      <w:rFonts w:ascii="Calibri" w:eastAsia="Times New Roman" w:hAnsi="Calibri" w:cs="Times New Roman"/>
      <w:szCs w:val="20"/>
      <w:lang w:eastAsia="en-AU"/>
    </w:rPr>
  </w:style>
  <w:style w:type="character" w:styleId="Mention">
    <w:name w:val="Mention"/>
    <w:basedOn w:val="DefaultParagraphFont"/>
    <w:uiPriority w:val="99"/>
    <w:unhideWhenUsed/>
    <w:rsid w:val="00B54E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11527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support@paymenttimes.gov.au" TargetMode="External"/><Relationship Id="rId28" Type="http://schemas.openxmlformats.org/officeDocument/2006/relationships/header" Target="header8.xml"/><Relationship Id="rId10" Type="http://schemas.openxmlformats.org/officeDocument/2006/relationships/image" Target="media/image2.wmf"/><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SY Corporate">
  <a:themeElements>
    <a:clrScheme name="Guidance Materials">
      <a:dk1>
        <a:sysClr val="windowText" lastClr="000000"/>
      </a:dk1>
      <a:lt1>
        <a:sysClr val="window" lastClr="FFFFFF"/>
      </a:lt1>
      <a:dk2>
        <a:srgbClr val="5F5F5F"/>
      </a:dk2>
      <a:lt2>
        <a:srgbClr val="EEEEEE"/>
      </a:lt2>
      <a:accent1>
        <a:srgbClr val="002C47"/>
      </a:accent1>
      <a:accent2>
        <a:srgbClr val="00827F"/>
      </a:accent2>
      <a:accent3>
        <a:srgbClr val="3A6FAF"/>
      </a:accent3>
      <a:accent4>
        <a:srgbClr val="F7901E"/>
      </a:accent4>
      <a:accent5>
        <a:srgbClr val="FEF2E4"/>
      </a:accent5>
      <a:accent6>
        <a:srgbClr val="E5F2F2"/>
      </a:accent6>
      <a:hlink>
        <a:srgbClr val="3A6FAF"/>
      </a:hlink>
      <a:folHlink>
        <a:srgbClr val="3A6FA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Payment Times Reporting: Guidance Materials - Consultation summary and response</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Times Reporting: Guidance Materials - Consultation summary and response</dc:title>
  <dc:subject/>
  <dc:creator/>
  <cp:keywords/>
  <cp:lastModifiedBy/>
  <cp:revision>1</cp:revision>
  <dcterms:created xsi:type="dcterms:W3CDTF">2024-12-16T04:43:00Z</dcterms:created>
  <dcterms:modified xsi:type="dcterms:W3CDTF">2024-12-16T04:45:00Z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2024-12-16T04:44:58Z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5aafdf76-3124-4a49-9ffb-d38e04138d91</vt:lpwstr>
  </property>
  <property fmtid="{D5CDD505-2E9C-101B-9397-08002B2CF9AE}" pid="8" name="MSIP_Label_4f932d64-9ab1-4d9b-81d2-a3a8b82dd47d_ContentBits">
    <vt:lpwstr>0</vt:lpwstr>
  </property>
</Properties>
</file>