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3E64" w14:textId="20F7020E" w:rsidR="00BF1BF5" w:rsidRPr="00866BDE" w:rsidRDefault="00C44D8E" w:rsidP="009C4C1E">
      <w:pPr>
        <w:pStyle w:val="Title"/>
        <w:spacing w:line="259" w:lineRule="auto"/>
      </w:pPr>
      <w:r>
        <w:t xml:space="preserve">September 2024 </w:t>
      </w:r>
      <w:r w:rsidR="00A32D4B">
        <w:t>Liaison Forum</w:t>
      </w:r>
    </w:p>
    <w:p w14:paraId="2752640D" w14:textId="63CE7B67" w:rsidR="00604EEF" w:rsidRPr="00866BDE" w:rsidRDefault="00FD2639" w:rsidP="009C4C1E">
      <w:pPr>
        <w:pStyle w:val="Subtitle"/>
        <w:spacing w:line="259" w:lineRule="auto"/>
      </w:pPr>
      <w:r>
        <w:t xml:space="preserve">LIAISON </w:t>
      </w:r>
      <w:r w:rsidR="00CB0F8D">
        <w:t>FORUM QUESTIONS</w:t>
      </w:r>
    </w:p>
    <w:p w14:paraId="2EE18E5A" w14:textId="7A2F4B73" w:rsidR="002936E1" w:rsidRPr="00FF1389" w:rsidRDefault="00C44D8E" w:rsidP="00FF1389">
      <w:pPr>
        <w:pStyle w:val="ReportDate"/>
        <w:spacing w:line="259" w:lineRule="auto"/>
        <w:rPr>
          <w:rFonts w:ascii="Rockwell" w:hAnsi="Rockwell"/>
          <w:sz w:val="24"/>
          <w:szCs w:val="24"/>
        </w:rPr>
      </w:pPr>
      <w:r>
        <w:rPr>
          <w:rStyle w:val="ReportDateChar"/>
          <w:sz w:val="24"/>
          <w:szCs w:val="24"/>
        </w:rPr>
        <w:t>September 2</w:t>
      </w:r>
      <w:r w:rsidR="00237FD5">
        <w:rPr>
          <w:rStyle w:val="ReportDateChar"/>
          <w:sz w:val="24"/>
          <w:szCs w:val="24"/>
        </w:rPr>
        <w:t>02</w:t>
      </w:r>
      <w:r>
        <w:rPr>
          <w:rStyle w:val="ReportDateChar"/>
          <w:sz w:val="24"/>
          <w:szCs w:val="24"/>
        </w:rPr>
        <w:t>4</w:t>
      </w:r>
    </w:p>
    <w:tbl>
      <w:tblPr>
        <w:tblStyle w:val="TableGrid"/>
        <w:tblpPr w:leftFromText="180" w:rightFromText="180" w:vertAnchor="page" w:horzAnchor="margin" w:tblpY="5069"/>
        <w:tblW w:w="0" w:type="auto"/>
        <w:tblCellMar>
          <w:top w:w="57" w:type="dxa"/>
          <w:bottom w:w="57" w:type="dxa"/>
        </w:tblCellMar>
        <w:tblLook w:val="04A0" w:firstRow="1" w:lastRow="0" w:firstColumn="1" w:lastColumn="0" w:noHBand="0" w:noVBand="1"/>
      </w:tblPr>
      <w:tblGrid>
        <w:gridCol w:w="9006"/>
      </w:tblGrid>
      <w:tr w:rsidR="002936E1" w14:paraId="0E09BB90" w14:textId="77777777" w:rsidTr="002936E1">
        <w:tc>
          <w:tcPr>
            <w:tcW w:w="0" w:type="auto"/>
            <w:tcBorders>
              <w:top w:val="single" w:sz="6" w:space="0" w:color="auto"/>
              <w:left w:val="single" w:sz="8" w:space="0" w:color="auto"/>
              <w:bottom w:val="single" w:sz="8" w:space="0" w:color="auto"/>
              <w:right w:val="single" w:sz="8" w:space="0" w:color="auto"/>
            </w:tcBorders>
            <w:shd w:val="clear" w:color="auto" w:fill="2C384A"/>
          </w:tcPr>
          <w:p w14:paraId="5326AEB8" w14:textId="45F1F336" w:rsidR="002936E1" w:rsidRPr="007F5EA0" w:rsidRDefault="002936E1" w:rsidP="009C4C1E">
            <w:pPr>
              <w:pStyle w:val="Heading2"/>
              <w:spacing w:before="0" w:after="0" w:line="259" w:lineRule="auto"/>
              <w:rPr>
                <w:szCs w:val="22"/>
              </w:rPr>
            </w:pPr>
            <w:bookmarkStart w:id="0" w:name="_Toc106733459"/>
            <w:bookmarkStart w:id="1" w:name="_Toc106884211"/>
            <w:bookmarkStart w:id="2" w:name="_Toc106892635"/>
            <w:bookmarkStart w:id="3" w:name="_Toc106893927"/>
            <w:bookmarkStart w:id="4" w:name="_Toc107909421"/>
            <w:bookmarkStart w:id="5" w:name="_Toc107911970"/>
            <w:bookmarkStart w:id="6" w:name="_Toc107912263"/>
            <w:bookmarkStart w:id="7" w:name="_Toc107914928"/>
            <w:bookmarkStart w:id="8" w:name="_Toc107915684"/>
            <w:bookmarkStart w:id="9" w:name="_Toc117783912"/>
            <w:bookmarkStart w:id="10" w:name="_Toc117853015"/>
            <w:bookmarkStart w:id="11" w:name="_Toc152683397"/>
            <w:bookmarkStart w:id="12" w:name="_Toc152764426"/>
            <w:bookmarkStart w:id="13" w:name="_Toc152766167"/>
            <w:bookmarkStart w:id="14" w:name="_Toc178330482"/>
            <w:bookmarkStart w:id="15" w:name="_Toc178330643"/>
            <w:bookmarkStart w:id="16" w:name="_Toc178344942"/>
            <w:bookmarkStart w:id="17" w:name="_Toc178345132"/>
            <w:bookmarkStart w:id="18" w:name="_Toc178351604"/>
            <w:bookmarkStart w:id="19" w:name="_Toc178596592"/>
            <w:r w:rsidRPr="002936E1">
              <w:rPr>
                <w:color w:val="FFFFFF" w:themeColor="background1"/>
              </w:rPr>
              <w:t>About this</w:t>
            </w:r>
            <w:bookmarkEnd w:id="0"/>
            <w:bookmarkEnd w:id="1"/>
            <w:bookmarkEnd w:id="2"/>
            <w:bookmarkEnd w:id="3"/>
            <w:bookmarkEnd w:id="4"/>
            <w:bookmarkEnd w:id="5"/>
            <w:bookmarkEnd w:id="6"/>
            <w:bookmarkEnd w:id="7"/>
            <w:bookmarkEnd w:id="8"/>
            <w:bookmarkEnd w:id="9"/>
            <w:bookmarkEnd w:id="10"/>
            <w:bookmarkEnd w:id="11"/>
            <w:bookmarkEnd w:id="12"/>
            <w:bookmarkEnd w:id="13"/>
            <w:r w:rsidR="00BB4A89">
              <w:rPr>
                <w:color w:val="FFFFFF" w:themeColor="background1"/>
              </w:rPr>
              <w:t xml:space="preserve"> </w:t>
            </w:r>
            <w:bookmarkEnd w:id="14"/>
            <w:bookmarkEnd w:id="15"/>
            <w:bookmarkEnd w:id="16"/>
            <w:bookmarkEnd w:id="17"/>
            <w:bookmarkEnd w:id="18"/>
            <w:r w:rsidR="004954E2">
              <w:rPr>
                <w:color w:val="FFFFFF" w:themeColor="background1"/>
              </w:rPr>
              <w:t>document</w:t>
            </w:r>
            <w:bookmarkEnd w:id="19"/>
            <w:r w:rsidRPr="002936E1">
              <w:rPr>
                <w:color w:val="FFFFFF" w:themeColor="background1"/>
              </w:rPr>
              <w:tab/>
            </w:r>
          </w:p>
        </w:tc>
      </w:tr>
      <w:tr w:rsidR="002936E1" w14:paraId="34AB2456" w14:textId="77777777" w:rsidTr="002936E1">
        <w:tc>
          <w:tcPr>
            <w:tcW w:w="0" w:type="auto"/>
            <w:tcBorders>
              <w:top w:val="single" w:sz="6" w:space="0" w:color="auto"/>
              <w:left w:val="single" w:sz="8" w:space="0" w:color="auto"/>
              <w:bottom w:val="single" w:sz="8" w:space="0" w:color="auto"/>
              <w:right w:val="single" w:sz="8" w:space="0" w:color="auto"/>
            </w:tcBorders>
            <w:shd w:val="clear" w:color="auto" w:fill="FFFFFF" w:themeFill="background1"/>
          </w:tcPr>
          <w:p w14:paraId="266D3A50" w14:textId="6DBE84FC" w:rsidR="002936E1" w:rsidRPr="002936E1" w:rsidRDefault="002936E1" w:rsidP="009C4C1E">
            <w:pPr>
              <w:spacing w:line="259" w:lineRule="auto"/>
              <w:jc w:val="left"/>
              <w:rPr>
                <w:sz w:val="22"/>
                <w:szCs w:val="22"/>
              </w:rPr>
            </w:pPr>
            <w:r w:rsidRPr="002936E1">
              <w:rPr>
                <w:sz w:val="22"/>
                <w:szCs w:val="22"/>
              </w:rPr>
              <w:t xml:space="preserve">This </w:t>
            </w:r>
            <w:r w:rsidR="004954E2">
              <w:rPr>
                <w:sz w:val="22"/>
                <w:szCs w:val="22"/>
              </w:rPr>
              <w:t>document</w:t>
            </w:r>
            <w:r w:rsidRPr="002936E1">
              <w:rPr>
                <w:sz w:val="22"/>
                <w:szCs w:val="22"/>
              </w:rPr>
              <w:t xml:space="preserve"> is for entities under the </w:t>
            </w:r>
            <w:hyperlink r:id="rId8" w:history="1">
              <w:r w:rsidRPr="002936E1">
                <w:rPr>
                  <w:rStyle w:val="Hyperlink"/>
                  <w:i/>
                  <w:iCs/>
                  <w:sz w:val="22"/>
                  <w:szCs w:val="22"/>
                </w:rPr>
                <w:t>Payment Times Reporting Act 2020</w:t>
              </w:r>
            </w:hyperlink>
            <w:r w:rsidRPr="002936E1">
              <w:rPr>
                <w:i/>
                <w:iCs/>
                <w:sz w:val="22"/>
                <w:szCs w:val="22"/>
              </w:rPr>
              <w:t xml:space="preserve"> </w:t>
            </w:r>
            <w:r w:rsidRPr="002936E1">
              <w:rPr>
                <w:sz w:val="22"/>
                <w:szCs w:val="22"/>
              </w:rPr>
              <w:t>(</w:t>
            </w:r>
            <w:r w:rsidRPr="009C4C1E">
              <w:t>the Act</w:t>
            </w:r>
            <w:r w:rsidRPr="002936E1">
              <w:rPr>
                <w:sz w:val="22"/>
                <w:szCs w:val="22"/>
              </w:rPr>
              <w:t>)</w:t>
            </w:r>
            <w:r w:rsidRPr="002936E1">
              <w:rPr>
                <w:i/>
                <w:iCs/>
                <w:sz w:val="22"/>
                <w:szCs w:val="22"/>
              </w:rPr>
              <w:t>.</w:t>
            </w:r>
            <w:r w:rsidR="002419BB">
              <w:rPr>
                <w:rFonts w:asciiTheme="minorHAnsi" w:hAnsiTheme="minorHAnsi" w:cstheme="minorBidi"/>
                <w:sz w:val="22"/>
                <w:szCs w:val="22"/>
              </w:rPr>
              <w:t xml:space="preserve"> </w:t>
            </w:r>
            <w:r w:rsidR="002419BB">
              <w:rPr>
                <w:rStyle w:val="normaltextrun"/>
                <w:rFonts w:asciiTheme="minorHAnsi" w:hAnsiTheme="minorHAnsi" w:cstheme="minorBidi"/>
                <w:sz w:val="22"/>
                <w:szCs w:val="22"/>
              </w:rPr>
              <w:t>The FAQ provides responses to questions that were asked during the September 2024 Stakeholder Liaison Forum.</w:t>
            </w:r>
          </w:p>
          <w:p w14:paraId="4762CEFA" w14:textId="128865B3" w:rsidR="002936E1" w:rsidRPr="007F5EA0" w:rsidRDefault="002936E1" w:rsidP="009C4C1E">
            <w:pPr>
              <w:spacing w:line="259" w:lineRule="auto"/>
              <w:jc w:val="left"/>
              <w:rPr>
                <w:sz w:val="22"/>
                <w:szCs w:val="22"/>
              </w:rPr>
            </w:pPr>
            <w:r w:rsidRPr="002936E1">
              <w:rPr>
                <w:sz w:val="22"/>
                <w:szCs w:val="22"/>
              </w:rPr>
              <w:t xml:space="preserve">It may also help users of the </w:t>
            </w:r>
            <w:hyperlink r:id="rId9" w:history="1">
              <w:r w:rsidRPr="001625FE">
                <w:rPr>
                  <w:rStyle w:val="Hyperlink"/>
                  <w:sz w:val="22"/>
                  <w:szCs w:val="22"/>
                </w:rPr>
                <w:t>Payment Times Reports Register</w:t>
              </w:r>
            </w:hyperlink>
            <w:r w:rsidRPr="002936E1">
              <w:rPr>
                <w:sz w:val="22"/>
                <w:szCs w:val="22"/>
              </w:rPr>
              <w:t xml:space="preserve"> to understand the </w:t>
            </w:r>
            <w:r w:rsidR="000E5571">
              <w:rPr>
                <w:sz w:val="22"/>
                <w:szCs w:val="22"/>
              </w:rPr>
              <w:t>new presentation of payment times reports data</w:t>
            </w:r>
            <w:r w:rsidRPr="002936E1">
              <w:rPr>
                <w:sz w:val="22"/>
                <w:szCs w:val="22"/>
              </w:rPr>
              <w:t>.</w:t>
            </w:r>
            <w:r w:rsidRPr="007F5EA0">
              <w:rPr>
                <w:sz w:val="22"/>
                <w:szCs w:val="22"/>
              </w:rPr>
              <w:t xml:space="preserve"> </w:t>
            </w:r>
          </w:p>
        </w:tc>
      </w:tr>
    </w:tbl>
    <w:p w14:paraId="10E82F49" w14:textId="77777777" w:rsidR="00A0462A" w:rsidRDefault="00A0462A" w:rsidP="009C4C1E">
      <w:pPr>
        <w:pStyle w:val="Heading1"/>
        <w:spacing w:line="259" w:lineRule="auto"/>
      </w:pPr>
      <w:bookmarkStart w:id="20" w:name="_Toc106733461"/>
      <w:bookmarkStart w:id="21" w:name="_Toc106884212"/>
      <w:bookmarkStart w:id="22" w:name="_Toc106892636"/>
      <w:bookmarkStart w:id="23" w:name="_Toc106893928"/>
      <w:bookmarkStart w:id="24" w:name="_Toc107909422"/>
      <w:bookmarkStart w:id="25" w:name="_Toc107911971"/>
      <w:bookmarkStart w:id="26" w:name="_Toc107912264"/>
      <w:bookmarkStart w:id="27" w:name="_Toc107914929"/>
      <w:bookmarkStart w:id="28" w:name="_Toc107915685"/>
      <w:bookmarkStart w:id="29" w:name="_Toc117783913"/>
      <w:bookmarkStart w:id="30" w:name="_Toc117853016"/>
      <w:bookmarkStart w:id="31" w:name="_Toc152683398"/>
      <w:bookmarkStart w:id="32" w:name="_Toc152764427"/>
      <w:bookmarkStart w:id="33" w:name="_Toc152766168"/>
    </w:p>
    <w:p w14:paraId="1F5D3A74" w14:textId="07924185" w:rsidR="002936E1" w:rsidRPr="0022168E" w:rsidRDefault="002936E1" w:rsidP="009C4C1E">
      <w:pPr>
        <w:pStyle w:val="Heading1"/>
        <w:spacing w:line="259" w:lineRule="auto"/>
      </w:pPr>
      <w:bookmarkStart w:id="34" w:name="_Toc178330483"/>
      <w:bookmarkStart w:id="35" w:name="_Toc178330644"/>
      <w:bookmarkStart w:id="36" w:name="_Toc178344943"/>
      <w:bookmarkStart w:id="37" w:name="_Toc178345133"/>
      <w:bookmarkStart w:id="38" w:name="_Toc178351605"/>
      <w:bookmarkStart w:id="39" w:name="_Toc178596593"/>
      <w:r w:rsidRPr="00B61F31">
        <w:t xml:space="preserve">Document </w:t>
      </w:r>
      <w:proofErr w:type="gramStart"/>
      <w:r w:rsidRPr="00B61F31">
        <w:t>h</w:t>
      </w:r>
      <w:r w:rsidRPr="0022168E">
        <w:t>istory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roofErr w:type="gramEnd"/>
    </w:p>
    <w:p w14:paraId="56984A02" w14:textId="40CA952D" w:rsidR="002936E1" w:rsidRDefault="00A3775A" w:rsidP="009C4C1E">
      <w:pPr>
        <w:spacing w:line="259" w:lineRule="auto"/>
      </w:pPr>
      <w:r>
        <w:t xml:space="preserve">This </w:t>
      </w:r>
      <w:r w:rsidR="000C6208">
        <w:t xml:space="preserve">document </w:t>
      </w:r>
      <w:r>
        <w:t xml:space="preserve">was published </w:t>
      </w:r>
      <w:r w:rsidR="00DB25D4">
        <w:t>in</w:t>
      </w:r>
      <w:r>
        <w:t xml:space="preserve"> </w:t>
      </w:r>
      <w:r w:rsidR="0069567D">
        <w:t>September</w:t>
      </w:r>
      <w:r>
        <w:t xml:space="preserve"> 202</w:t>
      </w:r>
      <w:r w:rsidR="0069567D">
        <w:t>4</w:t>
      </w:r>
      <w:r>
        <w:t xml:space="preserve"> and is based on the </w:t>
      </w:r>
      <w:hyperlink r:id="rId10" w:history="1">
        <w:r w:rsidRPr="007F5EA0">
          <w:rPr>
            <w:rStyle w:val="Hyperlink"/>
            <w:i/>
            <w:iCs/>
          </w:rPr>
          <w:t>Payment Times Reporting Act 2020</w:t>
        </w:r>
      </w:hyperlink>
      <w:r>
        <w:t xml:space="preserve"> and </w:t>
      </w:r>
      <w:hyperlink r:id="rId11" w:history="1">
        <w:r w:rsidRPr="002744F4">
          <w:rPr>
            <w:rStyle w:val="Hyperlink"/>
          </w:rPr>
          <w:t>Payment Times Reporting Rules 202</w:t>
        </w:r>
      </w:hyperlink>
      <w:r w:rsidR="0069567D">
        <w:rPr>
          <w:rStyle w:val="Hyperlink"/>
        </w:rPr>
        <w:t>4</w:t>
      </w:r>
      <w:r w:rsidRPr="002744F4">
        <w:t xml:space="preserve"> </w:t>
      </w:r>
      <w:r>
        <w:t>as of that date</w:t>
      </w:r>
      <w:r w:rsidR="0069567D">
        <w:t>.</w:t>
      </w:r>
    </w:p>
    <w:p w14:paraId="2B5C0EB6" w14:textId="77777777" w:rsidR="002936E1" w:rsidRPr="004E343F" w:rsidRDefault="002936E1" w:rsidP="009C4C1E">
      <w:pPr>
        <w:pStyle w:val="Heading1"/>
        <w:spacing w:line="259" w:lineRule="auto"/>
      </w:pPr>
      <w:bookmarkStart w:id="40" w:name="_Toc106733462"/>
      <w:bookmarkStart w:id="41" w:name="_Toc106884213"/>
      <w:bookmarkStart w:id="42" w:name="_Toc106892637"/>
      <w:bookmarkStart w:id="43" w:name="_Toc106893929"/>
      <w:bookmarkStart w:id="44" w:name="_Toc107909423"/>
      <w:bookmarkStart w:id="45" w:name="_Toc107911972"/>
      <w:bookmarkStart w:id="46" w:name="_Toc107912265"/>
      <w:bookmarkStart w:id="47" w:name="_Toc107914930"/>
      <w:bookmarkStart w:id="48" w:name="_Toc107915686"/>
      <w:bookmarkStart w:id="49" w:name="_Toc117783914"/>
      <w:bookmarkStart w:id="50" w:name="_Toc117853017"/>
      <w:bookmarkStart w:id="51" w:name="_Toc152683399"/>
      <w:bookmarkStart w:id="52" w:name="_Toc152764428"/>
      <w:bookmarkStart w:id="53" w:name="_Toc152766169"/>
      <w:bookmarkStart w:id="54" w:name="_Toc178330484"/>
      <w:bookmarkStart w:id="55" w:name="_Toc178330645"/>
      <w:bookmarkStart w:id="56" w:name="_Toc178344944"/>
      <w:bookmarkStart w:id="57" w:name="_Toc178345134"/>
      <w:bookmarkStart w:id="58" w:name="_Toc178351606"/>
      <w:bookmarkStart w:id="59" w:name="_Toc178596594"/>
      <w:r w:rsidRPr="004E343F">
        <w:t>Disclaimer</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B0563EA" w14:textId="662150EA" w:rsidR="00C6382A" w:rsidRDefault="00C6382A" w:rsidP="009C4C1E">
      <w:pPr>
        <w:spacing w:line="259" w:lineRule="auto"/>
      </w:pPr>
      <w:r>
        <w:t xml:space="preserve">This </w:t>
      </w:r>
      <w:r w:rsidR="00A36191">
        <w:t>g</w:t>
      </w:r>
      <w:r>
        <w:t xml:space="preserve">uidance </w:t>
      </w:r>
      <w:r w:rsidR="00A36191">
        <w:t>n</w:t>
      </w:r>
      <w:r>
        <w:t xml:space="preserve">ote does not constitute legal or professional advice and it should not be relied on as such. You should seek your own legal or professional advice to find out how the </w:t>
      </w:r>
      <w:hyperlink r:id="rId12" w:history="1">
        <w:r w:rsidRPr="007F5EA0">
          <w:rPr>
            <w:rStyle w:val="Hyperlink"/>
            <w:i/>
            <w:iCs/>
          </w:rPr>
          <w:t>Payment Times Reporting Act 2020</w:t>
        </w:r>
      </w:hyperlink>
      <w:r>
        <w:t xml:space="preserve"> and other applicable laws apply to your organisation, because you are responsible for determining your obligations.</w:t>
      </w:r>
    </w:p>
    <w:p w14:paraId="3EA03FC7" w14:textId="59275524" w:rsidR="004954E2" w:rsidRPr="004E343F" w:rsidRDefault="004954E2" w:rsidP="004954E2">
      <w:pPr>
        <w:pStyle w:val="Heading1"/>
        <w:spacing w:line="259" w:lineRule="auto"/>
      </w:pPr>
      <w:bookmarkStart w:id="60" w:name="_Toc178596595"/>
      <w:r>
        <w:t>References</w:t>
      </w:r>
      <w:bookmarkEnd w:id="60"/>
    </w:p>
    <w:p w14:paraId="335D8F2E" w14:textId="04E4F0F2" w:rsidR="004954E2" w:rsidRDefault="004954E2" w:rsidP="004954E2">
      <w:r>
        <w:t>Unless stated otherwise the following references apply in this document:</w:t>
      </w:r>
    </w:p>
    <w:p w14:paraId="274A9C0C" w14:textId="63BAA239" w:rsidR="004954E2" w:rsidRDefault="004954E2" w:rsidP="00A60DDC">
      <w:pPr>
        <w:pStyle w:val="ListParagraph"/>
        <w:numPr>
          <w:ilvl w:val="0"/>
          <w:numId w:val="45"/>
        </w:numPr>
      </w:pPr>
      <w:r>
        <w:t xml:space="preserve">the </w:t>
      </w:r>
      <w:r w:rsidRPr="005069A5">
        <w:rPr>
          <w:b/>
          <w:bCs/>
        </w:rPr>
        <w:t>Act</w:t>
      </w:r>
      <w:r>
        <w:t xml:space="preserve"> </w:t>
      </w:r>
      <w:r w:rsidR="00E413A3">
        <w:t>means</w:t>
      </w:r>
      <w:r>
        <w:t xml:space="preserve"> the </w:t>
      </w:r>
      <w:r w:rsidRPr="004954E2">
        <w:rPr>
          <w:i/>
          <w:iCs/>
        </w:rPr>
        <w:t>Payment Times Reporting Act 2020</w:t>
      </w:r>
      <w:r>
        <w:t xml:space="preserve"> </w:t>
      </w:r>
    </w:p>
    <w:p w14:paraId="61D5F357" w14:textId="37FF51BE" w:rsidR="004954E2" w:rsidRDefault="004954E2" w:rsidP="00A60DDC">
      <w:pPr>
        <w:pStyle w:val="ListParagraph"/>
        <w:numPr>
          <w:ilvl w:val="0"/>
          <w:numId w:val="45"/>
        </w:numPr>
      </w:pPr>
      <w:r>
        <w:t xml:space="preserve">the </w:t>
      </w:r>
      <w:r w:rsidRPr="005069A5">
        <w:rPr>
          <w:b/>
          <w:bCs/>
        </w:rPr>
        <w:t>Rules</w:t>
      </w:r>
      <w:r>
        <w:t xml:space="preserve"> </w:t>
      </w:r>
      <w:r w:rsidR="00E413A3">
        <w:t xml:space="preserve">means </w:t>
      </w:r>
      <w:r>
        <w:t>the Payment Times Reporting Rules 2024</w:t>
      </w:r>
    </w:p>
    <w:p w14:paraId="5BAE091B" w14:textId="555471C0" w:rsidR="004954E2" w:rsidRDefault="004954E2" w:rsidP="00A60DDC">
      <w:pPr>
        <w:pStyle w:val="ListParagraph"/>
        <w:numPr>
          <w:ilvl w:val="0"/>
          <w:numId w:val="45"/>
        </w:numPr>
      </w:pPr>
      <w:r>
        <w:t xml:space="preserve">the </w:t>
      </w:r>
      <w:r w:rsidRPr="004954E2">
        <w:rPr>
          <w:b/>
          <w:bCs/>
        </w:rPr>
        <w:t>Portal</w:t>
      </w:r>
      <w:r>
        <w:t xml:space="preserve"> </w:t>
      </w:r>
      <w:r w:rsidR="00E413A3">
        <w:t xml:space="preserve">means </w:t>
      </w:r>
      <w:r>
        <w:t>the Payment Times Reporting Portal</w:t>
      </w:r>
    </w:p>
    <w:p w14:paraId="5B35648A" w14:textId="002129D8" w:rsidR="002936E1" w:rsidRPr="002936E1" w:rsidRDefault="002936E1" w:rsidP="009C4C1E">
      <w:pPr>
        <w:spacing w:line="259" w:lineRule="auto"/>
        <w:sectPr w:rsidR="002936E1" w:rsidRPr="002936E1" w:rsidSect="00924853">
          <w:headerReference w:type="default" r:id="rId13"/>
          <w:footerReference w:type="default" r:id="rId14"/>
          <w:headerReference w:type="first" r:id="rId15"/>
          <w:footerReference w:type="first" r:id="rId16"/>
          <w:pgSz w:w="11906" w:h="16838" w:code="9"/>
          <w:pgMar w:top="1440" w:right="1440" w:bottom="1440" w:left="1440" w:header="709" w:footer="709" w:gutter="0"/>
          <w:pgNumType w:fmt="lowerRoman" w:start="0"/>
          <w:cols w:space="708"/>
          <w:titlePg/>
          <w:docGrid w:linePitch="360"/>
        </w:sectPr>
      </w:pPr>
    </w:p>
    <w:p w14:paraId="455A1AF0" w14:textId="77777777" w:rsidR="00223634" w:rsidRDefault="000E0B74" w:rsidP="000B77F4">
      <w:pPr>
        <w:pStyle w:val="Heading1"/>
      </w:pPr>
      <w:bookmarkStart w:id="61" w:name="_Toc106705487"/>
      <w:bookmarkStart w:id="62" w:name="_Toc106884214"/>
      <w:bookmarkStart w:id="63" w:name="_Toc106892638"/>
      <w:bookmarkStart w:id="64" w:name="_Toc106893930"/>
      <w:bookmarkStart w:id="65" w:name="_Toc107909424"/>
      <w:bookmarkStart w:id="66" w:name="_Toc107911973"/>
      <w:bookmarkStart w:id="67" w:name="_Toc107912266"/>
      <w:bookmarkStart w:id="68" w:name="_Toc107914931"/>
      <w:bookmarkStart w:id="69" w:name="_Toc107915687"/>
      <w:bookmarkStart w:id="70" w:name="_Toc117783915"/>
      <w:bookmarkStart w:id="71" w:name="_Toc117853018"/>
      <w:bookmarkStart w:id="72" w:name="_Toc152764429"/>
      <w:bookmarkStart w:id="73" w:name="_Toc152766170"/>
      <w:bookmarkStart w:id="74" w:name="_Toc178330485"/>
      <w:bookmarkStart w:id="75" w:name="_Toc178330646"/>
      <w:bookmarkStart w:id="76" w:name="_Toc178344945"/>
      <w:bookmarkStart w:id="77" w:name="_Toc178345135"/>
      <w:bookmarkStart w:id="78" w:name="_Toc178351607"/>
      <w:bookmarkStart w:id="79" w:name="_Toc178596596"/>
      <w:r w:rsidRPr="001F1B27">
        <w:lastRenderedPageBreak/>
        <w:t>Contents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5D0DD12" w14:textId="595AC82B" w:rsidR="00567D89" w:rsidRDefault="000E0B74">
      <w:pPr>
        <w:pStyle w:val="TOC2"/>
        <w:rPr>
          <w:rFonts w:asciiTheme="minorHAnsi" w:eastAsiaTheme="minorEastAsia" w:hAnsiTheme="minorHAnsi" w:cstheme="minorBidi"/>
          <w:color w:val="auto"/>
          <w:kern w:val="2"/>
          <w:szCs w:val="22"/>
          <w14:ligatures w14:val="standardContextual"/>
        </w:rPr>
      </w:pPr>
      <w:r>
        <w:rPr>
          <w:rFonts w:cs="Arial"/>
          <w:b/>
          <w:color w:val="004A7F"/>
          <w:kern w:val="32"/>
          <w:sz w:val="40"/>
          <w:szCs w:val="22"/>
        </w:rPr>
        <w:fldChar w:fldCharType="begin"/>
      </w:r>
      <w:r w:rsidRPr="0025652F">
        <w:instrText xml:space="preserve"> TOC \o "1-3" \h \z \u </w:instrText>
      </w:r>
      <w:r>
        <w:rPr>
          <w:rFonts w:cs="Arial"/>
          <w:b/>
          <w:color w:val="004A7F"/>
          <w:kern w:val="32"/>
          <w:sz w:val="40"/>
          <w:szCs w:val="22"/>
        </w:rPr>
        <w:fldChar w:fldCharType="separate"/>
      </w:r>
      <w:hyperlink w:anchor="_Toc178596592" w:history="1">
        <w:r w:rsidR="00567D89" w:rsidRPr="00183B4C">
          <w:rPr>
            <w:rStyle w:val="Hyperlink"/>
          </w:rPr>
          <w:t>About this document</w:t>
        </w:r>
        <w:r w:rsidR="00567D89">
          <w:rPr>
            <w:webHidden/>
          </w:rPr>
          <w:tab/>
        </w:r>
        <w:r w:rsidR="00567D89">
          <w:rPr>
            <w:webHidden/>
          </w:rPr>
          <w:fldChar w:fldCharType="begin"/>
        </w:r>
        <w:r w:rsidR="00567D89">
          <w:rPr>
            <w:webHidden/>
          </w:rPr>
          <w:instrText xml:space="preserve"> PAGEREF _Toc178596592 \h </w:instrText>
        </w:r>
        <w:r w:rsidR="00567D89">
          <w:rPr>
            <w:webHidden/>
          </w:rPr>
        </w:r>
        <w:r w:rsidR="00567D89">
          <w:rPr>
            <w:webHidden/>
          </w:rPr>
          <w:fldChar w:fldCharType="separate"/>
        </w:r>
        <w:r w:rsidR="008E4A0E">
          <w:rPr>
            <w:webHidden/>
          </w:rPr>
          <w:t xml:space="preserve"> </w:t>
        </w:r>
        <w:r w:rsidR="00567D89">
          <w:rPr>
            <w:webHidden/>
          </w:rPr>
          <w:fldChar w:fldCharType="end"/>
        </w:r>
      </w:hyperlink>
    </w:p>
    <w:p w14:paraId="08BDC8DE" w14:textId="1CC9E344" w:rsidR="00567D89" w:rsidRDefault="002D1D39">
      <w:pPr>
        <w:pStyle w:val="TOC1"/>
        <w:rPr>
          <w:rFonts w:asciiTheme="minorHAnsi" w:eastAsiaTheme="minorEastAsia" w:hAnsiTheme="minorHAnsi" w:cstheme="minorBidi"/>
          <w:b w:val="0"/>
          <w:color w:val="auto"/>
          <w:kern w:val="2"/>
          <w14:ligatures w14:val="standardContextual"/>
        </w:rPr>
      </w:pPr>
      <w:hyperlink w:anchor="_Toc178596593" w:history="1">
        <w:r w:rsidR="00567D89" w:rsidRPr="00183B4C">
          <w:rPr>
            <w:rStyle w:val="Hyperlink"/>
          </w:rPr>
          <w:t>Document history</w:t>
        </w:r>
        <w:r w:rsidR="00567D89">
          <w:rPr>
            <w:webHidden/>
          </w:rPr>
          <w:tab/>
        </w:r>
        <w:r w:rsidR="00567D89">
          <w:rPr>
            <w:webHidden/>
          </w:rPr>
          <w:fldChar w:fldCharType="begin"/>
        </w:r>
        <w:r w:rsidR="00567D89">
          <w:rPr>
            <w:webHidden/>
          </w:rPr>
          <w:instrText xml:space="preserve"> PAGEREF _Toc178596593 \h </w:instrText>
        </w:r>
        <w:r w:rsidR="00567D89">
          <w:rPr>
            <w:webHidden/>
          </w:rPr>
        </w:r>
        <w:r w:rsidR="00567D89">
          <w:rPr>
            <w:webHidden/>
          </w:rPr>
          <w:fldChar w:fldCharType="separate"/>
        </w:r>
        <w:r w:rsidR="008E4A0E">
          <w:rPr>
            <w:webHidden/>
          </w:rPr>
          <w:t xml:space="preserve"> </w:t>
        </w:r>
        <w:r w:rsidR="00567D89">
          <w:rPr>
            <w:webHidden/>
          </w:rPr>
          <w:fldChar w:fldCharType="end"/>
        </w:r>
      </w:hyperlink>
    </w:p>
    <w:p w14:paraId="73CFB181" w14:textId="60D491A7" w:rsidR="00567D89" w:rsidRDefault="002D1D39">
      <w:pPr>
        <w:pStyle w:val="TOC1"/>
        <w:rPr>
          <w:rFonts w:asciiTheme="minorHAnsi" w:eastAsiaTheme="minorEastAsia" w:hAnsiTheme="minorHAnsi" w:cstheme="minorBidi"/>
          <w:b w:val="0"/>
          <w:color w:val="auto"/>
          <w:kern w:val="2"/>
          <w14:ligatures w14:val="standardContextual"/>
        </w:rPr>
      </w:pPr>
      <w:hyperlink w:anchor="_Toc178596594" w:history="1">
        <w:r w:rsidR="00567D89" w:rsidRPr="00183B4C">
          <w:rPr>
            <w:rStyle w:val="Hyperlink"/>
          </w:rPr>
          <w:t>Disclaimer</w:t>
        </w:r>
        <w:r w:rsidR="00567D89">
          <w:rPr>
            <w:webHidden/>
          </w:rPr>
          <w:tab/>
        </w:r>
        <w:r w:rsidR="00567D89">
          <w:rPr>
            <w:webHidden/>
          </w:rPr>
          <w:fldChar w:fldCharType="begin"/>
        </w:r>
        <w:r w:rsidR="00567D89">
          <w:rPr>
            <w:webHidden/>
          </w:rPr>
          <w:instrText xml:space="preserve"> PAGEREF _Toc178596594 \h </w:instrText>
        </w:r>
        <w:r w:rsidR="00567D89">
          <w:rPr>
            <w:webHidden/>
          </w:rPr>
        </w:r>
        <w:r w:rsidR="00567D89">
          <w:rPr>
            <w:webHidden/>
          </w:rPr>
          <w:fldChar w:fldCharType="separate"/>
        </w:r>
        <w:r w:rsidR="008E4A0E">
          <w:rPr>
            <w:webHidden/>
          </w:rPr>
          <w:t xml:space="preserve"> </w:t>
        </w:r>
        <w:r w:rsidR="00567D89">
          <w:rPr>
            <w:webHidden/>
          </w:rPr>
          <w:fldChar w:fldCharType="end"/>
        </w:r>
      </w:hyperlink>
    </w:p>
    <w:p w14:paraId="01D99F4C" w14:textId="3C32449B" w:rsidR="00567D89" w:rsidRDefault="002D1D39">
      <w:pPr>
        <w:pStyle w:val="TOC1"/>
        <w:rPr>
          <w:rFonts w:asciiTheme="minorHAnsi" w:eastAsiaTheme="minorEastAsia" w:hAnsiTheme="minorHAnsi" w:cstheme="minorBidi"/>
          <w:b w:val="0"/>
          <w:color w:val="auto"/>
          <w:kern w:val="2"/>
          <w14:ligatures w14:val="standardContextual"/>
        </w:rPr>
      </w:pPr>
      <w:hyperlink w:anchor="_Toc178596595" w:history="1">
        <w:r w:rsidR="00567D89" w:rsidRPr="00183B4C">
          <w:rPr>
            <w:rStyle w:val="Hyperlink"/>
          </w:rPr>
          <w:t>References</w:t>
        </w:r>
        <w:r w:rsidR="00567D89">
          <w:rPr>
            <w:webHidden/>
          </w:rPr>
          <w:tab/>
        </w:r>
        <w:r w:rsidR="00567D89">
          <w:rPr>
            <w:webHidden/>
          </w:rPr>
          <w:fldChar w:fldCharType="begin"/>
        </w:r>
        <w:r w:rsidR="00567D89">
          <w:rPr>
            <w:webHidden/>
          </w:rPr>
          <w:instrText xml:space="preserve"> PAGEREF _Toc178596595 \h </w:instrText>
        </w:r>
        <w:r w:rsidR="00567D89">
          <w:rPr>
            <w:webHidden/>
          </w:rPr>
        </w:r>
        <w:r w:rsidR="00567D89">
          <w:rPr>
            <w:webHidden/>
          </w:rPr>
          <w:fldChar w:fldCharType="separate"/>
        </w:r>
        <w:r w:rsidR="008E4A0E">
          <w:rPr>
            <w:webHidden/>
          </w:rPr>
          <w:t xml:space="preserve"> </w:t>
        </w:r>
        <w:r w:rsidR="00567D89">
          <w:rPr>
            <w:webHidden/>
          </w:rPr>
          <w:fldChar w:fldCharType="end"/>
        </w:r>
      </w:hyperlink>
    </w:p>
    <w:p w14:paraId="14C0DCC9" w14:textId="6D52B12A" w:rsidR="00567D89" w:rsidRDefault="002D1D39">
      <w:pPr>
        <w:pStyle w:val="TOC1"/>
        <w:rPr>
          <w:rFonts w:asciiTheme="minorHAnsi" w:eastAsiaTheme="minorEastAsia" w:hAnsiTheme="minorHAnsi" w:cstheme="minorBidi"/>
          <w:b w:val="0"/>
          <w:color w:val="auto"/>
          <w:kern w:val="2"/>
          <w14:ligatures w14:val="standardContextual"/>
        </w:rPr>
      </w:pPr>
      <w:hyperlink w:anchor="_Toc178596596" w:history="1">
        <w:r w:rsidR="00567D89" w:rsidRPr="00183B4C">
          <w:rPr>
            <w:rStyle w:val="Hyperlink"/>
          </w:rPr>
          <w:t>Contents</w:t>
        </w:r>
        <w:r w:rsidR="00567D89">
          <w:rPr>
            <w:webHidden/>
          </w:rPr>
          <w:tab/>
        </w:r>
        <w:r w:rsidR="00567D89">
          <w:rPr>
            <w:webHidden/>
          </w:rPr>
          <w:fldChar w:fldCharType="begin"/>
        </w:r>
        <w:r w:rsidR="00567D89">
          <w:rPr>
            <w:webHidden/>
          </w:rPr>
          <w:instrText xml:space="preserve"> PAGEREF _Toc178596596 \h </w:instrText>
        </w:r>
        <w:r w:rsidR="00567D89">
          <w:rPr>
            <w:webHidden/>
          </w:rPr>
        </w:r>
        <w:r w:rsidR="00567D89">
          <w:rPr>
            <w:webHidden/>
          </w:rPr>
          <w:fldChar w:fldCharType="separate"/>
        </w:r>
        <w:r w:rsidR="008E4A0E">
          <w:rPr>
            <w:webHidden/>
          </w:rPr>
          <w:t>1</w:t>
        </w:r>
        <w:r w:rsidR="00567D89">
          <w:rPr>
            <w:webHidden/>
          </w:rPr>
          <w:fldChar w:fldCharType="end"/>
        </w:r>
      </w:hyperlink>
    </w:p>
    <w:p w14:paraId="45E2CB03" w14:textId="3E3ECB3D" w:rsidR="00567D89" w:rsidRDefault="002D1D39">
      <w:pPr>
        <w:pStyle w:val="TOC1"/>
        <w:rPr>
          <w:rFonts w:asciiTheme="minorHAnsi" w:eastAsiaTheme="minorEastAsia" w:hAnsiTheme="minorHAnsi" w:cstheme="minorBidi"/>
          <w:b w:val="0"/>
          <w:color w:val="auto"/>
          <w:kern w:val="2"/>
          <w14:ligatures w14:val="standardContextual"/>
        </w:rPr>
      </w:pPr>
      <w:hyperlink w:anchor="_Toc178596597" w:history="1">
        <w:r w:rsidR="00567D89" w:rsidRPr="00183B4C">
          <w:rPr>
            <w:rStyle w:val="Hyperlink"/>
          </w:rPr>
          <w:t>Forum Questions &amp; Responses</w:t>
        </w:r>
        <w:r w:rsidR="00567D89">
          <w:rPr>
            <w:webHidden/>
          </w:rPr>
          <w:tab/>
        </w:r>
        <w:r w:rsidR="00567D89">
          <w:rPr>
            <w:webHidden/>
          </w:rPr>
          <w:fldChar w:fldCharType="begin"/>
        </w:r>
        <w:r w:rsidR="00567D89">
          <w:rPr>
            <w:webHidden/>
          </w:rPr>
          <w:instrText xml:space="preserve"> PAGEREF _Toc178596597 \h </w:instrText>
        </w:r>
        <w:r w:rsidR="00567D89">
          <w:rPr>
            <w:webHidden/>
          </w:rPr>
        </w:r>
        <w:r w:rsidR="00567D89">
          <w:rPr>
            <w:webHidden/>
          </w:rPr>
          <w:fldChar w:fldCharType="separate"/>
        </w:r>
        <w:r w:rsidR="008E4A0E">
          <w:rPr>
            <w:webHidden/>
          </w:rPr>
          <w:t>2</w:t>
        </w:r>
        <w:r w:rsidR="00567D89">
          <w:rPr>
            <w:webHidden/>
          </w:rPr>
          <w:fldChar w:fldCharType="end"/>
        </w:r>
      </w:hyperlink>
    </w:p>
    <w:p w14:paraId="28930137" w14:textId="63D6B298"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598" w:history="1">
        <w:r w:rsidR="00567D89" w:rsidRPr="00183B4C">
          <w:rPr>
            <w:rStyle w:val="Hyperlink"/>
          </w:rPr>
          <w:t>Compliance</w:t>
        </w:r>
        <w:r w:rsidR="00567D89">
          <w:rPr>
            <w:webHidden/>
          </w:rPr>
          <w:tab/>
        </w:r>
        <w:r w:rsidR="00567D89">
          <w:rPr>
            <w:webHidden/>
          </w:rPr>
          <w:fldChar w:fldCharType="begin"/>
        </w:r>
        <w:r w:rsidR="00567D89">
          <w:rPr>
            <w:webHidden/>
          </w:rPr>
          <w:instrText xml:space="preserve"> PAGEREF _Toc178596598 \h </w:instrText>
        </w:r>
        <w:r w:rsidR="00567D89">
          <w:rPr>
            <w:webHidden/>
          </w:rPr>
        </w:r>
        <w:r w:rsidR="00567D89">
          <w:rPr>
            <w:webHidden/>
          </w:rPr>
          <w:fldChar w:fldCharType="separate"/>
        </w:r>
        <w:r w:rsidR="008E4A0E">
          <w:rPr>
            <w:webHidden/>
          </w:rPr>
          <w:t>2</w:t>
        </w:r>
        <w:r w:rsidR="00567D89">
          <w:rPr>
            <w:webHidden/>
          </w:rPr>
          <w:fldChar w:fldCharType="end"/>
        </w:r>
      </w:hyperlink>
    </w:p>
    <w:p w14:paraId="2AA26DA1" w14:textId="78D5F716"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599" w:history="1">
        <w:r w:rsidR="00567D89" w:rsidRPr="00183B4C">
          <w:rPr>
            <w:rStyle w:val="Hyperlink"/>
          </w:rPr>
          <w:t>Consolidation</w:t>
        </w:r>
        <w:r w:rsidR="00567D89">
          <w:rPr>
            <w:webHidden/>
          </w:rPr>
          <w:tab/>
        </w:r>
        <w:r w:rsidR="00567D89">
          <w:rPr>
            <w:webHidden/>
          </w:rPr>
          <w:fldChar w:fldCharType="begin"/>
        </w:r>
        <w:r w:rsidR="00567D89">
          <w:rPr>
            <w:webHidden/>
          </w:rPr>
          <w:instrText xml:space="preserve"> PAGEREF _Toc178596599 \h </w:instrText>
        </w:r>
        <w:r w:rsidR="00567D89">
          <w:rPr>
            <w:webHidden/>
          </w:rPr>
        </w:r>
        <w:r w:rsidR="00567D89">
          <w:rPr>
            <w:webHidden/>
          </w:rPr>
          <w:fldChar w:fldCharType="separate"/>
        </w:r>
        <w:r w:rsidR="008E4A0E">
          <w:rPr>
            <w:webHidden/>
          </w:rPr>
          <w:t>2</w:t>
        </w:r>
        <w:r w:rsidR="00567D89">
          <w:rPr>
            <w:webHidden/>
          </w:rPr>
          <w:fldChar w:fldCharType="end"/>
        </w:r>
      </w:hyperlink>
    </w:p>
    <w:p w14:paraId="34547A61" w14:textId="796B9476"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0" w:history="1">
        <w:r w:rsidR="00567D89" w:rsidRPr="00183B4C">
          <w:rPr>
            <w:rStyle w:val="Hyperlink"/>
          </w:rPr>
          <w:t>Control</w:t>
        </w:r>
        <w:r w:rsidR="00567D89">
          <w:rPr>
            <w:webHidden/>
          </w:rPr>
          <w:tab/>
        </w:r>
        <w:r w:rsidR="00567D89">
          <w:rPr>
            <w:webHidden/>
          </w:rPr>
          <w:fldChar w:fldCharType="begin"/>
        </w:r>
        <w:r w:rsidR="00567D89">
          <w:rPr>
            <w:webHidden/>
          </w:rPr>
          <w:instrText xml:space="preserve"> PAGEREF _Toc178596600 \h </w:instrText>
        </w:r>
        <w:r w:rsidR="00567D89">
          <w:rPr>
            <w:webHidden/>
          </w:rPr>
        </w:r>
        <w:r w:rsidR="00567D89">
          <w:rPr>
            <w:webHidden/>
          </w:rPr>
          <w:fldChar w:fldCharType="separate"/>
        </w:r>
        <w:r w:rsidR="008E4A0E">
          <w:rPr>
            <w:webHidden/>
          </w:rPr>
          <w:t>4</w:t>
        </w:r>
        <w:r w:rsidR="00567D89">
          <w:rPr>
            <w:webHidden/>
          </w:rPr>
          <w:fldChar w:fldCharType="end"/>
        </w:r>
      </w:hyperlink>
    </w:p>
    <w:p w14:paraId="27E79A41" w14:textId="2E1E8B90"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1" w:history="1">
        <w:r w:rsidR="00567D89" w:rsidRPr="00183B4C">
          <w:rPr>
            <w:rStyle w:val="Hyperlink"/>
          </w:rPr>
          <w:t>Credit Cards</w:t>
        </w:r>
        <w:r w:rsidR="00567D89">
          <w:rPr>
            <w:webHidden/>
          </w:rPr>
          <w:tab/>
        </w:r>
        <w:r w:rsidR="00567D89">
          <w:rPr>
            <w:webHidden/>
          </w:rPr>
          <w:fldChar w:fldCharType="begin"/>
        </w:r>
        <w:r w:rsidR="00567D89">
          <w:rPr>
            <w:webHidden/>
          </w:rPr>
          <w:instrText xml:space="preserve"> PAGEREF _Toc178596601 \h </w:instrText>
        </w:r>
        <w:r w:rsidR="00567D89">
          <w:rPr>
            <w:webHidden/>
          </w:rPr>
        </w:r>
        <w:r w:rsidR="00567D89">
          <w:rPr>
            <w:webHidden/>
          </w:rPr>
          <w:fldChar w:fldCharType="separate"/>
        </w:r>
        <w:r w:rsidR="008E4A0E">
          <w:rPr>
            <w:webHidden/>
          </w:rPr>
          <w:t>4</w:t>
        </w:r>
        <w:r w:rsidR="00567D89">
          <w:rPr>
            <w:webHidden/>
          </w:rPr>
          <w:fldChar w:fldCharType="end"/>
        </w:r>
      </w:hyperlink>
    </w:p>
    <w:p w14:paraId="7B15803C" w14:textId="0B155C3F"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2" w:history="1">
        <w:r w:rsidR="00567D89" w:rsidRPr="00183B4C">
          <w:rPr>
            <w:rStyle w:val="Hyperlink"/>
          </w:rPr>
          <w:t>eInvoicing</w:t>
        </w:r>
        <w:r w:rsidR="00567D89">
          <w:rPr>
            <w:webHidden/>
          </w:rPr>
          <w:tab/>
        </w:r>
        <w:r w:rsidR="00567D89">
          <w:rPr>
            <w:webHidden/>
          </w:rPr>
          <w:fldChar w:fldCharType="begin"/>
        </w:r>
        <w:r w:rsidR="00567D89">
          <w:rPr>
            <w:webHidden/>
          </w:rPr>
          <w:instrText xml:space="preserve"> PAGEREF _Toc178596602 \h </w:instrText>
        </w:r>
        <w:r w:rsidR="00567D89">
          <w:rPr>
            <w:webHidden/>
          </w:rPr>
        </w:r>
        <w:r w:rsidR="00567D89">
          <w:rPr>
            <w:webHidden/>
          </w:rPr>
          <w:fldChar w:fldCharType="separate"/>
        </w:r>
        <w:r w:rsidR="008E4A0E">
          <w:rPr>
            <w:webHidden/>
          </w:rPr>
          <w:t>5</w:t>
        </w:r>
        <w:r w:rsidR="00567D89">
          <w:rPr>
            <w:webHidden/>
          </w:rPr>
          <w:fldChar w:fldCharType="end"/>
        </w:r>
      </w:hyperlink>
    </w:p>
    <w:p w14:paraId="02E568B9" w14:textId="5B1D4FB4"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3" w:history="1">
        <w:r w:rsidR="00567D89" w:rsidRPr="00183B4C">
          <w:rPr>
            <w:rStyle w:val="Hyperlink"/>
          </w:rPr>
          <w:t>Entity Information - ANZSIC</w:t>
        </w:r>
        <w:r w:rsidR="00567D89">
          <w:rPr>
            <w:webHidden/>
          </w:rPr>
          <w:tab/>
        </w:r>
        <w:r w:rsidR="00567D89">
          <w:rPr>
            <w:webHidden/>
          </w:rPr>
          <w:fldChar w:fldCharType="begin"/>
        </w:r>
        <w:r w:rsidR="00567D89">
          <w:rPr>
            <w:webHidden/>
          </w:rPr>
          <w:instrText xml:space="preserve"> PAGEREF _Toc178596603 \h </w:instrText>
        </w:r>
        <w:r w:rsidR="00567D89">
          <w:rPr>
            <w:webHidden/>
          </w:rPr>
        </w:r>
        <w:r w:rsidR="00567D89">
          <w:rPr>
            <w:webHidden/>
          </w:rPr>
          <w:fldChar w:fldCharType="separate"/>
        </w:r>
        <w:r w:rsidR="008E4A0E">
          <w:rPr>
            <w:webHidden/>
          </w:rPr>
          <w:t>6</w:t>
        </w:r>
        <w:r w:rsidR="00567D89">
          <w:rPr>
            <w:webHidden/>
          </w:rPr>
          <w:fldChar w:fldCharType="end"/>
        </w:r>
      </w:hyperlink>
    </w:p>
    <w:p w14:paraId="35EF3C7A" w14:textId="7FED7A56"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4" w:history="1">
        <w:r w:rsidR="00567D89" w:rsidRPr="00183B4C">
          <w:rPr>
            <w:rStyle w:val="Hyperlink"/>
          </w:rPr>
          <w:t>Foreign Entity Transactions</w:t>
        </w:r>
        <w:r w:rsidR="00567D89">
          <w:rPr>
            <w:webHidden/>
          </w:rPr>
          <w:tab/>
        </w:r>
        <w:r w:rsidR="00567D89">
          <w:rPr>
            <w:webHidden/>
          </w:rPr>
          <w:fldChar w:fldCharType="begin"/>
        </w:r>
        <w:r w:rsidR="00567D89">
          <w:rPr>
            <w:webHidden/>
          </w:rPr>
          <w:instrText xml:space="preserve"> PAGEREF _Toc178596604 \h </w:instrText>
        </w:r>
        <w:r w:rsidR="00567D89">
          <w:rPr>
            <w:webHidden/>
          </w:rPr>
        </w:r>
        <w:r w:rsidR="00567D89">
          <w:rPr>
            <w:webHidden/>
          </w:rPr>
          <w:fldChar w:fldCharType="separate"/>
        </w:r>
        <w:r w:rsidR="008E4A0E">
          <w:rPr>
            <w:webHidden/>
          </w:rPr>
          <w:t>6</w:t>
        </w:r>
        <w:r w:rsidR="00567D89">
          <w:rPr>
            <w:webHidden/>
          </w:rPr>
          <w:fldChar w:fldCharType="end"/>
        </w:r>
      </w:hyperlink>
    </w:p>
    <w:p w14:paraId="35EFE1CD" w14:textId="13DE1DB0"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5" w:history="1">
        <w:r w:rsidR="00567D89" w:rsidRPr="00183B4C">
          <w:rPr>
            <w:rStyle w:val="Hyperlink"/>
          </w:rPr>
          <w:t>Payment Term Definition</w:t>
        </w:r>
        <w:r w:rsidR="00567D89">
          <w:rPr>
            <w:webHidden/>
          </w:rPr>
          <w:tab/>
        </w:r>
        <w:r w:rsidR="00567D89">
          <w:rPr>
            <w:webHidden/>
          </w:rPr>
          <w:fldChar w:fldCharType="begin"/>
        </w:r>
        <w:r w:rsidR="00567D89">
          <w:rPr>
            <w:webHidden/>
          </w:rPr>
          <w:instrText xml:space="preserve"> PAGEREF _Toc178596605 \h </w:instrText>
        </w:r>
        <w:r w:rsidR="00567D89">
          <w:rPr>
            <w:webHidden/>
          </w:rPr>
        </w:r>
        <w:r w:rsidR="00567D89">
          <w:rPr>
            <w:webHidden/>
          </w:rPr>
          <w:fldChar w:fldCharType="separate"/>
        </w:r>
        <w:r w:rsidR="008E4A0E">
          <w:rPr>
            <w:webHidden/>
          </w:rPr>
          <w:t>7</w:t>
        </w:r>
        <w:r w:rsidR="00567D89">
          <w:rPr>
            <w:webHidden/>
          </w:rPr>
          <w:fldChar w:fldCharType="end"/>
        </w:r>
      </w:hyperlink>
    </w:p>
    <w:p w14:paraId="4EB638E8" w14:textId="7C8404F6"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6" w:history="1">
        <w:r w:rsidR="00567D89" w:rsidRPr="00183B4C">
          <w:rPr>
            <w:rStyle w:val="Hyperlink"/>
          </w:rPr>
          <w:t>Payment Time Definition</w:t>
        </w:r>
        <w:r w:rsidR="00567D89">
          <w:rPr>
            <w:webHidden/>
          </w:rPr>
          <w:tab/>
        </w:r>
        <w:r w:rsidR="00567D89">
          <w:rPr>
            <w:webHidden/>
          </w:rPr>
          <w:fldChar w:fldCharType="begin"/>
        </w:r>
        <w:r w:rsidR="00567D89">
          <w:rPr>
            <w:webHidden/>
          </w:rPr>
          <w:instrText xml:space="preserve"> PAGEREF _Toc178596606 \h </w:instrText>
        </w:r>
        <w:r w:rsidR="00567D89">
          <w:rPr>
            <w:webHidden/>
          </w:rPr>
        </w:r>
        <w:r w:rsidR="00567D89">
          <w:rPr>
            <w:webHidden/>
          </w:rPr>
          <w:fldChar w:fldCharType="separate"/>
        </w:r>
        <w:r w:rsidR="008E4A0E">
          <w:rPr>
            <w:webHidden/>
          </w:rPr>
          <w:t>7</w:t>
        </w:r>
        <w:r w:rsidR="00567D89">
          <w:rPr>
            <w:webHidden/>
          </w:rPr>
          <w:fldChar w:fldCharType="end"/>
        </w:r>
      </w:hyperlink>
    </w:p>
    <w:p w14:paraId="3FB20867" w14:textId="1972822C"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7" w:history="1">
        <w:r w:rsidR="00567D89" w:rsidRPr="00183B4C">
          <w:rPr>
            <w:rStyle w:val="Hyperlink"/>
          </w:rPr>
          <w:t>Payment Times Reporting Portal</w:t>
        </w:r>
        <w:r w:rsidR="00567D89">
          <w:rPr>
            <w:webHidden/>
          </w:rPr>
          <w:tab/>
        </w:r>
        <w:r w:rsidR="00567D89">
          <w:rPr>
            <w:webHidden/>
          </w:rPr>
          <w:fldChar w:fldCharType="begin"/>
        </w:r>
        <w:r w:rsidR="00567D89">
          <w:rPr>
            <w:webHidden/>
          </w:rPr>
          <w:instrText xml:space="preserve"> PAGEREF _Toc178596607 \h </w:instrText>
        </w:r>
        <w:r w:rsidR="00567D89">
          <w:rPr>
            <w:webHidden/>
          </w:rPr>
        </w:r>
        <w:r w:rsidR="00567D89">
          <w:rPr>
            <w:webHidden/>
          </w:rPr>
          <w:fldChar w:fldCharType="separate"/>
        </w:r>
        <w:r w:rsidR="008E4A0E">
          <w:rPr>
            <w:webHidden/>
          </w:rPr>
          <w:t>8</w:t>
        </w:r>
        <w:r w:rsidR="00567D89">
          <w:rPr>
            <w:webHidden/>
          </w:rPr>
          <w:fldChar w:fldCharType="end"/>
        </w:r>
      </w:hyperlink>
    </w:p>
    <w:p w14:paraId="2BF93561" w14:textId="5152CF78"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8" w:history="1">
        <w:r w:rsidR="00567D89" w:rsidRPr="00183B4C">
          <w:rPr>
            <w:rStyle w:val="Hyperlink"/>
          </w:rPr>
          <w:t>Payment Time Reports Register</w:t>
        </w:r>
        <w:r w:rsidR="00567D89">
          <w:rPr>
            <w:webHidden/>
          </w:rPr>
          <w:tab/>
        </w:r>
        <w:r w:rsidR="00567D89">
          <w:rPr>
            <w:webHidden/>
          </w:rPr>
          <w:fldChar w:fldCharType="begin"/>
        </w:r>
        <w:r w:rsidR="00567D89">
          <w:rPr>
            <w:webHidden/>
          </w:rPr>
          <w:instrText xml:space="preserve"> PAGEREF _Toc178596608 \h </w:instrText>
        </w:r>
        <w:r w:rsidR="00567D89">
          <w:rPr>
            <w:webHidden/>
          </w:rPr>
        </w:r>
        <w:r w:rsidR="00567D89">
          <w:rPr>
            <w:webHidden/>
          </w:rPr>
          <w:fldChar w:fldCharType="separate"/>
        </w:r>
        <w:r w:rsidR="008E4A0E">
          <w:rPr>
            <w:webHidden/>
          </w:rPr>
          <w:t>8</w:t>
        </w:r>
        <w:r w:rsidR="00567D89">
          <w:rPr>
            <w:webHidden/>
          </w:rPr>
          <w:fldChar w:fldCharType="end"/>
        </w:r>
      </w:hyperlink>
    </w:p>
    <w:p w14:paraId="12819B8A" w14:textId="78530A25"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09" w:history="1">
        <w:r w:rsidR="00567D89" w:rsidRPr="00183B4C">
          <w:rPr>
            <w:rStyle w:val="Hyperlink"/>
          </w:rPr>
          <w:t>Report Contents</w:t>
        </w:r>
        <w:r w:rsidR="00567D89">
          <w:rPr>
            <w:webHidden/>
          </w:rPr>
          <w:tab/>
        </w:r>
        <w:r w:rsidR="00567D89">
          <w:rPr>
            <w:webHidden/>
          </w:rPr>
          <w:fldChar w:fldCharType="begin"/>
        </w:r>
        <w:r w:rsidR="00567D89">
          <w:rPr>
            <w:webHidden/>
          </w:rPr>
          <w:instrText xml:space="preserve"> PAGEREF _Toc178596609 \h </w:instrText>
        </w:r>
        <w:r w:rsidR="00567D89">
          <w:rPr>
            <w:webHidden/>
          </w:rPr>
        </w:r>
        <w:r w:rsidR="00567D89">
          <w:rPr>
            <w:webHidden/>
          </w:rPr>
          <w:fldChar w:fldCharType="separate"/>
        </w:r>
        <w:r w:rsidR="008E4A0E">
          <w:rPr>
            <w:webHidden/>
          </w:rPr>
          <w:t>9</w:t>
        </w:r>
        <w:r w:rsidR="00567D89">
          <w:rPr>
            <w:webHidden/>
          </w:rPr>
          <w:fldChar w:fldCharType="end"/>
        </w:r>
      </w:hyperlink>
    </w:p>
    <w:p w14:paraId="1138B3AF" w14:textId="700A59D2"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0" w:history="1">
        <w:r w:rsidR="00567D89" w:rsidRPr="00183B4C">
          <w:rPr>
            <w:rStyle w:val="Hyperlink"/>
          </w:rPr>
          <w:t>Reporting Entity Definition</w:t>
        </w:r>
        <w:r w:rsidR="00567D89">
          <w:rPr>
            <w:webHidden/>
          </w:rPr>
          <w:tab/>
        </w:r>
        <w:r w:rsidR="00567D89">
          <w:rPr>
            <w:webHidden/>
          </w:rPr>
          <w:fldChar w:fldCharType="begin"/>
        </w:r>
        <w:r w:rsidR="00567D89">
          <w:rPr>
            <w:webHidden/>
          </w:rPr>
          <w:instrText xml:space="preserve"> PAGEREF _Toc178596610 \h </w:instrText>
        </w:r>
        <w:r w:rsidR="00567D89">
          <w:rPr>
            <w:webHidden/>
          </w:rPr>
        </w:r>
        <w:r w:rsidR="00567D89">
          <w:rPr>
            <w:webHidden/>
          </w:rPr>
          <w:fldChar w:fldCharType="separate"/>
        </w:r>
        <w:r w:rsidR="008E4A0E">
          <w:rPr>
            <w:webHidden/>
          </w:rPr>
          <w:t>11</w:t>
        </w:r>
        <w:r w:rsidR="00567D89">
          <w:rPr>
            <w:webHidden/>
          </w:rPr>
          <w:fldChar w:fldCharType="end"/>
        </w:r>
      </w:hyperlink>
    </w:p>
    <w:p w14:paraId="4751FD0B" w14:textId="17C3C2E6"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1" w:history="1">
        <w:r w:rsidR="00567D89" w:rsidRPr="00183B4C">
          <w:rPr>
            <w:rStyle w:val="Hyperlink"/>
          </w:rPr>
          <w:t>Reporting Period Definition</w:t>
        </w:r>
        <w:r w:rsidR="00567D89">
          <w:rPr>
            <w:webHidden/>
          </w:rPr>
          <w:tab/>
        </w:r>
        <w:r w:rsidR="00567D89">
          <w:rPr>
            <w:webHidden/>
          </w:rPr>
          <w:fldChar w:fldCharType="begin"/>
        </w:r>
        <w:r w:rsidR="00567D89">
          <w:rPr>
            <w:webHidden/>
          </w:rPr>
          <w:instrText xml:space="preserve"> PAGEREF _Toc178596611 \h </w:instrText>
        </w:r>
        <w:r w:rsidR="00567D89">
          <w:rPr>
            <w:webHidden/>
          </w:rPr>
        </w:r>
        <w:r w:rsidR="00567D89">
          <w:rPr>
            <w:webHidden/>
          </w:rPr>
          <w:fldChar w:fldCharType="separate"/>
        </w:r>
        <w:r w:rsidR="008E4A0E">
          <w:rPr>
            <w:webHidden/>
          </w:rPr>
          <w:t>11</w:t>
        </w:r>
        <w:r w:rsidR="00567D89">
          <w:rPr>
            <w:webHidden/>
          </w:rPr>
          <w:fldChar w:fldCharType="end"/>
        </w:r>
      </w:hyperlink>
    </w:p>
    <w:p w14:paraId="2F6558E0" w14:textId="6A32020C"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2" w:history="1">
        <w:r w:rsidR="00567D89" w:rsidRPr="00183B4C">
          <w:rPr>
            <w:rStyle w:val="Hyperlink"/>
          </w:rPr>
          <w:t>SBI Tool</w:t>
        </w:r>
        <w:r w:rsidR="00567D89">
          <w:rPr>
            <w:webHidden/>
          </w:rPr>
          <w:tab/>
        </w:r>
        <w:r w:rsidR="00567D89">
          <w:rPr>
            <w:webHidden/>
          </w:rPr>
          <w:fldChar w:fldCharType="begin"/>
        </w:r>
        <w:r w:rsidR="00567D89">
          <w:rPr>
            <w:webHidden/>
          </w:rPr>
          <w:instrText xml:space="preserve"> PAGEREF _Toc178596612 \h </w:instrText>
        </w:r>
        <w:r w:rsidR="00567D89">
          <w:rPr>
            <w:webHidden/>
          </w:rPr>
        </w:r>
        <w:r w:rsidR="00567D89">
          <w:rPr>
            <w:webHidden/>
          </w:rPr>
          <w:fldChar w:fldCharType="separate"/>
        </w:r>
        <w:r w:rsidR="008E4A0E">
          <w:rPr>
            <w:webHidden/>
          </w:rPr>
          <w:t>12</w:t>
        </w:r>
        <w:r w:rsidR="00567D89">
          <w:rPr>
            <w:webHidden/>
          </w:rPr>
          <w:fldChar w:fldCharType="end"/>
        </w:r>
      </w:hyperlink>
    </w:p>
    <w:p w14:paraId="5E0F66F5" w14:textId="6B32035F"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3" w:history="1">
        <w:r w:rsidR="00567D89" w:rsidRPr="00183B4C">
          <w:rPr>
            <w:rStyle w:val="Hyperlink"/>
          </w:rPr>
          <w:t>Slow &amp; Fast Small Business Payer</w:t>
        </w:r>
        <w:r w:rsidR="00567D89">
          <w:rPr>
            <w:webHidden/>
          </w:rPr>
          <w:tab/>
        </w:r>
        <w:r w:rsidR="00567D89">
          <w:rPr>
            <w:webHidden/>
          </w:rPr>
          <w:fldChar w:fldCharType="begin"/>
        </w:r>
        <w:r w:rsidR="00567D89">
          <w:rPr>
            <w:webHidden/>
          </w:rPr>
          <w:instrText xml:space="preserve"> PAGEREF _Toc178596613 \h </w:instrText>
        </w:r>
        <w:r w:rsidR="00567D89">
          <w:rPr>
            <w:webHidden/>
          </w:rPr>
        </w:r>
        <w:r w:rsidR="00567D89">
          <w:rPr>
            <w:webHidden/>
          </w:rPr>
          <w:fldChar w:fldCharType="separate"/>
        </w:r>
        <w:r w:rsidR="008E4A0E">
          <w:rPr>
            <w:webHidden/>
          </w:rPr>
          <w:t>13</w:t>
        </w:r>
        <w:r w:rsidR="00567D89">
          <w:rPr>
            <w:webHidden/>
          </w:rPr>
          <w:fldChar w:fldCharType="end"/>
        </w:r>
      </w:hyperlink>
    </w:p>
    <w:p w14:paraId="0FEDC030" w14:textId="5120146F"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4" w:history="1">
        <w:r w:rsidR="00567D89" w:rsidRPr="00183B4C">
          <w:rPr>
            <w:rStyle w:val="Hyperlink"/>
          </w:rPr>
          <w:t>Small Business Definition</w:t>
        </w:r>
        <w:r w:rsidR="00567D89">
          <w:rPr>
            <w:webHidden/>
          </w:rPr>
          <w:tab/>
        </w:r>
        <w:r w:rsidR="00567D89">
          <w:rPr>
            <w:webHidden/>
          </w:rPr>
          <w:fldChar w:fldCharType="begin"/>
        </w:r>
        <w:r w:rsidR="00567D89">
          <w:rPr>
            <w:webHidden/>
          </w:rPr>
          <w:instrText xml:space="preserve"> PAGEREF _Toc178596614 \h </w:instrText>
        </w:r>
        <w:r w:rsidR="00567D89">
          <w:rPr>
            <w:webHidden/>
          </w:rPr>
        </w:r>
        <w:r w:rsidR="00567D89">
          <w:rPr>
            <w:webHidden/>
          </w:rPr>
          <w:fldChar w:fldCharType="separate"/>
        </w:r>
        <w:r w:rsidR="008E4A0E">
          <w:rPr>
            <w:webHidden/>
          </w:rPr>
          <w:t>14</w:t>
        </w:r>
        <w:r w:rsidR="00567D89">
          <w:rPr>
            <w:webHidden/>
          </w:rPr>
          <w:fldChar w:fldCharType="end"/>
        </w:r>
      </w:hyperlink>
    </w:p>
    <w:p w14:paraId="2EF2BC98" w14:textId="21B1E21B"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5" w:history="1">
        <w:r w:rsidR="00567D89" w:rsidRPr="00183B4C">
          <w:rPr>
            <w:rStyle w:val="Hyperlink"/>
          </w:rPr>
          <w:t>Trade Credit Arrangement Definition</w:t>
        </w:r>
        <w:r w:rsidR="00567D89">
          <w:rPr>
            <w:webHidden/>
          </w:rPr>
          <w:tab/>
        </w:r>
        <w:r w:rsidR="00567D89">
          <w:rPr>
            <w:webHidden/>
          </w:rPr>
          <w:fldChar w:fldCharType="begin"/>
        </w:r>
        <w:r w:rsidR="00567D89">
          <w:rPr>
            <w:webHidden/>
          </w:rPr>
          <w:instrText xml:space="preserve"> PAGEREF _Toc178596615 \h </w:instrText>
        </w:r>
        <w:r w:rsidR="00567D89">
          <w:rPr>
            <w:webHidden/>
          </w:rPr>
        </w:r>
        <w:r w:rsidR="00567D89">
          <w:rPr>
            <w:webHidden/>
          </w:rPr>
          <w:fldChar w:fldCharType="separate"/>
        </w:r>
        <w:r w:rsidR="008E4A0E">
          <w:rPr>
            <w:webHidden/>
          </w:rPr>
          <w:t>15</w:t>
        </w:r>
        <w:r w:rsidR="00567D89">
          <w:rPr>
            <w:webHidden/>
          </w:rPr>
          <w:fldChar w:fldCharType="end"/>
        </w:r>
      </w:hyperlink>
    </w:p>
    <w:p w14:paraId="3139CDD0" w14:textId="54AF444F" w:rsidR="00567D89" w:rsidRDefault="002D1D39">
      <w:pPr>
        <w:pStyle w:val="TOC3"/>
        <w:rPr>
          <w:rFonts w:asciiTheme="minorHAnsi" w:eastAsiaTheme="minorEastAsia" w:hAnsiTheme="minorHAnsi" w:cstheme="minorBidi"/>
          <w:color w:val="auto"/>
          <w:kern w:val="2"/>
          <w:szCs w:val="22"/>
          <w14:ligatures w14:val="standardContextual"/>
        </w:rPr>
      </w:pPr>
      <w:hyperlink w:anchor="_Toc178596616" w:history="1">
        <w:r w:rsidR="00567D89" w:rsidRPr="00183B4C">
          <w:rPr>
            <w:rStyle w:val="Hyperlink"/>
          </w:rPr>
          <w:t>Transitional Arrangement</w:t>
        </w:r>
        <w:r w:rsidR="00567D89">
          <w:rPr>
            <w:webHidden/>
          </w:rPr>
          <w:tab/>
        </w:r>
        <w:r w:rsidR="00567D89">
          <w:rPr>
            <w:webHidden/>
          </w:rPr>
          <w:fldChar w:fldCharType="begin"/>
        </w:r>
        <w:r w:rsidR="00567D89">
          <w:rPr>
            <w:webHidden/>
          </w:rPr>
          <w:instrText xml:space="preserve"> PAGEREF _Toc178596616 \h </w:instrText>
        </w:r>
        <w:r w:rsidR="00567D89">
          <w:rPr>
            <w:webHidden/>
          </w:rPr>
        </w:r>
        <w:r w:rsidR="00567D89">
          <w:rPr>
            <w:webHidden/>
          </w:rPr>
          <w:fldChar w:fldCharType="separate"/>
        </w:r>
        <w:r w:rsidR="008E4A0E">
          <w:rPr>
            <w:webHidden/>
          </w:rPr>
          <w:t>15</w:t>
        </w:r>
        <w:r w:rsidR="00567D89">
          <w:rPr>
            <w:webHidden/>
          </w:rPr>
          <w:fldChar w:fldCharType="end"/>
        </w:r>
      </w:hyperlink>
    </w:p>
    <w:p w14:paraId="3262853C" w14:textId="1199800E" w:rsidR="00E50BF3" w:rsidRPr="00D323AC" w:rsidRDefault="000E0B74" w:rsidP="00D323AC">
      <w:pPr>
        <w:pStyle w:val="SingleParagraph"/>
        <w:spacing w:line="259" w:lineRule="auto"/>
        <w:ind w:right="-2"/>
        <w:sectPr w:rsidR="00E50BF3" w:rsidRPr="00D323AC" w:rsidSect="00653622">
          <w:footerReference w:type="even" r:id="rId17"/>
          <w:footerReference w:type="default" r:id="rId18"/>
          <w:footerReference w:type="first" r:id="rId19"/>
          <w:type w:val="oddPage"/>
          <w:pgSz w:w="11906" w:h="16838" w:code="9"/>
          <w:pgMar w:top="1276" w:right="991" w:bottom="1418" w:left="1134" w:header="426" w:footer="0" w:gutter="0"/>
          <w:cols w:space="708"/>
          <w:docGrid w:linePitch="360"/>
        </w:sectPr>
      </w:pPr>
      <w:r>
        <w:fldChar w:fldCharType="end"/>
      </w:r>
      <w:bookmarkStart w:id="80" w:name="_Toc432067103"/>
      <w:bookmarkStart w:id="81" w:name="_Toc452635030"/>
      <w:bookmarkStart w:id="82" w:name="_Toc106705488"/>
      <w:r w:rsidR="00653622">
        <w:br w:type="page"/>
      </w:r>
      <w:bookmarkEnd w:id="80"/>
      <w:bookmarkEnd w:id="81"/>
      <w:bookmarkEnd w:id="82"/>
    </w:p>
    <w:p w14:paraId="11A716BF" w14:textId="285C5BFD" w:rsidR="00F132ED" w:rsidRDefault="00B82A56" w:rsidP="00DC2E79">
      <w:pPr>
        <w:pStyle w:val="Heading1"/>
        <w:spacing w:before="120" w:line="259" w:lineRule="auto"/>
        <w:ind w:left="-1843"/>
        <w:jc w:val="both"/>
      </w:pPr>
      <w:bookmarkStart w:id="83" w:name="_Toc178596597"/>
      <w:r>
        <w:lastRenderedPageBreak/>
        <w:t>Forum Questions &amp; Response</w:t>
      </w:r>
      <w:r w:rsidR="0023518A">
        <w:t>s</w:t>
      </w:r>
      <w:bookmarkEnd w:id="83"/>
    </w:p>
    <w:tbl>
      <w:tblPr>
        <w:tblW w:w="963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9638"/>
      </w:tblGrid>
      <w:tr w:rsidR="00E54CBF" w14:paraId="5397889B" w14:textId="77777777" w:rsidTr="00367161">
        <w:trPr>
          <w:jc w:val="center"/>
        </w:trPr>
        <w:tc>
          <w:tcPr>
            <w:tcW w:w="9638" w:type="dxa"/>
            <w:shd w:val="clear" w:color="auto" w:fill="E5E9EF"/>
          </w:tcPr>
          <w:p w14:paraId="0F1C8142" w14:textId="4FA512C0" w:rsidR="00E54CBF" w:rsidRPr="00CB4DF4" w:rsidRDefault="00E54CBF" w:rsidP="00827545">
            <w:pPr>
              <w:pStyle w:val="Heading3"/>
              <w:spacing w:before="0" w:after="0" w:line="259" w:lineRule="auto"/>
            </w:pPr>
            <w:bookmarkStart w:id="84" w:name="_Toc178596598"/>
            <w:r>
              <w:t>Compliance</w:t>
            </w:r>
            <w:bookmarkEnd w:id="84"/>
          </w:p>
        </w:tc>
      </w:tr>
      <w:tr w:rsidR="009F6E6C" w14:paraId="2DE96890" w14:textId="77777777" w:rsidTr="00367161">
        <w:trPr>
          <w:tblHeader/>
          <w:jc w:val="center"/>
        </w:trPr>
        <w:tc>
          <w:tcPr>
            <w:tcW w:w="9638" w:type="dxa"/>
            <w:shd w:val="clear" w:color="auto" w:fill="2C384A"/>
          </w:tcPr>
          <w:p w14:paraId="4F41E48A" w14:textId="6DAF506F" w:rsidR="009F6E6C" w:rsidRPr="00EC28C4" w:rsidRDefault="009F6E6C" w:rsidP="00827545">
            <w:pPr>
              <w:spacing w:before="0" w:after="0" w:line="259" w:lineRule="auto"/>
              <w:rPr>
                <w:b/>
                <w:color w:val="FFFFFF" w:themeColor="background1"/>
                <w:sz w:val="24"/>
              </w:rPr>
            </w:pPr>
            <w:r>
              <w:rPr>
                <w:b/>
                <w:color w:val="FFFFFF" w:themeColor="background1"/>
                <w:sz w:val="24"/>
              </w:rPr>
              <w:t>Question</w:t>
            </w:r>
          </w:p>
        </w:tc>
      </w:tr>
      <w:tr w:rsidR="009F6E6C" w14:paraId="1CC45DA0" w14:textId="77777777" w:rsidTr="00367161">
        <w:trPr>
          <w:jc w:val="center"/>
        </w:trPr>
        <w:tc>
          <w:tcPr>
            <w:tcW w:w="9638" w:type="dxa"/>
          </w:tcPr>
          <w:p w14:paraId="49BAC27F" w14:textId="1EEB6C3C" w:rsidR="009F6E6C" w:rsidRPr="002526AA" w:rsidRDefault="003B6AE7" w:rsidP="001D6964">
            <w:pPr>
              <w:pStyle w:val="OutlineNumbered1"/>
              <w:tabs>
                <w:tab w:val="clear" w:pos="6805"/>
                <w:tab w:val="num" w:pos="851"/>
              </w:tabs>
              <w:ind w:hanging="485"/>
            </w:pPr>
            <w:r w:rsidRPr="003B6AE7">
              <w:t>Would you specifically target certain industries that have payment times issues rather than broad wide?  </w:t>
            </w:r>
          </w:p>
        </w:tc>
      </w:tr>
      <w:tr w:rsidR="009F6E6C" w14:paraId="253FCC7C" w14:textId="77777777" w:rsidTr="00367161">
        <w:trPr>
          <w:jc w:val="center"/>
        </w:trPr>
        <w:tc>
          <w:tcPr>
            <w:tcW w:w="9638" w:type="dxa"/>
            <w:shd w:val="clear" w:color="auto" w:fill="002C47" w:themeFill="accent1"/>
          </w:tcPr>
          <w:p w14:paraId="46F0F6FB" w14:textId="622D00A9" w:rsidR="009F6E6C" w:rsidRPr="002526AA" w:rsidRDefault="0024695F" w:rsidP="00827545">
            <w:pPr>
              <w:spacing w:before="0" w:after="0" w:line="259" w:lineRule="auto"/>
              <w:rPr>
                <w:rFonts w:cstheme="minorHAnsi"/>
                <w:szCs w:val="22"/>
              </w:rPr>
            </w:pPr>
            <w:r>
              <w:rPr>
                <w:b/>
                <w:color w:val="FFFFFF" w:themeColor="background1"/>
                <w:sz w:val="24"/>
              </w:rPr>
              <w:t>Response</w:t>
            </w:r>
          </w:p>
        </w:tc>
      </w:tr>
      <w:tr w:rsidR="009F6E6C" w14:paraId="3F9EBDB7" w14:textId="77777777" w:rsidTr="00367161">
        <w:trPr>
          <w:jc w:val="center"/>
        </w:trPr>
        <w:tc>
          <w:tcPr>
            <w:tcW w:w="9638" w:type="dxa"/>
          </w:tcPr>
          <w:p w14:paraId="63D6F3B4" w14:textId="239CB26F" w:rsidR="00AB5501" w:rsidRPr="00AB10E6" w:rsidRDefault="00145BBD" w:rsidP="001D6964">
            <w:pPr>
              <w:spacing w:before="0" w:line="259" w:lineRule="auto"/>
              <w:rPr>
                <w:rFonts w:cstheme="minorHAnsi"/>
                <w:szCs w:val="22"/>
              </w:rPr>
            </w:pPr>
            <w:r w:rsidRPr="00AB10E6">
              <w:rPr>
                <w:rFonts w:cstheme="minorHAnsi"/>
                <w:szCs w:val="22"/>
              </w:rPr>
              <w:t xml:space="preserve">Reporting entities are expected to take their reporting obligations seriously regardless of </w:t>
            </w:r>
            <w:r w:rsidR="000703A9" w:rsidRPr="00AB10E6">
              <w:rPr>
                <w:rFonts w:cstheme="minorHAnsi"/>
                <w:szCs w:val="22"/>
              </w:rPr>
              <w:t xml:space="preserve">industry or sector. </w:t>
            </w:r>
          </w:p>
          <w:p w14:paraId="6B9148B2" w14:textId="6216C8B7" w:rsidR="00EA287E" w:rsidRPr="002526AA" w:rsidRDefault="0036119D" w:rsidP="00AB10E6">
            <w:pPr>
              <w:pStyle w:val="Bullet"/>
              <w:numPr>
                <w:ilvl w:val="0"/>
                <w:numId w:val="0"/>
              </w:numPr>
              <w:rPr>
                <w:rFonts w:cstheme="minorHAnsi"/>
                <w:szCs w:val="22"/>
              </w:rPr>
            </w:pPr>
            <w:r w:rsidRPr="00AB10E6">
              <w:t xml:space="preserve">Further information on the Regulator’s approach to regulation </w:t>
            </w:r>
            <w:r w:rsidR="00381092" w:rsidRPr="00AB10E6">
              <w:t xml:space="preserve">is in </w:t>
            </w:r>
            <w:hyperlink r:id="rId20" w:history="1">
              <w:r w:rsidR="00381092" w:rsidRPr="00393091">
                <w:rPr>
                  <w:rStyle w:val="Hyperlink"/>
                </w:rPr>
                <w:t xml:space="preserve">Information Sheet 1: Our </w:t>
              </w:r>
              <w:r w:rsidR="007A089A" w:rsidRPr="00393091">
                <w:rPr>
                  <w:rStyle w:val="Hyperlink"/>
                </w:rPr>
                <w:t>approach to regulation</w:t>
              </w:r>
            </w:hyperlink>
            <w:r w:rsidR="007A089A" w:rsidRPr="00393091">
              <w:t>.</w:t>
            </w:r>
          </w:p>
        </w:tc>
      </w:tr>
      <w:tr w:rsidR="00E54CBF" w14:paraId="7DA161ED" w14:textId="77777777" w:rsidTr="00367161">
        <w:trPr>
          <w:jc w:val="center"/>
        </w:trPr>
        <w:tc>
          <w:tcPr>
            <w:tcW w:w="9638" w:type="dxa"/>
            <w:shd w:val="clear" w:color="auto" w:fill="E5E9EF"/>
          </w:tcPr>
          <w:p w14:paraId="0ACD361B" w14:textId="126E25EB" w:rsidR="00E54CBF" w:rsidRPr="00CB4DF4" w:rsidRDefault="00E54CBF" w:rsidP="00827545">
            <w:pPr>
              <w:pStyle w:val="Heading3"/>
              <w:spacing w:before="0" w:after="0" w:line="259" w:lineRule="auto"/>
            </w:pPr>
            <w:bookmarkStart w:id="85" w:name="_Toc178596599"/>
            <w:r>
              <w:t>Consolidation</w:t>
            </w:r>
            <w:bookmarkEnd w:id="85"/>
          </w:p>
        </w:tc>
      </w:tr>
      <w:tr w:rsidR="00F33B8A" w14:paraId="5BDD43E1" w14:textId="77777777" w:rsidTr="00367161">
        <w:trPr>
          <w:jc w:val="center"/>
        </w:trPr>
        <w:tc>
          <w:tcPr>
            <w:tcW w:w="9638" w:type="dxa"/>
            <w:shd w:val="clear" w:color="auto" w:fill="2C384A"/>
          </w:tcPr>
          <w:p w14:paraId="7BA74A60" w14:textId="610FB3EC" w:rsidR="00F33B8A" w:rsidRPr="00632C8F" w:rsidRDefault="00F33B8A" w:rsidP="00827545">
            <w:pPr>
              <w:spacing w:before="0" w:after="0" w:line="259" w:lineRule="auto"/>
              <w:rPr>
                <w:b/>
                <w:bCs/>
                <w:sz w:val="24"/>
                <w:szCs w:val="24"/>
              </w:rPr>
            </w:pPr>
            <w:r w:rsidRPr="00632C8F">
              <w:rPr>
                <w:b/>
                <w:color w:val="FFFFFF" w:themeColor="background1"/>
                <w:sz w:val="24"/>
              </w:rPr>
              <w:t>Questions</w:t>
            </w:r>
          </w:p>
        </w:tc>
      </w:tr>
      <w:tr w:rsidR="0025329A" w14:paraId="50E32453" w14:textId="77777777" w:rsidTr="00367161">
        <w:trPr>
          <w:jc w:val="center"/>
        </w:trPr>
        <w:tc>
          <w:tcPr>
            <w:tcW w:w="9638" w:type="dxa"/>
            <w:shd w:val="clear" w:color="auto" w:fill="auto"/>
          </w:tcPr>
          <w:p w14:paraId="3D082B35" w14:textId="77777777" w:rsidR="0025329A" w:rsidRPr="00536C44" w:rsidRDefault="001E1DEB" w:rsidP="0010538C">
            <w:pPr>
              <w:pStyle w:val="OutlineNumbered1"/>
              <w:ind w:hanging="485"/>
              <w:rPr>
                <w:rFonts w:eastAsiaTheme="minorHAnsi"/>
                <w:lang w:eastAsia="en-US"/>
              </w:rPr>
            </w:pPr>
            <w:r w:rsidRPr="00536C44">
              <w:rPr>
                <w:rFonts w:eastAsiaTheme="minorHAnsi"/>
                <w:lang w:eastAsia="en-US"/>
              </w:rPr>
              <w:t>Please share details for AASB consolidation for reporting? </w:t>
            </w:r>
          </w:p>
          <w:p w14:paraId="01CE3F5F" w14:textId="77777777" w:rsidR="001E1DEB" w:rsidRPr="00783C4F" w:rsidRDefault="005F6E11" w:rsidP="0010538C">
            <w:pPr>
              <w:pStyle w:val="OutlineNumbered1"/>
              <w:ind w:hanging="485"/>
            </w:pPr>
            <w:r w:rsidRPr="00536C44">
              <w:t>In the group there are a lot of entities with consolidated revenue above $100m. Can I submit only one consolidated report at the ultimate parent entity level covering for all the subs?</w:t>
            </w:r>
          </w:p>
          <w:p w14:paraId="52DFD456" w14:textId="77777777" w:rsidR="00783C4F" w:rsidRPr="00176367" w:rsidRDefault="00783C4F" w:rsidP="0010538C">
            <w:pPr>
              <w:pStyle w:val="OutlineNumbered1"/>
              <w:ind w:hanging="485"/>
              <w:rPr>
                <w:color w:val="000000"/>
              </w:rPr>
            </w:pPr>
            <w:r>
              <w:t xml:space="preserve">What if the head company does not generate profit but is responsible for all G&amp;A costs, including payments to small businesses, while the subsidiaries generate profit but make fewer payments to small businesses? I would like to understand how the new regulation impacts this type of company </w:t>
            </w:r>
            <w:proofErr w:type="gramStart"/>
            <w:r>
              <w:t>structure?</w:t>
            </w:r>
            <w:proofErr w:type="gramEnd"/>
            <w:r>
              <w:t> </w:t>
            </w:r>
          </w:p>
          <w:p w14:paraId="46ACE6C7" w14:textId="77777777" w:rsidR="00783C4F" w:rsidRPr="00681404" w:rsidRDefault="00783C4F" w:rsidP="0010538C">
            <w:pPr>
              <w:pStyle w:val="OutlineNumbered1"/>
              <w:ind w:hanging="485"/>
              <w:rPr>
                <w:color w:val="000000"/>
              </w:rPr>
            </w:pPr>
            <w:r>
              <w:t>In the group there are a lot of entities with consolidated revenue above $100m. Can I submit only one consolidated report at the ultimate parent entity level covering for all the subs?</w:t>
            </w:r>
          </w:p>
          <w:p w14:paraId="6117F544" w14:textId="77777777" w:rsidR="00783C4F" w:rsidRPr="0071045F" w:rsidRDefault="00783C4F" w:rsidP="0010538C">
            <w:pPr>
              <w:pStyle w:val="OutlineNumbered1"/>
              <w:ind w:hanging="485"/>
            </w:pPr>
            <w:r>
              <w:t>Will the payment reporting data solely come from the payments done by the reporting entity (i.e., the large controlling entity with $100m), or it includes the payments data from its subsidiaries as well? </w:t>
            </w:r>
          </w:p>
          <w:p w14:paraId="6F29205F" w14:textId="77777777" w:rsidR="00783C4F" w:rsidRPr="0071045F" w:rsidRDefault="00783C4F" w:rsidP="0010538C">
            <w:pPr>
              <w:pStyle w:val="OutlineNumbered1"/>
              <w:ind w:hanging="485"/>
            </w:pPr>
            <w:r>
              <w:t>Currently we review controlling entity &gt;100 mill and then identify entities &gt;10 mill gross revenue under this controlling entity and report each entity under the controlling entity based on this. New changes will this be - if controlling entity is &gt;100 mill then all entities under this controlling entity regardless of gross income be reported? And if so, will it just be a total at controlling entity level? No longer require entity level under controlling entity? </w:t>
            </w:r>
          </w:p>
          <w:p w14:paraId="17CBC138" w14:textId="77777777" w:rsidR="00783C4F" w:rsidRPr="0071045F" w:rsidRDefault="00783C4F" w:rsidP="0010538C">
            <w:pPr>
              <w:pStyle w:val="OutlineNumbered1"/>
              <w:ind w:hanging="485"/>
            </w:pPr>
            <w:r>
              <w:t>Do we require to consolidate the data for parent and its subsidiaries?</w:t>
            </w:r>
          </w:p>
          <w:p w14:paraId="7EC0399D" w14:textId="77777777" w:rsidR="00783C4F" w:rsidRPr="0071045F" w:rsidRDefault="00783C4F" w:rsidP="0010538C">
            <w:pPr>
              <w:pStyle w:val="OutlineNumbered1"/>
              <w:ind w:hanging="485"/>
            </w:pPr>
            <w:r>
              <w:t>Does consolidated reporting mean ALL subsidiaries, (revenue testing no longer applies for the subsidiaries)? </w:t>
            </w:r>
          </w:p>
          <w:p w14:paraId="2F6F25AF" w14:textId="77777777" w:rsidR="00783C4F" w:rsidRPr="0071045F" w:rsidRDefault="00783C4F" w:rsidP="0010538C">
            <w:pPr>
              <w:pStyle w:val="OutlineNumbered1"/>
              <w:ind w:hanging="485"/>
            </w:pPr>
            <w:r>
              <w:t>Does that also mean that all entities within the Group will be reported on as part of the Head entity (even if their turnover is less than $10m)? </w:t>
            </w:r>
          </w:p>
          <w:p w14:paraId="560588E8" w14:textId="77777777" w:rsidR="00783C4F" w:rsidRPr="0071045F" w:rsidRDefault="00783C4F" w:rsidP="0010538C">
            <w:pPr>
              <w:pStyle w:val="OutlineNumbered1"/>
              <w:ind w:hanging="485"/>
            </w:pPr>
            <w:r>
              <w:lastRenderedPageBreak/>
              <w:t>Currently, some subsidiaries within our Consolidated Group do not earn &gt;$10m, therefore are not a reporting entity under the old rules; under the new rules do we have to consolidate small business payments for these smaller subsidiary entities too? </w:t>
            </w:r>
          </w:p>
          <w:p w14:paraId="455C86C0" w14:textId="77777777" w:rsidR="00783C4F" w:rsidRDefault="00783C4F" w:rsidP="0010538C">
            <w:pPr>
              <w:pStyle w:val="OutlineNumbered1"/>
              <w:ind w:hanging="485"/>
            </w:pPr>
            <w:r>
              <w:t>What are the criteria for the subsidiaries under the controlling reporting entity that need to be included in the consolidated payment times report? Is it still the subsidiary with more than $10m turnover? </w:t>
            </w:r>
          </w:p>
          <w:p w14:paraId="2D0AFEC6" w14:textId="77777777" w:rsidR="005951A6" w:rsidRDefault="005951A6" w:rsidP="0010538C">
            <w:pPr>
              <w:pStyle w:val="OutlineNumbered1"/>
              <w:ind w:hanging="485"/>
            </w:pPr>
            <w:r>
              <w:t>Can you clarify the requirements for stapled group? Is the expectation that both entities are required to report? </w:t>
            </w:r>
          </w:p>
          <w:p w14:paraId="19DCC4C4" w14:textId="77777777" w:rsidR="00243B9D" w:rsidRPr="000C225C" w:rsidRDefault="00243B9D" w:rsidP="0010538C">
            <w:pPr>
              <w:pStyle w:val="OutlineNumbered1"/>
              <w:ind w:hanging="485"/>
              <w:rPr>
                <w:color w:val="000000"/>
              </w:rPr>
            </w:pPr>
            <w:r>
              <w:t xml:space="preserve">What if the head entity of the group is not an operating entity but the subsidiaries are operational and reporting entities?  Do we report at subsidiary level, or we </w:t>
            </w:r>
            <w:proofErr w:type="gramStart"/>
            <w:r>
              <w:rPr>
                <w:b/>
                <w:bCs/>
              </w:rPr>
              <w:t>have to</w:t>
            </w:r>
            <w:proofErr w:type="gramEnd"/>
            <w:r>
              <w:rPr>
                <w:b/>
                <w:bCs/>
              </w:rPr>
              <w:t xml:space="preserve"> </w:t>
            </w:r>
            <w:r>
              <w:t>consolidate them at the head entity level and report under the new Act? </w:t>
            </w:r>
          </w:p>
          <w:p w14:paraId="45755255" w14:textId="77777777" w:rsidR="00243B9D" w:rsidRPr="007C47A1" w:rsidRDefault="00243B9D" w:rsidP="0010538C">
            <w:pPr>
              <w:pStyle w:val="OutlineNumbered1"/>
              <w:ind w:hanging="485"/>
              <w:rPr>
                <w:color w:val="000000"/>
              </w:rPr>
            </w:pPr>
            <w:r>
              <w:t xml:space="preserve">Does a subsidiary have to report their numbers in their </w:t>
            </w:r>
            <w:proofErr w:type="spellStart"/>
            <w:r>
              <w:t>TopCo</w:t>
            </w:r>
            <w:proofErr w:type="spellEnd"/>
            <w:r>
              <w:t xml:space="preserve"> entity, or can they elect to report their own numbers on their own? i.e., is it mandatory to consolidate or can each entity do their own? I'd suggest my business would be easier to report on our own rather than provide our numbers to </w:t>
            </w:r>
            <w:proofErr w:type="spellStart"/>
            <w:r>
              <w:t>TopCo</w:t>
            </w:r>
            <w:proofErr w:type="spellEnd"/>
            <w:r>
              <w:t xml:space="preserve"> and have them submit them.</w:t>
            </w:r>
          </w:p>
          <w:p w14:paraId="3281EBB4" w14:textId="77777777" w:rsidR="00243B9D" w:rsidRDefault="00243B9D" w:rsidP="0010538C">
            <w:pPr>
              <w:pStyle w:val="OutlineNumbered1"/>
              <w:ind w:hanging="485"/>
            </w:pPr>
            <w:r>
              <w:t>And what if you feel it is of value for the subsidiaries to continue reporting &amp; not being consolidated at a Head Entity level? </w:t>
            </w:r>
          </w:p>
          <w:p w14:paraId="5F18AE4A" w14:textId="2065CB56" w:rsidR="00243B9D" w:rsidRPr="001E1DEB" w:rsidRDefault="009F0AE1" w:rsidP="00CA01A1">
            <w:pPr>
              <w:pStyle w:val="OutlineNumbered1"/>
              <w:ind w:left="933" w:hanging="567"/>
            </w:pPr>
            <w:r w:rsidRPr="002526AA">
              <w:rPr>
                <w:rFonts w:cstheme="minorHAnsi"/>
                <w:szCs w:val="22"/>
              </w:rPr>
              <w:t>Please share details for AASB consolidation for reporting? </w:t>
            </w:r>
          </w:p>
        </w:tc>
      </w:tr>
      <w:tr w:rsidR="0025329A" w14:paraId="0DCE7EBA" w14:textId="77777777" w:rsidTr="00367161">
        <w:trPr>
          <w:jc w:val="center"/>
        </w:trPr>
        <w:tc>
          <w:tcPr>
            <w:tcW w:w="9638" w:type="dxa"/>
            <w:shd w:val="clear" w:color="auto" w:fill="2C384A"/>
          </w:tcPr>
          <w:p w14:paraId="43FE4CA0" w14:textId="72B409DA" w:rsidR="0025329A" w:rsidRPr="00F33B8A" w:rsidRDefault="0024695F" w:rsidP="00827545">
            <w:pPr>
              <w:spacing w:before="0" w:after="0" w:line="259" w:lineRule="auto"/>
              <w:rPr>
                <w:sz w:val="24"/>
                <w:szCs w:val="24"/>
              </w:rPr>
            </w:pPr>
            <w:r>
              <w:rPr>
                <w:b/>
                <w:color w:val="FFFFFF" w:themeColor="background1"/>
                <w:sz w:val="24"/>
              </w:rPr>
              <w:lastRenderedPageBreak/>
              <w:t>Response</w:t>
            </w:r>
          </w:p>
        </w:tc>
      </w:tr>
      <w:tr w:rsidR="0025329A" w14:paraId="48FD1B5E" w14:textId="77777777" w:rsidTr="00367161">
        <w:trPr>
          <w:jc w:val="center"/>
        </w:trPr>
        <w:tc>
          <w:tcPr>
            <w:tcW w:w="9638" w:type="dxa"/>
            <w:shd w:val="clear" w:color="auto" w:fill="auto"/>
          </w:tcPr>
          <w:p w14:paraId="2D6BF80B" w14:textId="1DEB50C5" w:rsidR="00A71515" w:rsidRDefault="65389E62" w:rsidP="001D6964">
            <w:pPr>
              <w:spacing w:before="0" w:line="259" w:lineRule="auto"/>
              <w:rPr>
                <w:rFonts w:cstheme="minorBidi"/>
              </w:rPr>
            </w:pPr>
            <w:r w:rsidRPr="2E470220">
              <w:rPr>
                <w:rFonts w:cstheme="minorBidi"/>
              </w:rPr>
              <w:t xml:space="preserve">The Regulator will be overhauling guidance materials.  </w:t>
            </w:r>
            <w:r w:rsidR="003B6A9F" w:rsidRPr="2E470220">
              <w:rPr>
                <w:rFonts w:cstheme="minorBidi"/>
              </w:rPr>
              <w:t>Revised guidance materials will include details of c</w:t>
            </w:r>
            <w:r w:rsidR="003C7164" w:rsidRPr="2E470220">
              <w:rPr>
                <w:rFonts w:cstheme="minorBidi"/>
              </w:rPr>
              <w:t xml:space="preserve">onsolidation </w:t>
            </w:r>
            <w:r w:rsidR="003B6A9F" w:rsidRPr="2E470220">
              <w:rPr>
                <w:rFonts w:cstheme="minorBidi"/>
              </w:rPr>
              <w:t>for reporting</w:t>
            </w:r>
            <w:r w:rsidR="00233247" w:rsidRPr="2E470220">
              <w:rPr>
                <w:rFonts w:cstheme="minorBidi"/>
              </w:rPr>
              <w:t>.</w:t>
            </w:r>
          </w:p>
          <w:p w14:paraId="5A73875E" w14:textId="310846C2" w:rsidR="002534B0" w:rsidRPr="002534B0" w:rsidRDefault="002534B0" w:rsidP="001D6964">
            <w:pPr>
              <w:spacing w:before="0" w:line="259" w:lineRule="auto"/>
              <w:rPr>
                <w:rFonts w:cstheme="minorHAnsi"/>
                <w:b/>
                <w:bCs/>
                <w:szCs w:val="22"/>
              </w:rPr>
            </w:pPr>
            <w:r w:rsidRPr="002534B0">
              <w:rPr>
                <w:rFonts w:cstheme="minorHAnsi"/>
                <w:b/>
                <w:bCs/>
                <w:szCs w:val="22"/>
              </w:rPr>
              <w:t>Consolidated Reporting</w:t>
            </w:r>
          </w:p>
          <w:p w14:paraId="67FD1BD8" w14:textId="06F4921A" w:rsidR="004C358D" w:rsidRDefault="00233247" w:rsidP="001D6964">
            <w:pPr>
              <w:spacing w:before="0" w:line="259" w:lineRule="auto"/>
              <w:rPr>
                <w:rFonts w:cstheme="minorHAnsi"/>
                <w:szCs w:val="22"/>
              </w:rPr>
            </w:pPr>
            <w:r>
              <w:rPr>
                <w:rFonts w:cstheme="minorHAnsi"/>
                <w:szCs w:val="22"/>
              </w:rPr>
              <w:t xml:space="preserve">The </w:t>
            </w:r>
            <w:r w:rsidRPr="000C7CB4">
              <w:rPr>
                <w:rFonts w:cstheme="minorHAnsi"/>
                <w:szCs w:val="22"/>
              </w:rPr>
              <w:t>new</w:t>
            </w:r>
            <w:r w:rsidR="00D403DB" w:rsidRPr="000C7CB4">
              <w:rPr>
                <w:rFonts w:cstheme="minorHAnsi"/>
                <w:szCs w:val="22"/>
              </w:rPr>
              <w:t xml:space="preserve"> reporting entity definition identif</w:t>
            </w:r>
            <w:r w:rsidR="00E86FD8" w:rsidRPr="000C7CB4">
              <w:rPr>
                <w:rFonts w:cstheme="minorHAnsi"/>
                <w:szCs w:val="22"/>
              </w:rPr>
              <w:t>ies</w:t>
            </w:r>
            <w:r w:rsidR="00D403DB" w:rsidRPr="000C7CB4">
              <w:rPr>
                <w:rFonts w:cstheme="minorHAnsi"/>
                <w:szCs w:val="22"/>
              </w:rPr>
              <w:t xml:space="preserve"> the highest</w:t>
            </w:r>
            <w:r w:rsidR="00A40A31" w:rsidRPr="000C7CB4">
              <w:rPr>
                <w:rFonts w:cstheme="minorHAnsi"/>
                <w:szCs w:val="22"/>
              </w:rPr>
              <w:t xml:space="preserve">-level entity within a corporate group </w:t>
            </w:r>
            <w:r w:rsidR="00C1479D" w:rsidRPr="000C7CB4">
              <w:rPr>
                <w:rFonts w:cstheme="minorHAnsi"/>
                <w:szCs w:val="22"/>
              </w:rPr>
              <w:t>that</w:t>
            </w:r>
            <w:r w:rsidR="00C1479D">
              <w:rPr>
                <w:rFonts w:cstheme="minorHAnsi"/>
                <w:szCs w:val="22"/>
              </w:rPr>
              <w:t xml:space="preserve"> meets the relevant criteria </w:t>
            </w:r>
            <w:r w:rsidR="002E090F">
              <w:rPr>
                <w:rFonts w:cstheme="minorHAnsi"/>
                <w:szCs w:val="22"/>
              </w:rPr>
              <w:t>to be a reporting</w:t>
            </w:r>
            <w:r w:rsidR="00E86FD8">
              <w:rPr>
                <w:rFonts w:cstheme="minorHAnsi"/>
                <w:szCs w:val="22"/>
              </w:rPr>
              <w:t xml:space="preserve"> entity.</w:t>
            </w:r>
            <w:r w:rsidR="00D160BB">
              <w:rPr>
                <w:rFonts w:cstheme="minorHAnsi"/>
                <w:szCs w:val="22"/>
              </w:rPr>
              <w:t xml:space="preserve"> Entities that are controlled by another reporting entity are</w:t>
            </w:r>
            <w:r w:rsidR="00693349">
              <w:rPr>
                <w:rFonts w:cstheme="minorHAnsi"/>
                <w:szCs w:val="22"/>
              </w:rPr>
              <w:t xml:space="preserve"> </w:t>
            </w:r>
            <w:r w:rsidR="00157C74">
              <w:rPr>
                <w:rFonts w:cstheme="minorHAnsi"/>
                <w:szCs w:val="22"/>
              </w:rPr>
              <w:t xml:space="preserve">not reporting entities and do not need to report; </w:t>
            </w:r>
            <w:r w:rsidR="00EC4499">
              <w:rPr>
                <w:rFonts w:cstheme="minorHAnsi"/>
                <w:szCs w:val="22"/>
              </w:rPr>
              <w:t xml:space="preserve">see </w:t>
            </w:r>
            <w:r w:rsidR="007D1FF0">
              <w:rPr>
                <w:rFonts w:cstheme="minorHAnsi"/>
                <w:szCs w:val="22"/>
              </w:rPr>
              <w:t>Act s</w:t>
            </w:r>
            <w:r w:rsidR="00F81E48">
              <w:rPr>
                <w:rFonts w:cstheme="minorHAnsi"/>
                <w:szCs w:val="22"/>
              </w:rPr>
              <w:t xml:space="preserve"> 7(2)(c)</w:t>
            </w:r>
            <w:r w:rsidR="00157C74" w:rsidRPr="005014E0">
              <w:rPr>
                <w:rFonts w:cstheme="minorHAnsi"/>
                <w:szCs w:val="22"/>
              </w:rPr>
              <w:t>.</w:t>
            </w:r>
          </w:p>
          <w:p w14:paraId="305A728F" w14:textId="36B0AE5D" w:rsidR="00A66B39" w:rsidRDefault="00157C74" w:rsidP="001D6964">
            <w:pPr>
              <w:spacing w:before="0" w:line="259" w:lineRule="auto"/>
              <w:rPr>
                <w:rFonts w:cstheme="minorHAnsi"/>
                <w:szCs w:val="22"/>
              </w:rPr>
            </w:pPr>
            <w:r>
              <w:rPr>
                <w:rFonts w:cstheme="minorHAnsi"/>
                <w:szCs w:val="22"/>
              </w:rPr>
              <w:t>I</w:t>
            </w:r>
            <w:r w:rsidR="00693349">
              <w:rPr>
                <w:rFonts w:cstheme="minorHAnsi"/>
                <w:szCs w:val="22"/>
              </w:rPr>
              <w:t>n general</w:t>
            </w:r>
            <w:r w:rsidR="00206922">
              <w:rPr>
                <w:rFonts w:cstheme="minorHAnsi"/>
                <w:szCs w:val="22"/>
              </w:rPr>
              <w:t xml:space="preserve">, </w:t>
            </w:r>
            <w:r w:rsidR="004C358D">
              <w:rPr>
                <w:rFonts w:cstheme="minorHAnsi"/>
                <w:szCs w:val="22"/>
              </w:rPr>
              <w:t>a corporate group will only have one reporting entity that will report on behalf of all entities it controls</w:t>
            </w:r>
            <w:r w:rsidR="00057AB7">
              <w:rPr>
                <w:rFonts w:cstheme="minorHAnsi"/>
                <w:szCs w:val="22"/>
              </w:rPr>
              <w:t xml:space="preserve">. </w:t>
            </w:r>
            <w:r w:rsidR="0094779F">
              <w:rPr>
                <w:rFonts w:cstheme="minorHAnsi"/>
                <w:szCs w:val="22"/>
              </w:rPr>
              <w:t>T</w:t>
            </w:r>
            <w:r w:rsidR="00057AB7">
              <w:rPr>
                <w:rFonts w:cstheme="minorHAnsi"/>
                <w:szCs w:val="22"/>
              </w:rPr>
              <w:t xml:space="preserve">his may not be the case where the ultimate parent entity </w:t>
            </w:r>
            <w:r w:rsidR="00AC1BDB">
              <w:rPr>
                <w:rFonts w:cstheme="minorHAnsi"/>
                <w:szCs w:val="22"/>
              </w:rPr>
              <w:t xml:space="preserve">does not meet the criteria to be a reporting entity but controls </w:t>
            </w:r>
            <w:r w:rsidR="00057AB7">
              <w:rPr>
                <w:rFonts w:cstheme="minorHAnsi"/>
                <w:szCs w:val="22"/>
              </w:rPr>
              <w:t>multiple</w:t>
            </w:r>
            <w:r w:rsidR="00F82E1B">
              <w:rPr>
                <w:rFonts w:cstheme="minorHAnsi"/>
                <w:szCs w:val="22"/>
              </w:rPr>
              <w:t xml:space="preserve"> </w:t>
            </w:r>
            <w:r w:rsidR="00EF7E43">
              <w:rPr>
                <w:rFonts w:cstheme="minorHAnsi"/>
                <w:szCs w:val="22"/>
              </w:rPr>
              <w:t xml:space="preserve">entities </w:t>
            </w:r>
            <w:r w:rsidR="00AC1BDB">
              <w:rPr>
                <w:rFonts w:cstheme="minorHAnsi"/>
                <w:szCs w:val="22"/>
              </w:rPr>
              <w:t>that do meet the criteria</w:t>
            </w:r>
            <w:r w:rsidR="00A66B39">
              <w:rPr>
                <w:rFonts w:cstheme="minorHAnsi"/>
                <w:szCs w:val="22"/>
              </w:rPr>
              <w:t>.</w:t>
            </w:r>
          </w:p>
          <w:p w14:paraId="54A1CEBB" w14:textId="4D82B300" w:rsidR="00A66B39" w:rsidRDefault="000C7CB4" w:rsidP="001D6964">
            <w:pPr>
              <w:spacing w:before="0" w:line="259" w:lineRule="auto"/>
              <w:rPr>
                <w:rFonts w:cstheme="minorBidi"/>
              </w:rPr>
            </w:pPr>
            <w:r w:rsidRPr="1DFCD8F9">
              <w:rPr>
                <w:rFonts w:cstheme="minorBidi"/>
              </w:rPr>
              <w:t>Under c</w:t>
            </w:r>
            <w:r w:rsidR="001071C6" w:rsidRPr="1DFCD8F9">
              <w:rPr>
                <w:rFonts w:cstheme="minorBidi"/>
              </w:rPr>
              <w:t xml:space="preserve">onsolidated </w:t>
            </w:r>
            <w:r w:rsidR="0073625F" w:rsidRPr="1DFCD8F9">
              <w:rPr>
                <w:rFonts w:cstheme="minorBidi"/>
              </w:rPr>
              <w:t>reporting</w:t>
            </w:r>
            <w:r w:rsidR="00445AA4" w:rsidRPr="1DFCD8F9">
              <w:rPr>
                <w:rFonts w:cstheme="minorBidi"/>
              </w:rPr>
              <w:t>,</w:t>
            </w:r>
            <w:r w:rsidR="0073625F" w:rsidRPr="1DFCD8F9">
              <w:rPr>
                <w:rFonts w:cstheme="minorBidi"/>
              </w:rPr>
              <w:t xml:space="preserve"> </w:t>
            </w:r>
            <w:r w:rsidR="00D3754B" w:rsidRPr="1DFCD8F9">
              <w:rPr>
                <w:rFonts w:cstheme="minorBidi"/>
              </w:rPr>
              <w:t xml:space="preserve">the reporting entity </w:t>
            </w:r>
            <w:r w:rsidR="00015539" w:rsidRPr="1DFCD8F9">
              <w:rPr>
                <w:rFonts w:cstheme="minorBidi"/>
              </w:rPr>
              <w:t xml:space="preserve">submits a </w:t>
            </w:r>
            <w:r w:rsidR="00D3754B" w:rsidRPr="1DFCD8F9">
              <w:rPr>
                <w:rFonts w:cstheme="minorBidi"/>
              </w:rPr>
              <w:t xml:space="preserve">report </w:t>
            </w:r>
            <w:r w:rsidR="00277B9C" w:rsidRPr="1DFCD8F9">
              <w:rPr>
                <w:rFonts w:cstheme="minorBidi"/>
              </w:rPr>
              <w:t xml:space="preserve">that combines </w:t>
            </w:r>
            <w:r w:rsidR="00D3754B" w:rsidRPr="1DFCD8F9">
              <w:rPr>
                <w:rFonts w:cstheme="minorBidi"/>
              </w:rPr>
              <w:t xml:space="preserve">its own </w:t>
            </w:r>
            <w:r w:rsidR="00015539" w:rsidRPr="1DFCD8F9">
              <w:rPr>
                <w:rFonts w:cstheme="minorBidi"/>
              </w:rPr>
              <w:t xml:space="preserve">payments </w:t>
            </w:r>
            <w:r w:rsidR="00D3754B" w:rsidRPr="1DFCD8F9">
              <w:rPr>
                <w:rFonts w:cstheme="minorBidi"/>
              </w:rPr>
              <w:t xml:space="preserve">and </w:t>
            </w:r>
            <w:r w:rsidR="001071C6" w:rsidRPr="1DFCD8F9">
              <w:rPr>
                <w:rFonts w:cstheme="minorBidi"/>
              </w:rPr>
              <w:t xml:space="preserve">the </w:t>
            </w:r>
            <w:r w:rsidR="00015539" w:rsidRPr="1DFCD8F9">
              <w:rPr>
                <w:rFonts w:cstheme="minorBidi"/>
              </w:rPr>
              <w:t xml:space="preserve">payments </w:t>
            </w:r>
            <w:r w:rsidR="001C61DE" w:rsidRPr="1DFCD8F9">
              <w:rPr>
                <w:rFonts w:cstheme="minorBidi"/>
              </w:rPr>
              <w:t>by</w:t>
            </w:r>
            <w:r w:rsidR="00015539" w:rsidRPr="1DFCD8F9">
              <w:rPr>
                <w:rFonts w:cstheme="minorBidi"/>
              </w:rPr>
              <w:t xml:space="preserve"> </w:t>
            </w:r>
            <w:r w:rsidR="001071C6" w:rsidRPr="1DFCD8F9">
              <w:rPr>
                <w:rFonts w:cstheme="minorBidi"/>
              </w:rPr>
              <w:t>entities it controls</w:t>
            </w:r>
            <w:r w:rsidR="003C1923" w:rsidRPr="1DFCD8F9">
              <w:rPr>
                <w:rFonts w:cstheme="minorBidi"/>
              </w:rPr>
              <w:t xml:space="preserve"> as defined by Australian </w:t>
            </w:r>
            <w:r w:rsidR="4EB023D6" w:rsidRPr="24D8A606">
              <w:rPr>
                <w:rFonts w:cstheme="minorBidi"/>
              </w:rPr>
              <w:t>A</w:t>
            </w:r>
            <w:r w:rsidR="003C1923" w:rsidRPr="24D8A606">
              <w:rPr>
                <w:rFonts w:cstheme="minorBidi"/>
              </w:rPr>
              <w:t xml:space="preserve">ccounting </w:t>
            </w:r>
            <w:r w:rsidR="2011E7EE" w:rsidRPr="24D8A606">
              <w:rPr>
                <w:rFonts w:cstheme="minorBidi"/>
              </w:rPr>
              <w:t>S</w:t>
            </w:r>
            <w:r w:rsidR="003C1923" w:rsidRPr="24D8A606">
              <w:rPr>
                <w:rFonts w:cstheme="minorBidi"/>
              </w:rPr>
              <w:t>tandards</w:t>
            </w:r>
            <w:r w:rsidR="000A1C68" w:rsidRPr="1DFCD8F9">
              <w:rPr>
                <w:rFonts w:cstheme="minorBidi"/>
              </w:rPr>
              <w:t xml:space="preserve"> (</w:t>
            </w:r>
            <w:r w:rsidR="00C10867" w:rsidRPr="1DFCD8F9">
              <w:rPr>
                <w:rFonts w:cstheme="minorBidi"/>
              </w:rPr>
              <w:t xml:space="preserve">see </w:t>
            </w:r>
            <w:r w:rsidR="00C10867" w:rsidRPr="1DFCD8F9">
              <w:rPr>
                <w:rFonts w:cs="Calibri"/>
                <w:color w:val="000000" w:themeColor="text1"/>
              </w:rPr>
              <w:t xml:space="preserve">AASB 10 </w:t>
            </w:r>
            <w:r w:rsidR="00C10867" w:rsidRPr="1DFCD8F9">
              <w:rPr>
                <w:rFonts w:cs="Calibri"/>
                <w:i/>
                <w:color w:val="000000" w:themeColor="text1"/>
              </w:rPr>
              <w:t>Consolidated Financial Statements</w:t>
            </w:r>
            <w:r w:rsidR="00C10867" w:rsidRPr="1DFCD8F9">
              <w:rPr>
                <w:rFonts w:cs="Calibri"/>
                <w:color w:val="000000" w:themeColor="text1"/>
              </w:rPr>
              <w:t>)</w:t>
            </w:r>
            <w:r w:rsidR="003C1923" w:rsidRPr="1DFCD8F9">
              <w:rPr>
                <w:rFonts w:cstheme="minorBidi"/>
              </w:rPr>
              <w:t>.</w:t>
            </w:r>
            <w:r w:rsidR="00D3754B" w:rsidRPr="1DFCD8F9">
              <w:rPr>
                <w:rFonts w:cstheme="minorBidi"/>
              </w:rPr>
              <w:t xml:space="preserve"> </w:t>
            </w:r>
            <w:r w:rsidR="00D61A35" w:rsidRPr="1DFCD8F9">
              <w:rPr>
                <w:rFonts w:cstheme="minorBidi"/>
              </w:rPr>
              <w:t xml:space="preserve">Entities that are controlled by a reporting entity are not required to report separately </w:t>
            </w:r>
            <w:r w:rsidR="00216549" w:rsidRPr="1DFCD8F9">
              <w:rPr>
                <w:rFonts w:cstheme="minorBidi"/>
              </w:rPr>
              <w:t xml:space="preserve">regardless of their </w:t>
            </w:r>
            <w:r w:rsidR="00456BC7" w:rsidRPr="1DFCD8F9">
              <w:rPr>
                <w:rFonts w:cstheme="minorBidi"/>
              </w:rPr>
              <w:t>revenue</w:t>
            </w:r>
            <w:r w:rsidR="0057787E" w:rsidRPr="1DFCD8F9">
              <w:rPr>
                <w:rFonts w:cstheme="minorBidi"/>
              </w:rPr>
              <w:t xml:space="preserve"> –</w:t>
            </w:r>
            <w:r w:rsidR="001A65F0" w:rsidRPr="1DFCD8F9">
              <w:rPr>
                <w:rFonts w:cstheme="minorBidi"/>
              </w:rPr>
              <w:t xml:space="preserve"> separate </w:t>
            </w:r>
            <w:r w:rsidR="0057787E" w:rsidRPr="1DFCD8F9">
              <w:rPr>
                <w:rFonts w:cstheme="minorBidi"/>
              </w:rPr>
              <w:t>reporting by ‘member entities’</w:t>
            </w:r>
            <w:r w:rsidR="001A65F0" w:rsidRPr="1DFCD8F9">
              <w:rPr>
                <w:rFonts w:cstheme="minorBidi"/>
              </w:rPr>
              <w:t xml:space="preserve"> is no longer required</w:t>
            </w:r>
            <w:r w:rsidR="0057787E" w:rsidRPr="1DFCD8F9">
              <w:rPr>
                <w:rFonts w:cstheme="minorBidi"/>
              </w:rPr>
              <w:t>.</w:t>
            </w:r>
          </w:p>
          <w:p w14:paraId="03895524" w14:textId="5B35BFEE" w:rsidR="002534B0" w:rsidRPr="002534B0" w:rsidRDefault="0076200D" w:rsidP="001D6964">
            <w:pPr>
              <w:spacing w:before="0" w:line="259" w:lineRule="auto"/>
              <w:rPr>
                <w:rFonts w:cstheme="minorHAnsi"/>
                <w:b/>
                <w:bCs/>
                <w:szCs w:val="22"/>
              </w:rPr>
            </w:pPr>
            <w:r>
              <w:rPr>
                <w:rFonts w:cstheme="minorHAnsi"/>
                <w:b/>
                <w:bCs/>
                <w:szCs w:val="22"/>
              </w:rPr>
              <w:t xml:space="preserve">Separate </w:t>
            </w:r>
            <w:r w:rsidR="008653A9">
              <w:rPr>
                <w:rFonts w:cstheme="minorHAnsi"/>
                <w:b/>
                <w:bCs/>
                <w:szCs w:val="22"/>
              </w:rPr>
              <w:t>reporting by</w:t>
            </w:r>
            <w:r w:rsidRPr="002534B0">
              <w:rPr>
                <w:rFonts w:cstheme="minorHAnsi"/>
                <w:b/>
                <w:bCs/>
                <w:szCs w:val="22"/>
              </w:rPr>
              <w:t xml:space="preserve"> </w:t>
            </w:r>
            <w:r w:rsidR="002534B0" w:rsidRPr="002534B0">
              <w:rPr>
                <w:rFonts w:cstheme="minorHAnsi"/>
                <w:b/>
                <w:bCs/>
                <w:szCs w:val="22"/>
              </w:rPr>
              <w:t xml:space="preserve">an entity </w:t>
            </w:r>
            <w:r w:rsidR="008653A9">
              <w:rPr>
                <w:rFonts w:cstheme="minorHAnsi"/>
                <w:b/>
                <w:bCs/>
                <w:szCs w:val="22"/>
              </w:rPr>
              <w:t xml:space="preserve">in </w:t>
            </w:r>
            <w:r w:rsidR="002534B0" w:rsidRPr="002534B0">
              <w:rPr>
                <w:rFonts w:cstheme="minorHAnsi"/>
                <w:b/>
                <w:bCs/>
                <w:szCs w:val="22"/>
              </w:rPr>
              <w:t>a group</w:t>
            </w:r>
          </w:p>
          <w:p w14:paraId="33BB112D" w14:textId="00079686" w:rsidR="006400BE" w:rsidRDefault="00A33BF2" w:rsidP="001D6964">
            <w:pPr>
              <w:spacing w:before="0"/>
              <w:rPr>
                <w:rFonts w:cs="Calibri"/>
                <w:color w:val="000000"/>
                <w:szCs w:val="22"/>
              </w:rPr>
            </w:pPr>
            <w:r>
              <w:rPr>
                <w:rFonts w:cs="Calibri"/>
                <w:bCs/>
                <w:color w:val="000000"/>
                <w:szCs w:val="22"/>
              </w:rPr>
              <w:t>T</w:t>
            </w:r>
            <w:r w:rsidR="00ED5873" w:rsidRPr="00E60A98">
              <w:rPr>
                <w:rFonts w:cs="Calibri"/>
                <w:bCs/>
                <w:color w:val="000000"/>
                <w:szCs w:val="22"/>
              </w:rPr>
              <w:t>he</w:t>
            </w:r>
            <w:r w:rsidR="00DA4883">
              <w:rPr>
                <w:rFonts w:cs="Calibri"/>
                <w:bCs/>
                <w:color w:val="000000"/>
                <w:szCs w:val="22"/>
              </w:rPr>
              <w:t xml:space="preserve"> Act now has </w:t>
            </w:r>
            <w:r w:rsidR="00ED5873">
              <w:rPr>
                <w:rFonts w:cs="Calibri"/>
                <w:color w:val="000000"/>
                <w:szCs w:val="22"/>
              </w:rPr>
              <w:t>a category of entity know</w:t>
            </w:r>
            <w:r w:rsidR="008653A9">
              <w:rPr>
                <w:rFonts w:cs="Calibri"/>
                <w:color w:val="000000"/>
                <w:szCs w:val="22"/>
              </w:rPr>
              <w:t>n</w:t>
            </w:r>
            <w:r w:rsidR="00ED5873">
              <w:rPr>
                <w:rFonts w:cs="Calibri"/>
                <w:color w:val="000000"/>
                <w:szCs w:val="22"/>
              </w:rPr>
              <w:t xml:space="preserve"> as a 'subsidiary reporting entity'</w:t>
            </w:r>
            <w:r w:rsidR="00E60A98">
              <w:rPr>
                <w:rFonts w:cs="Calibri"/>
                <w:color w:val="000000"/>
                <w:szCs w:val="22"/>
              </w:rPr>
              <w:t xml:space="preserve"> that </w:t>
            </w:r>
            <w:r w:rsidR="00ED5873">
              <w:rPr>
                <w:rFonts w:cs="Calibri"/>
                <w:color w:val="000000"/>
                <w:szCs w:val="22"/>
              </w:rPr>
              <w:t xml:space="preserve">allows </w:t>
            </w:r>
            <w:r w:rsidR="00032188">
              <w:rPr>
                <w:rFonts w:cs="Calibri"/>
                <w:color w:val="000000"/>
                <w:szCs w:val="22"/>
              </w:rPr>
              <w:t xml:space="preserve">an entity controlled by a reporting entity to report </w:t>
            </w:r>
            <w:r w:rsidR="00DA4883">
              <w:rPr>
                <w:rFonts w:cs="Calibri"/>
                <w:color w:val="000000"/>
                <w:szCs w:val="22"/>
              </w:rPr>
              <w:t>separately</w:t>
            </w:r>
            <w:r w:rsidR="000B361A">
              <w:rPr>
                <w:rFonts w:cs="Calibri"/>
                <w:color w:val="000000"/>
                <w:szCs w:val="22"/>
              </w:rPr>
              <w:t xml:space="preserve"> from the group</w:t>
            </w:r>
            <w:r w:rsidR="006400BE">
              <w:rPr>
                <w:rFonts w:cs="Calibri"/>
                <w:color w:val="000000"/>
                <w:szCs w:val="22"/>
              </w:rPr>
              <w:t>.</w:t>
            </w:r>
          </w:p>
          <w:p w14:paraId="3EF0D97C" w14:textId="3D9BAC9D" w:rsidR="006400BE" w:rsidRDefault="00E00C35" w:rsidP="001D6964">
            <w:pPr>
              <w:spacing w:before="0"/>
              <w:rPr>
                <w:rFonts w:cs="Calibri"/>
                <w:color w:val="000000"/>
                <w:szCs w:val="22"/>
              </w:rPr>
            </w:pPr>
            <w:r>
              <w:rPr>
                <w:rFonts w:cs="Calibri"/>
                <w:color w:val="000000"/>
                <w:szCs w:val="22"/>
              </w:rPr>
              <w:t>Entities must apply to the Regulator to be a ‘subsidiary reporting entity’ and the Regulator may only grant the application where</w:t>
            </w:r>
            <w:r w:rsidR="00D01562">
              <w:rPr>
                <w:rFonts w:cs="Calibri"/>
                <w:color w:val="000000"/>
                <w:szCs w:val="22"/>
              </w:rPr>
              <w:t xml:space="preserve"> </w:t>
            </w:r>
            <w:r w:rsidR="008610A3">
              <w:rPr>
                <w:rFonts w:cs="Calibri"/>
                <w:color w:val="000000"/>
                <w:szCs w:val="22"/>
              </w:rPr>
              <w:t xml:space="preserve">it would not be contrary to the public interest </w:t>
            </w:r>
            <w:r w:rsidR="00603DA1">
              <w:rPr>
                <w:rFonts w:cs="Calibri"/>
                <w:color w:val="000000"/>
                <w:szCs w:val="22"/>
              </w:rPr>
              <w:t>and be consistent with the objects of the Act (</w:t>
            </w:r>
            <w:r w:rsidR="007B2CF3">
              <w:rPr>
                <w:rFonts w:cs="Calibri"/>
                <w:color w:val="000000"/>
                <w:szCs w:val="22"/>
              </w:rPr>
              <w:t xml:space="preserve">which includes </w:t>
            </w:r>
            <w:r w:rsidR="007520C8">
              <w:rPr>
                <w:rFonts w:cs="Calibri"/>
                <w:color w:val="000000"/>
                <w:szCs w:val="22"/>
              </w:rPr>
              <w:t>improv</w:t>
            </w:r>
            <w:r w:rsidR="007B2CF3">
              <w:rPr>
                <w:rFonts w:cs="Calibri"/>
                <w:color w:val="000000"/>
                <w:szCs w:val="22"/>
              </w:rPr>
              <w:t xml:space="preserve">ing </w:t>
            </w:r>
            <w:r w:rsidR="007520C8">
              <w:rPr>
                <w:rFonts w:cs="Calibri"/>
                <w:color w:val="000000"/>
                <w:szCs w:val="22"/>
              </w:rPr>
              <w:t>transparency)</w:t>
            </w:r>
            <w:r w:rsidR="000E6F0F">
              <w:rPr>
                <w:rFonts w:cs="Calibri"/>
                <w:color w:val="000000"/>
                <w:szCs w:val="22"/>
              </w:rPr>
              <w:t xml:space="preserve">; </w:t>
            </w:r>
            <w:r w:rsidR="000674C2">
              <w:rPr>
                <w:rFonts w:cs="Calibri"/>
                <w:color w:val="000000"/>
                <w:szCs w:val="22"/>
              </w:rPr>
              <w:t xml:space="preserve">see </w:t>
            </w:r>
            <w:r w:rsidR="002B7F10">
              <w:rPr>
                <w:rFonts w:cs="Calibri"/>
                <w:color w:val="000000"/>
                <w:szCs w:val="22"/>
              </w:rPr>
              <w:t>Act s10E</w:t>
            </w:r>
            <w:r w:rsidR="000E6F0F">
              <w:rPr>
                <w:rFonts w:cs="Calibri"/>
                <w:color w:val="000000"/>
                <w:szCs w:val="22"/>
              </w:rPr>
              <w:t>.</w:t>
            </w:r>
          </w:p>
          <w:p w14:paraId="4E0C4D44" w14:textId="11557639" w:rsidR="005F6E11" w:rsidRPr="00321CCD" w:rsidRDefault="00C147CE" w:rsidP="00C147CE">
            <w:pPr>
              <w:spacing w:before="0" w:line="259" w:lineRule="auto"/>
              <w:rPr>
                <w:rFonts w:cs="Calibri"/>
                <w:color w:val="000000"/>
                <w:szCs w:val="22"/>
              </w:rPr>
            </w:pPr>
            <w:r>
              <w:rPr>
                <w:rFonts w:cstheme="minorHAnsi"/>
                <w:szCs w:val="22"/>
              </w:rPr>
              <w:t xml:space="preserve">Revised guidance materials will include details for </w:t>
            </w:r>
            <w:r w:rsidR="004274BD">
              <w:rPr>
                <w:rFonts w:cs="Calibri"/>
                <w:color w:val="000000"/>
                <w:szCs w:val="22"/>
              </w:rPr>
              <w:t>‘</w:t>
            </w:r>
            <w:r w:rsidR="00E00C35">
              <w:rPr>
                <w:rFonts w:cs="Calibri"/>
                <w:color w:val="000000"/>
                <w:szCs w:val="22"/>
              </w:rPr>
              <w:t>subsidiary reporting entity</w:t>
            </w:r>
            <w:r w:rsidR="004274BD">
              <w:rPr>
                <w:rFonts w:cs="Calibri"/>
                <w:color w:val="000000"/>
                <w:szCs w:val="22"/>
              </w:rPr>
              <w:t xml:space="preserve">’ </w:t>
            </w:r>
            <w:r w:rsidR="00321CCD">
              <w:rPr>
                <w:rFonts w:cs="Calibri"/>
                <w:color w:val="000000"/>
                <w:szCs w:val="22"/>
              </w:rPr>
              <w:t>applications.</w:t>
            </w:r>
          </w:p>
        </w:tc>
      </w:tr>
      <w:tr w:rsidR="00E54CBF" w14:paraId="43DAFC4B" w14:textId="77777777" w:rsidTr="00367161">
        <w:trPr>
          <w:jc w:val="center"/>
        </w:trPr>
        <w:tc>
          <w:tcPr>
            <w:tcW w:w="9638" w:type="dxa"/>
            <w:shd w:val="clear" w:color="auto" w:fill="E5E9EF"/>
          </w:tcPr>
          <w:p w14:paraId="11B76644" w14:textId="24CFA5B6" w:rsidR="00E54CBF" w:rsidRPr="00CB4DF4" w:rsidRDefault="00B31EC7" w:rsidP="002B5BDE">
            <w:pPr>
              <w:pStyle w:val="Heading3"/>
              <w:spacing w:before="0" w:after="0" w:line="259" w:lineRule="auto"/>
            </w:pPr>
            <w:bookmarkStart w:id="86" w:name="_Toc178596600"/>
            <w:r>
              <w:lastRenderedPageBreak/>
              <w:t>Control</w:t>
            </w:r>
            <w:bookmarkEnd w:id="86"/>
          </w:p>
        </w:tc>
      </w:tr>
      <w:tr w:rsidR="002771F2" w14:paraId="37D031DF" w14:textId="77777777" w:rsidTr="2E470220">
        <w:trPr>
          <w:tblHeader/>
          <w:jc w:val="center"/>
        </w:trPr>
        <w:tc>
          <w:tcPr>
            <w:tcW w:w="9638" w:type="dxa"/>
            <w:shd w:val="clear" w:color="auto" w:fill="002C47" w:themeFill="accent1"/>
          </w:tcPr>
          <w:p w14:paraId="7EFC803A" w14:textId="0E9228DB" w:rsidR="002771F2" w:rsidRPr="00EC28C4" w:rsidRDefault="002771F2" w:rsidP="002B5BDE">
            <w:pPr>
              <w:spacing w:before="0" w:after="0" w:line="259" w:lineRule="auto"/>
              <w:rPr>
                <w:b/>
                <w:color w:val="FFFFFF" w:themeColor="background1"/>
                <w:sz w:val="24"/>
              </w:rPr>
            </w:pPr>
            <w:r>
              <w:rPr>
                <w:b/>
                <w:color w:val="FFFFFF" w:themeColor="background1"/>
                <w:sz w:val="24"/>
              </w:rPr>
              <w:t>Question</w:t>
            </w:r>
          </w:p>
        </w:tc>
      </w:tr>
      <w:tr w:rsidR="00BC2FFF" w14:paraId="505B8047" w14:textId="77777777" w:rsidTr="00367161">
        <w:trPr>
          <w:jc w:val="center"/>
        </w:trPr>
        <w:tc>
          <w:tcPr>
            <w:tcW w:w="9638" w:type="dxa"/>
          </w:tcPr>
          <w:p w14:paraId="50D9D8B5" w14:textId="38188C85" w:rsidR="00BC2FFF" w:rsidRPr="00835E69" w:rsidRDefault="00BC2FFF" w:rsidP="0010538C">
            <w:pPr>
              <w:pStyle w:val="OutlineNumbered1"/>
              <w:numPr>
                <w:ilvl w:val="0"/>
                <w:numId w:val="21"/>
              </w:numPr>
              <w:ind w:hanging="485"/>
              <w:rPr>
                <w:rFonts w:cs="Calibri"/>
                <w:szCs w:val="22"/>
              </w:rPr>
            </w:pPr>
            <w:r>
              <w:rPr>
                <w:rFonts w:cs="Calibri"/>
                <w:szCs w:val="22"/>
              </w:rPr>
              <w:t>How about the trust, is the responsible entity deemed as "control" the trust? </w:t>
            </w:r>
          </w:p>
        </w:tc>
      </w:tr>
      <w:tr w:rsidR="00BC2FFF" w14:paraId="545A4881" w14:textId="77777777" w:rsidTr="00367161">
        <w:trPr>
          <w:jc w:val="center"/>
        </w:trPr>
        <w:tc>
          <w:tcPr>
            <w:tcW w:w="9638" w:type="dxa"/>
            <w:shd w:val="clear" w:color="auto" w:fill="002C47" w:themeFill="accent1"/>
          </w:tcPr>
          <w:p w14:paraId="3C884F62" w14:textId="739F0434" w:rsidR="00BC2FFF" w:rsidRPr="00835E69" w:rsidRDefault="0024695F" w:rsidP="002B5BDE">
            <w:pPr>
              <w:spacing w:before="0" w:after="0" w:line="259" w:lineRule="auto"/>
              <w:rPr>
                <w:rFonts w:cs="Calibri"/>
                <w:szCs w:val="22"/>
              </w:rPr>
            </w:pPr>
            <w:r>
              <w:rPr>
                <w:b/>
                <w:color w:val="FFFFFF" w:themeColor="background1"/>
                <w:sz w:val="24"/>
              </w:rPr>
              <w:t>Response</w:t>
            </w:r>
          </w:p>
        </w:tc>
      </w:tr>
      <w:tr w:rsidR="00BC2FFF" w14:paraId="37E1719E" w14:textId="77777777" w:rsidTr="00367161">
        <w:trPr>
          <w:jc w:val="center"/>
        </w:trPr>
        <w:tc>
          <w:tcPr>
            <w:tcW w:w="9638" w:type="dxa"/>
          </w:tcPr>
          <w:p w14:paraId="70898576" w14:textId="14040BCE" w:rsidR="00B443AD" w:rsidRDefault="00BC2FFF" w:rsidP="001D6964">
            <w:pPr>
              <w:spacing w:before="0" w:line="259" w:lineRule="auto"/>
              <w:rPr>
                <w:rFonts w:cs="Calibri"/>
                <w:szCs w:val="22"/>
              </w:rPr>
            </w:pPr>
            <w:r w:rsidRPr="00835E69">
              <w:rPr>
                <w:rFonts w:cs="Calibri"/>
                <w:szCs w:val="22"/>
              </w:rPr>
              <w:t>Control of an entity by another entity is defined in the legislation by reference to the accounting standards</w:t>
            </w:r>
            <w:r w:rsidR="0066646A">
              <w:rPr>
                <w:rFonts w:cs="Calibri"/>
                <w:szCs w:val="22"/>
              </w:rPr>
              <w:t xml:space="preserve">; </w:t>
            </w:r>
            <w:r w:rsidR="000674C2">
              <w:rPr>
                <w:rFonts w:cs="Calibri"/>
                <w:szCs w:val="22"/>
              </w:rPr>
              <w:t xml:space="preserve">see </w:t>
            </w:r>
            <w:r w:rsidR="004669AA">
              <w:rPr>
                <w:rFonts w:cs="Calibri"/>
                <w:szCs w:val="22"/>
              </w:rPr>
              <w:t>Act s 5.</w:t>
            </w:r>
          </w:p>
          <w:p w14:paraId="2BB5D9BD" w14:textId="1F4F99CD" w:rsidR="008D776A" w:rsidRDefault="00137113" w:rsidP="001D6964">
            <w:pPr>
              <w:spacing w:before="0" w:line="259" w:lineRule="auto"/>
              <w:rPr>
                <w:rFonts w:cs="Calibri"/>
                <w:szCs w:val="22"/>
              </w:rPr>
            </w:pPr>
            <w:r>
              <w:rPr>
                <w:rFonts w:cs="Calibri"/>
                <w:szCs w:val="22"/>
              </w:rPr>
              <w:t xml:space="preserve">If a responsible entity </w:t>
            </w:r>
            <w:r w:rsidR="00646CBA">
              <w:rPr>
                <w:rFonts w:cs="Calibri"/>
                <w:szCs w:val="22"/>
              </w:rPr>
              <w:t xml:space="preserve">is </w:t>
            </w:r>
            <w:r w:rsidR="00B443AD">
              <w:rPr>
                <w:rFonts w:cs="Calibri"/>
                <w:szCs w:val="22"/>
              </w:rPr>
              <w:t xml:space="preserve">already required to </w:t>
            </w:r>
            <w:r w:rsidR="008D776A">
              <w:rPr>
                <w:rFonts w:cs="Calibri"/>
                <w:szCs w:val="22"/>
              </w:rPr>
              <w:t xml:space="preserve">consolidate </w:t>
            </w:r>
            <w:r w:rsidR="00A851AE">
              <w:rPr>
                <w:rFonts w:cs="Calibri"/>
                <w:szCs w:val="22"/>
              </w:rPr>
              <w:t xml:space="preserve">a trust and its transactions </w:t>
            </w:r>
            <w:r w:rsidR="008D776A">
              <w:rPr>
                <w:rFonts w:cs="Calibri"/>
                <w:szCs w:val="22"/>
              </w:rPr>
              <w:t xml:space="preserve">in its financial reporting, this may </w:t>
            </w:r>
            <w:r w:rsidR="00FD4313">
              <w:rPr>
                <w:rFonts w:cs="Calibri"/>
                <w:szCs w:val="22"/>
              </w:rPr>
              <w:t xml:space="preserve">indicate </w:t>
            </w:r>
            <w:r w:rsidR="00A851AE">
              <w:rPr>
                <w:rFonts w:cs="Calibri"/>
                <w:szCs w:val="22"/>
              </w:rPr>
              <w:t xml:space="preserve">that </w:t>
            </w:r>
            <w:r w:rsidR="008D776A">
              <w:rPr>
                <w:rFonts w:cs="Calibri"/>
                <w:szCs w:val="22"/>
              </w:rPr>
              <w:t xml:space="preserve">payments </w:t>
            </w:r>
            <w:r w:rsidR="00A851AE">
              <w:rPr>
                <w:rFonts w:cs="Calibri"/>
                <w:szCs w:val="22"/>
              </w:rPr>
              <w:t xml:space="preserve">made </w:t>
            </w:r>
            <w:r w:rsidR="00AB6699">
              <w:rPr>
                <w:rFonts w:cs="Calibri"/>
                <w:szCs w:val="22"/>
              </w:rPr>
              <w:t xml:space="preserve">by or on behalf of the trust are </w:t>
            </w:r>
            <w:r w:rsidR="008D776A">
              <w:rPr>
                <w:rFonts w:cs="Calibri"/>
                <w:szCs w:val="22"/>
              </w:rPr>
              <w:t>reportable for payment times reporting.</w:t>
            </w:r>
          </w:p>
          <w:p w14:paraId="7AB2C94C" w14:textId="00CEBB8A" w:rsidR="00BC2FFF" w:rsidRPr="00430E6E" w:rsidRDefault="00A851AE" w:rsidP="00A851AE">
            <w:pPr>
              <w:spacing w:before="0" w:line="259" w:lineRule="auto"/>
              <w:rPr>
                <w:rFonts w:cs="Calibri"/>
                <w:szCs w:val="22"/>
              </w:rPr>
            </w:pPr>
            <w:r>
              <w:rPr>
                <w:rFonts w:cstheme="minorHAnsi"/>
                <w:szCs w:val="22"/>
              </w:rPr>
              <w:t>Revised guidance materials will include details regarding control under accounting standards</w:t>
            </w:r>
            <w:r w:rsidR="009A5B84">
              <w:rPr>
                <w:rFonts w:cstheme="minorHAnsi"/>
                <w:szCs w:val="22"/>
              </w:rPr>
              <w:t xml:space="preserve"> for reporting purposes</w:t>
            </w:r>
            <w:r>
              <w:rPr>
                <w:rFonts w:cs="Calibri"/>
                <w:color w:val="000000"/>
                <w:szCs w:val="22"/>
              </w:rPr>
              <w:t xml:space="preserve">. </w:t>
            </w:r>
            <w:r w:rsidR="0068177B">
              <w:rPr>
                <w:rFonts w:cs="Calibri"/>
                <w:color w:val="000000"/>
                <w:szCs w:val="22"/>
              </w:rPr>
              <w:t>I</w:t>
            </w:r>
            <w:r w:rsidR="008D776A">
              <w:rPr>
                <w:rFonts w:cs="Calibri"/>
                <w:szCs w:val="22"/>
              </w:rPr>
              <w:t xml:space="preserve">f an entity is unclear or uncertain whether it controls a trust for the purposes of consolidation it may need to seek </w:t>
            </w:r>
            <w:r w:rsidR="00026121">
              <w:rPr>
                <w:rFonts w:cs="Calibri"/>
                <w:szCs w:val="22"/>
              </w:rPr>
              <w:t>professional advice.</w:t>
            </w:r>
          </w:p>
        </w:tc>
      </w:tr>
      <w:tr w:rsidR="00B31EC7" w14:paraId="39F0D2EE" w14:textId="77777777" w:rsidTr="00367161">
        <w:trPr>
          <w:jc w:val="center"/>
        </w:trPr>
        <w:tc>
          <w:tcPr>
            <w:tcW w:w="9638" w:type="dxa"/>
            <w:shd w:val="clear" w:color="auto" w:fill="E5E9EF"/>
          </w:tcPr>
          <w:p w14:paraId="4D1501BF" w14:textId="3372DF35" w:rsidR="00B31EC7" w:rsidRPr="00CB4DF4" w:rsidRDefault="00B31EC7" w:rsidP="002B5BDE">
            <w:pPr>
              <w:pStyle w:val="Heading3"/>
              <w:spacing w:before="0" w:after="0" w:line="259" w:lineRule="auto"/>
            </w:pPr>
            <w:bookmarkStart w:id="87" w:name="_Toc178596601"/>
            <w:r>
              <w:t>Credit Cards</w:t>
            </w:r>
            <w:bookmarkEnd w:id="87"/>
          </w:p>
        </w:tc>
      </w:tr>
      <w:tr w:rsidR="00336C01" w14:paraId="57EEF1CF" w14:textId="77777777" w:rsidTr="00367161">
        <w:trPr>
          <w:tblHeader/>
          <w:jc w:val="center"/>
        </w:trPr>
        <w:tc>
          <w:tcPr>
            <w:tcW w:w="9638" w:type="dxa"/>
            <w:shd w:val="clear" w:color="auto" w:fill="2C384A"/>
          </w:tcPr>
          <w:p w14:paraId="25415F3A" w14:textId="64B7E19E" w:rsidR="00336C01" w:rsidRPr="00EC28C4" w:rsidRDefault="00336C01" w:rsidP="002B5BDE">
            <w:pPr>
              <w:spacing w:before="0" w:after="0" w:line="259" w:lineRule="auto"/>
              <w:rPr>
                <w:b/>
                <w:color w:val="FFFFFF" w:themeColor="background1"/>
                <w:sz w:val="24"/>
              </w:rPr>
            </w:pPr>
            <w:r>
              <w:rPr>
                <w:b/>
                <w:color w:val="FFFFFF" w:themeColor="background1"/>
                <w:sz w:val="24"/>
              </w:rPr>
              <w:t>Question</w:t>
            </w:r>
            <w:r w:rsidR="0024695F">
              <w:rPr>
                <w:b/>
                <w:color w:val="FFFFFF" w:themeColor="background1"/>
                <w:sz w:val="24"/>
              </w:rPr>
              <w:t>s</w:t>
            </w:r>
          </w:p>
        </w:tc>
      </w:tr>
      <w:tr w:rsidR="002771F2" w14:paraId="2FBB2D0B" w14:textId="77777777" w:rsidTr="00367161">
        <w:trPr>
          <w:jc w:val="center"/>
        </w:trPr>
        <w:tc>
          <w:tcPr>
            <w:tcW w:w="9638" w:type="dxa"/>
          </w:tcPr>
          <w:p w14:paraId="218B666B" w14:textId="77777777" w:rsidR="002771F2" w:rsidRDefault="002771F2" w:rsidP="0010538C">
            <w:pPr>
              <w:pStyle w:val="OutlineNumbered1"/>
              <w:numPr>
                <w:ilvl w:val="0"/>
                <w:numId w:val="20"/>
              </w:numPr>
              <w:ind w:hanging="485"/>
            </w:pPr>
            <w:r>
              <w:t>If a Credit card transaction was included, it would lower an entity’s average times?</w:t>
            </w:r>
          </w:p>
          <w:p w14:paraId="3BB9FF9D" w14:textId="77777777" w:rsidR="002771F2" w:rsidRPr="002771F2" w:rsidRDefault="002771F2" w:rsidP="0010538C">
            <w:pPr>
              <w:pStyle w:val="OutlineNumbered1"/>
              <w:numPr>
                <w:ilvl w:val="0"/>
                <w:numId w:val="20"/>
              </w:numPr>
              <w:ind w:hanging="485"/>
            </w:pPr>
            <w:r>
              <w:rPr>
                <w:rFonts w:cs="Calibri"/>
                <w:szCs w:val="22"/>
              </w:rPr>
              <w:t>All credit card transactions to be excluded as they are settled with in time frame on due date as per company’s arrangement with credit card bank/institution?</w:t>
            </w:r>
          </w:p>
          <w:p w14:paraId="13509707" w14:textId="77777777" w:rsidR="002771F2" w:rsidRPr="002771F2" w:rsidRDefault="002771F2" w:rsidP="0010538C">
            <w:pPr>
              <w:pStyle w:val="OutlineNumbered1"/>
              <w:numPr>
                <w:ilvl w:val="0"/>
                <w:numId w:val="20"/>
              </w:numPr>
              <w:ind w:hanging="485"/>
            </w:pPr>
            <w:r>
              <w:rPr>
                <w:rFonts w:cs="Calibri"/>
                <w:szCs w:val="22"/>
              </w:rPr>
              <w:t>All POS Credit card transaction excluded from reporting? As there is no trade credit arrangement between small supplier, we pay using credit card, which is settled immediately from small supplier point of view.</w:t>
            </w:r>
          </w:p>
          <w:p w14:paraId="60975460" w14:textId="77777777" w:rsidR="002771F2" w:rsidRPr="002771F2" w:rsidRDefault="002771F2" w:rsidP="0010538C">
            <w:pPr>
              <w:pStyle w:val="OutlineNumbered1"/>
              <w:numPr>
                <w:ilvl w:val="0"/>
                <w:numId w:val="20"/>
              </w:numPr>
              <w:ind w:hanging="485"/>
            </w:pPr>
            <w:r>
              <w:rPr>
                <w:rFonts w:cs="Calibri"/>
                <w:szCs w:val="22"/>
              </w:rPr>
              <w:t xml:space="preserve">Credit cards can be used in just any business and identifying the ABNs for </w:t>
            </w:r>
            <w:proofErr w:type="gramStart"/>
            <w:r>
              <w:rPr>
                <w:rFonts w:cs="Calibri"/>
                <w:szCs w:val="22"/>
              </w:rPr>
              <w:t>ALL of</w:t>
            </w:r>
            <w:proofErr w:type="gramEnd"/>
            <w:r>
              <w:rPr>
                <w:rFonts w:cs="Calibri"/>
                <w:szCs w:val="22"/>
              </w:rPr>
              <w:t xml:space="preserve"> these vendors which is in turn used to identify small business in the PTRS portal is deemed a LOT.</w:t>
            </w:r>
          </w:p>
          <w:p w14:paraId="053FBD07" w14:textId="77777777" w:rsidR="002771F2" w:rsidRPr="002771F2" w:rsidRDefault="002771F2" w:rsidP="0010538C">
            <w:pPr>
              <w:pStyle w:val="OutlineNumbered1"/>
              <w:numPr>
                <w:ilvl w:val="0"/>
                <w:numId w:val="20"/>
              </w:numPr>
              <w:ind w:hanging="485"/>
            </w:pPr>
            <w:r>
              <w:rPr>
                <w:rFonts w:cs="Calibri"/>
                <w:szCs w:val="22"/>
              </w:rPr>
              <w:t>Do we expect to change in the approach for credit card transactions? </w:t>
            </w:r>
          </w:p>
          <w:p w14:paraId="7D4F7A7D" w14:textId="77777777" w:rsidR="002771F2" w:rsidRPr="002771F2" w:rsidRDefault="002771F2" w:rsidP="0010538C">
            <w:pPr>
              <w:pStyle w:val="OutlineNumbered1"/>
              <w:numPr>
                <w:ilvl w:val="0"/>
                <w:numId w:val="20"/>
              </w:numPr>
              <w:ind w:hanging="485"/>
            </w:pPr>
            <w:r>
              <w:rPr>
                <w:rFonts w:cs="Calibri"/>
                <w:szCs w:val="22"/>
              </w:rPr>
              <w:t xml:space="preserve">Credit card transactions to be excluded in </w:t>
            </w:r>
            <w:proofErr w:type="gramStart"/>
            <w:r>
              <w:rPr>
                <w:rFonts w:cs="Calibri"/>
                <w:szCs w:val="22"/>
              </w:rPr>
              <w:t>full?</w:t>
            </w:r>
            <w:proofErr w:type="gramEnd"/>
          </w:p>
          <w:p w14:paraId="56D519DE" w14:textId="77777777" w:rsidR="002771F2" w:rsidRPr="00D1717D" w:rsidRDefault="002771F2" w:rsidP="0010538C">
            <w:pPr>
              <w:pStyle w:val="OutlineNumbered1"/>
              <w:numPr>
                <w:ilvl w:val="0"/>
                <w:numId w:val="20"/>
              </w:numPr>
              <w:ind w:hanging="485"/>
            </w:pPr>
            <w:r>
              <w:rPr>
                <w:rFonts w:cs="Calibri"/>
                <w:szCs w:val="22"/>
              </w:rPr>
              <w:t>So, credit card payments &gt;$100 will need to be included? </w:t>
            </w:r>
          </w:p>
          <w:p w14:paraId="454629B7" w14:textId="484E30CA" w:rsidR="00D1717D" w:rsidRDefault="00D1717D" w:rsidP="0010538C">
            <w:pPr>
              <w:pStyle w:val="OutlineNumbered1"/>
              <w:numPr>
                <w:ilvl w:val="0"/>
                <w:numId w:val="20"/>
              </w:numPr>
              <w:ind w:hanging="485"/>
            </w:pPr>
            <w:r>
              <w:rPr>
                <w:rFonts w:cs="Calibri"/>
                <w:szCs w:val="22"/>
              </w:rPr>
              <w:t>Can ALL credit card payments still be excluded, if it is stated within our Credit Card Policy that corporate cards should not be used to pay invoices? </w:t>
            </w:r>
          </w:p>
        </w:tc>
      </w:tr>
      <w:tr w:rsidR="00832F18" w14:paraId="56FC5AA1" w14:textId="77777777" w:rsidTr="00367161">
        <w:trPr>
          <w:trHeight w:val="312"/>
          <w:jc w:val="center"/>
        </w:trPr>
        <w:tc>
          <w:tcPr>
            <w:tcW w:w="9638" w:type="dxa"/>
            <w:shd w:val="clear" w:color="auto" w:fill="002C47" w:themeFill="accent1"/>
          </w:tcPr>
          <w:p w14:paraId="142B2A24" w14:textId="5046F4A3" w:rsidR="00832F18" w:rsidRDefault="00726188" w:rsidP="002B5BDE">
            <w:pPr>
              <w:spacing w:before="0" w:after="0" w:line="259" w:lineRule="auto"/>
            </w:pPr>
            <w:r>
              <w:rPr>
                <w:b/>
                <w:color w:val="FFFFFF" w:themeColor="background1"/>
                <w:sz w:val="24"/>
              </w:rPr>
              <w:t>Response</w:t>
            </w:r>
          </w:p>
        </w:tc>
      </w:tr>
      <w:tr w:rsidR="009C7636" w14:paraId="0C9F4280" w14:textId="77777777" w:rsidTr="00367161">
        <w:trPr>
          <w:trHeight w:val="312"/>
          <w:jc w:val="center"/>
        </w:trPr>
        <w:tc>
          <w:tcPr>
            <w:tcW w:w="9638" w:type="dxa"/>
          </w:tcPr>
          <w:p w14:paraId="721E6016" w14:textId="488E1D19" w:rsidR="004D3AE9" w:rsidRDefault="00DE5008" w:rsidP="001D6964">
            <w:pPr>
              <w:spacing w:before="0" w:line="259" w:lineRule="auto"/>
              <w:rPr>
                <w:rFonts w:cs="Calibri"/>
              </w:rPr>
            </w:pPr>
            <w:r w:rsidRPr="2E13FD76">
              <w:rPr>
                <w:rFonts w:cs="Calibri"/>
              </w:rPr>
              <w:t xml:space="preserve">Payment times reporting </w:t>
            </w:r>
            <w:r w:rsidR="008F74AD" w:rsidRPr="2E13FD76">
              <w:rPr>
                <w:rFonts w:cs="Calibri"/>
              </w:rPr>
              <w:t xml:space="preserve">is limited to </w:t>
            </w:r>
            <w:r w:rsidRPr="2E13FD76">
              <w:rPr>
                <w:rFonts w:cs="Calibri"/>
              </w:rPr>
              <w:t>trade credit arrangements</w:t>
            </w:r>
            <w:r w:rsidR="00A92464" w:rsidRPr="2E13FD76">
              <w:rPr>
                <w:rFonts w:cs="Calibri"/>
              </w:rPr>
              <w:t xml:space="preserve"> where payment </w:t>
            </w:r>
            <w:r w:rsidR="00FA13D9" w:rsidRPr="2E13FD76">
              <w:rPr>
                <w:rFonts w:cs="Calibri"/>
              </w:rPr>
              <w:t>can be made, or is made</w:t>
            </w:r>
            <w:r w:rsidR="00A92464" w:rsidRPr="2E13FD76">
              <w:rPr>
                <w:rFonts w:cs="Calibri"/>
              </w:rPr>
              <w:t xml:space="preserve">, at least 1 calendar day after </w:t>
            </w:r>
            <w:r w:rsidR="0D2F5852" w:rsidRPr="0708AA02">
              <w:rPr>
                <w:rFonts w:cs="Calibri"/>
              </w:rPr>
              <w:t xml:space="preserve">the </w:t>
            </w:r>
            <w:r w:rsidR="00A92464" w:rsidRPr="0708AA02">
              <w:rPr>
                <w:rFonts w:cs="Calibri"/>
              </w:rPr>
              <w:t>supply</w:t>
            </w:r>
            <w:r w:rsidR="00A92464" w:rsidRPr="2E13FD76">
              <w:rPr>
                <w:rFonts w:cs="Calibri"/>
              </w:rPr>
              <w:t xml:space="preserve"> of goods or services</w:t>
            </w:r>
            <w:r w:rsidR="001D23ED" w:rsidRPr="2E13FD76">
              <w:rPr>
                <w:rFonts w:cs="Calibri"/>
              </w:rPr>
              <w:t xml:space="preserve">; </w:t>
            </w:r>
            <w:r w:rsidR="00B847A9" w:rsidRPr="2E13FD76">
              <w:rPr>
                <w:rFonts w:cs="Calibri"/>
              </w:rPr>
              <w:t>Rules s 9</w:t>
            </w:r>
            <w:r w:rsidR="001D23ED" w:rsidRPr="2E13FD76">
              <w:rPr>
                <w:rFonts w:cs="Calibri"/>
              </w:rPr>
              <w:t>.</w:t>
            </w:r>
          </w:p>
          <w:p w14:paraId="00AE26BE" w14:textId="50218D27" w:rsidR="00465C12" w:rsidRDefault="004D3AE9" w:rsidP="001D6964">
            <w:pPr>
              <w:spacing w:before="0" w:line="259" w:lineRule="auto"/>
              <w:rPr>
                <w:rFonts w:cs="Calibri"/>
                <w:szCs w:val="22"/>
              </w:rPr>
            </w:pPr>
            <w:r>
              <w:rPr>
                <w:rFonts w:cs="Calibri"/>
                <w:szCs w:val="22"/>
              </w:rPr>
              <w:t xml:space="preserve">Credit cards </w:t>
            </w:r>
            <w:r w:rsidR="00976B05">
              <w:rPr>
                <w:rFonts w:cs="Calibri"/>
                <w:szCs w:val="22"/>
              </w:rPr>
              <w:t xml:space="preserve">transactions can be difficult to report because </w:t>
            </w:r>
            <w:r w:rsidR="008363D8">
              <w:rPr>
                <w:rFonts w:cs="Calibri"/>
                <w:szCs w:val="22"/>
              </w:rPr>
              <w:t xml:space="preserve">they can be </w:t>
            </w:r>
            <w:r w:rsidR="009C7636">
              <w:rPr>
                <w:rFonts w:cs="Calibri"/>
                <w:szCs w:val="22"/>
              </w:rPr>
              <w:t>high-volume</w:t>
            </w:r>
            <w:r w:rsidR="009253D5">
              <w:rPr>
                <w:rFonts w:cs="Calibri"/>
                <w:szCs w:val="22"/>
              </w:rPr>
              <w:t xml:space="preserve">, </w:t>
            </w:r>
            <w:r w:rsidR="009C7636">
              <w:rPr>
                <w:rFonts w:cs="Calibri"/>
                <w:szCs w:val="22"/>
              </w:rPr>
              <w:t>low-value and commonly used for point-of-sale and immediate payment transaction</w:t>
            </w:r>
            <w:r w:rsidR="00E95EF3">
              <w:rPr>
                <w:rFonts w:cs="Calibri"/>
                <w:szCs w:val="22"/>
              </w:rPr>
              <w:t>s</w:t>
            </w:r>
            <w:r w:rsidR="00465C12">
              <w:rPr>
                <w:rFonts w:cs="Calibri"/>
                <w:szCs w:val="22"/>
              </w:rPr>
              <w:t>, which are not trade credit arrangements.</w:t>
            </w:r>
          </w:p>
          <w:p w14:paraId="52DCA1B8" w14:textId="6C17E5AA" w:rsidR="000B0C2D" w:rsidRDefault="002959D6" w:rsidP="001D6964">
            <w:pPr>
              <w:spacing w:before="0" w:line="259" w:lineRule="auto"/>
              <w:rPr>
                <w:rFonts w:cs="Calibri"/>
                <w:szCs w:val="22"/>
              </w:rPr>
            </w:pPr>
            <w:r>
              <w:rPr>
                <w:rFonts w:cs="Calibri"/>
                <w:szCs w:val="22"/>
              </w:rPr>
              <w:lastRenderedPageBreak/>
              <w:t>To ease the burden for reporting credit card transactions, t</w:t>
            </w:r>
            <w:r w:rsidR="00487ACF">
              <w:rPr>
                <w:rFonts w:cs="Calibri"/>
                <w:szCs w:val="22"/>
              </w:rPr>
              <w:t xml:space="preserve">he </w:t>
            </w:r>
            <w:r w:rsidR="004C30A2">
              <w:rPr>
                <w:rFonts w:cs="Calibri"/>
                <w:color w:val="000000"/>
                <w:szCs w:val="22"/>
              </w:rPr>
              <w:t xml:space="preserve">2023 </w:t>
            </w:r>
            <w:hyperlink r:id="rId21" w:history="1">
              <w:r w:rsidR="004C30A2" w:rsidRPr="00EB7131">
                <w:rPr>
                  <w:rStyle w:val="Hyperlink"/>
                  <w:rFonts w:cs="Calibri"/>
                  <w:szCs w:val="22"/>
                </w:rPr>
                <w:t>Statutory Review of the</w:t>
              </w:r>
              <w:r w:rsidR="004C30A2" w:rsidRPr="00EB7131">
                <w:rPr>
                  <w:rStyle w:val="Hyperlink"/>
                  <w:rFonts w:cs="Calibri"/>
                  <w:i/>
                  <w:iCs/>
                  <w:szCs w:val="22"/>
                </w:rPr>
                <w:t xml:space="preserve"> Payment Times Reporting Act 2020</w:t>
              </w:r>
            </w:hyperlink>
            <w:r w:rsidR="004C30A2" w:rsidRPr="00EB7131">
              <w:rPr>
                <w:rFonts w:cs="Calibri"/>
                <w:color w:val="000000"/>
                <w:szCs w:val="22"/>
              </w:rPr>
              <w:t xml:space="preserve"> </w:t>
            </w:r>
            <w:r w:rsidR="00487ACF" w:rsidRPr="00EB7131">
              <w:rPr>
                <w:rFonts w:cs="Calibri"/>
                <w:szCs w:val="22"/>
              </w:rPr>
              <w:t>recommended</w:t>
            </w:r>
            <w:r w:rsidR="00487ACF">
              <w:rPr>
                <w:rFonts w:cs="Calibri"/>
                <w:szCs w:val="22"/>
              </w:rPr>
              <w:t xml:space="preserve"> </w:t>
            </w:r>
            <w:r>
              <w:rPr>
                <w:rFonts w:cs="Calibri"/>
                <w:szCs w:val="22"/>
              </w:rPr>
              <w:t xml:space="preserve">introduction of a </w:t>
            </w:r>
            <w:r w:rsidR="009D2109">
              <w:rPr>
                <w:rFonts w:cs="Calibri"/>
                <w:szCs w:val="22"/>
              </w:rPr>
              <w:t xml:space="preserve">low </w:t>
            </w:r>
            <w:r>
              <w:rPr>
                <w:rFonts w:cs="Calibri"/>
                <w:szCs w:val="22"/>
              </w:rPr>
              <w:t xml:space="preserve">value threshold for </w:t>
            </w:r>
            <w:r w:rsidR="00AE0F42">
              <w:rPr>
                <w:rFonts w:cs="Calibri"/>
                <w:szCs w:val="22"/>
              </w:rPr>
              <w:t xml:space="preserve">reporting and </w:t>
            </w:r>
            <w:r w:rsidR="00817DCD">
              <w:rPr>
                <w:rFonts w:cs="Calibri"/>
                <w:szCs w:val="22"/>
              </w:rPr>
              <w:t>formal adoption of the Regulator’s ‘policy carveout’</w:t>
            </w:r>
            <w:r w:rsidR="00F6670C">
              <w:rPr>
                <w:rFonts w:cs="Calibri"/>
                <w:szCs w:val="22"/>
              </w:rPr>
              <w:t xml:space="preserve"> which </w:t>
            </w:r>
            <w:r w:rsidR="0066646A">
              <w:rPr>
                <w:rFonts w:cs="Calibri"/>
                <w:szCs w:val="22"/>
              </w:rPr>
              <w:t>are now provided for in</w:t>
            </w:r>
            <w:r w:rsidR="00E61825">
              <w:rPr>
                <w:rFonts w:cs="Calibri"/>
                <w:szCs w:val="22"/>
              </w:rPr>
              <w:t xml:space="preserve"> section 13(4) </w:t>
            </w:r>
            <w:r w:rsidR="0066646A">
              <w:rPr>
                <w:rFonts w:cs="Calibri"/>
                <w:szCs w:val="22"/>
              </w:rPr>
              <w:t>of the Rules</w:t>
            </w:r>
            <w:r w:rsidR="000B0C2D">
              <w:rPr>
                <w:rFonts w:cs="Calibri"/>
                <w:szCs w:val="22"/>
              </w:rPr>
              <w:t>:</w:t>
            </w:r>
          </w:p>
          <w:p w14:paraId="7DB5D7C1" w14:textId="57D034EF" w:rsidR="009C7636" w:rsidRDefault="009C7636" w:rsidP="001D6964">
            <w:pPr>
              <w:pStyle w:val="ListParagraph"/>
              <w:numPr>
                <w:ilvl w:val="0"/>
                <w:numId w:val="43"/>
              </w:numPr>
              <w:rPr>
                <w:rFonts w:cs="Calibri"/>
              </w:rPr>
            </w:pPr>
            <w:r w:rsidRPr="00054E2F">
              <w:rPr>
                <w:rFonts w:cs="Calibri"/>
              </w:rPr>
              <w:t>credit card payment</w:t>
            </w:r>
            <w:r w:rsidR="00054E2F">
              <w:rPr>
                <w:rFonts w:cs="Calibri"/>
              </w:rPr>
              <w:t>s</w:t>
            </w:r>
            <w:r w:rsidRPr="00054E2F">
              <w:rPr>
                <w:rFonts w:cs="Calibri"/>
              </w:rPr>
              <w:t xml:space="preserve"> less than $100 (inclusive of GST)</w:t>
            </w:r>
            <w:r w:rsidR="00054E2F">
              <w:rPr>
                <w:rFonts w:cs="Calibri"/>
              </w:rPr>
              <w:t xml:space="preserve"> can </w:t>
            </w:r>
            <w:r w:rsidRPr="00054E2F">
              <w:rPr>
                <w:rFonts w:cs="Calibri"/>
              </w:rPr>
              <w:t>be excluded</w:t>
            </w:r>
            <w:r w:rsidR="00054E2F">
              <w:rPr>
                <w:rFonts w:cs="Calibri"/>
              </w:rPr>
              <w:t xml:space="preserve"> from </w:t>
            </w:r>
            <w:proofErr w:type="gramStart"/>
            <w:r w:rsidR="00054E2F">
              <w:rPr>
                <w:rFonts w:cs="Calibri"/>
              </w:rPr>
              <w:t>reporting</w:t>
            </w:r>
            <w:proofErr w:type="gramEnd"/>
          </w:p>
          <w:p w14:paraId="01000C9E" w14:textId="01E6D4CD" w:rsidR="00E2084F" w:rsidRDefault="002938E4" w:rsidP="001D6964">
            <w:pPr>
              <w:pStyle w:val="ListParagraph"/>
              <w:numPr>
                <w:ilvl w:val="0"/>
                <w:numId w:val="43"/>
              </w:numPr>
              <w:rPr>
                <w:rFonts w:cs="Calibri"/>
              </w:rPr>
            </w:pPr>
            <w:r>
              <w:rPr>
                <w:rFonts w:cs="Calibri"/>
              </w:rPr>
              <w:t>where a</w:t>
            </w:r>
            <w:r w:rsidR="004C0EAA">
              <w:rPr>
                <w:rFonts w:cs="Calibri"/>
              </w:rPr>
              <w:t xml:space="preserve"> credit card is subject to a policy prohibiting its use for a trade credi</w:t>
            </w:r>
            <w:r w:rsidR="00454158">
              <w:rPr>
                <w:rFonts w:cs="Calibri"/>
              </w:rPr>
              <w:t>t</w:t>
            </w:r>
            <w:r w:rsidR="004C0EAA">
              <w:rPr>
                <w:rFonts w:cs="Calibri"/>
              </w:rPr>
              <w:t xml:space="preserve"> arrangement, </w:t>
            </w:r>
            <w:r w:rsidR="002E406F">
              <w:rPr>
                <w:rFonts w:cs="Calibri"/>
              </w:rPr>
              <w:t xml:space="preserve">all </w:t>
            </w:r>
            <w:r w:rsidR="00454158">
              <w:rPr>
                <w:rFonts w:cs="Calibri"/>
              </w:rPr>
              <w:t>payments by that card can be excluded.</w:t>
            </w:r>
          </w:p>
          <w:p w14:paraId="4422F15D" w14:textId="64E72DE4" w:rsidR="009C7636" w:rsidRDefault="00D04199" w:rsidP="001D6964">
            <w:pPr>
              <w:spacing w:before="0"/>
              <w:rPr>
                <w:rFonts w:cs="Calibri"/>
              </w:rPr>
            </w:pPr>
            <w:r>
              <w:rPr>
                <w:rFonts w:cs="Calibri"/>
              </w:rPr>
              <w:t xml:space="preserve">Where a credit card payment is over $100 and by a card that is not subject to a relevant policy, then payments must be assessed </w:t>
            </w:r>
            <w:r w:rsidR="005D15C5">
              <w:rPr>
                <w:rFonts w:cs="Calibri"/>
              </w:rPr>
              <w:t>just as payments are for any other payment method</w:t>
            </w:r>
            <w:r w:rsidR="008A612D">
              <w:rPr>
                <w:rFonts w:cs="Calibri"/>
              </w:rPr>
              <w:t>.</w:t>
            </w:r>
          </w:p>
          <w:p w14:paraId="712AA8EB" w14:textId="17C127F4" w:rsidR="009C7636" w:rsidRDefault="00823593" w:rsidP="00823593">
            <w:pPr>
              <w:spacing w:before="0" w:line="259" w:lineRule="auto"/>
              <w:rPr>
                <w:rFonts w:cs="Calibri"/>
              </w:rPr>
            </w:pPr>
            <w:r w:rsidRPr="7E245735">
              <w:rPr>
                <w:rFonts w:cstheme="minorBidi"/>
              </w:rPr>
              <w:t xml:space="preserve">Revised guidance materials will include details on how to report credit card transactions, but </w:t>
            </w:r>
            <w:r w:rsidR="7D384F08" w:rsidRPr="2D002C93">
              <w:rPr>
                <w:rFonts w:cstheme="minorBidi"/>
              </w:rPr>
              <w:t xml:space="preserve">are </w:t>
            </w:r>
            <w:r w:rsidRPr="2D002C93">
              <w:rPr>
                <w:rFonts w:cstheme="minorBidi"/>
              </w:rPr>
              <w:t>expected</w:t>
            </w:r>
            <w:r w:rsidRPr="7E245735">
              <w:rPr>
                <w:rFonts w:cstheme="minorBidi"/>
              </w:rPr>
              <w:t xml:space="preserve"> to </w:t>
            </w:r>
            <w:r w:rsidR="00AC52F2" w:rsidRPr="7E245735">
              <w:rPr>
                <w:rFonts w:cs="Calibri"/>
              </w:rPr>
              <w:t xml:space="preserve">broadly align with existing guidance in </w:t>
            </w:r>
            <w:hyperlink r:id="rId22">
              <w:r w:rsidR="009C7636" w:rsidRPr="7E245735">
                <w:rPr>
                  <w:rStyle w:val="Hyperlink"/>
                  <w:rFonts w:cs="Calibri"/>
                </w:rPr>
                <w:t>Information sheet 8: Reporting Credit Card Transactions</w:t>
              </w:r>
            </w:hyperlink>
            <w:r w:rsidR="009C7636" w:rsidRPr="7E245735">
              <w:rPr>
                <w:rFonts w:cs="Calibri"/>
              </w:rPr>
              <w:t>.</w:t>
            </w:r>
          </w:p>
        </w:tc>
      </w:tr>
      <w:tr w:rsidR="00B31EC7" w14:paraId="1D51F7DC" w14:textId="77777777" w:rsidTr="00367161">
        <w:trPr>
          <w:jc w:val="center"/>
        </w:trPr>
        <w:tc>
          <w:tcPr>
            <w:tcW w:w="9638" w:type="dxa"/>
            <w:shd w:val="clear" w:color="auto" w:fill="E5E9EF"/>
          </w:tcPr>
          <w:p w14:paraId="58E9D309" w14:textId="60008BFE" w:rsidR="00B31EC7" w:rsidRPr="00CB4DF4" w:rsidRDefault="002F38AC" w:rsidP="002B5BDE">
            <w:pPr>
              <w:pStyle w:val="Heading3"/>
              <w:spacing w:before="0" w:after="0" w:line="259" w:lineRule="auto"/>
            </w:pPr>
            <w:bookmarkStart w:id="88" w:name="_Toc178596602"/>
            <w:proofErr w:type="spellStart"/>
            <w:r>
              <w:lastRenderedPageBreak/>
              <w:t>eInvoicing</w:t>
            </w:r>
            <w:bookmarkEnd w:id="88"/>
            <w:proofErr w:type="spellEnd"/>
          </w:p>
        </w:tc>
      </w:tr>
      <w:tr w:rsidR="005B5387" w14:paraId="0D98BECC" w14:textId="77777777" w:rsidTr="00367161">
        <w:trPr>
          <w:tblHeader/>
          <w:jc w:val="center"/>
        </w:trPr>
        <w:tc>
          <w:tcPr>
            <w:tcW w:w="9638" w:type="dxa"/>
            <w:shd w:val="clear" w:color="auto" w:fill="2C384A"/>
          </w:tcPr>
          <w:p w14:paraId="1335AF74" w14:textId="6186808C" w:rsidR="005B5387" w:rsidRPr="00EC28C4" w:rsidRDefault="005B5387" w:rsidP="002B5BDE">
            <w:pPr>
              <w:spacing w:before="0" w:after="0" w:line="259" w:lineRule="auto"/>
              <w:rPr>
                <w:b/>
                <w:color w:val="FFFFFF" w:themeColor="background1"/>
                <w:sz w:val="24"/>
              </w:rPr>
            </w:pPr>
            <w:r>
              <w:rPr>
                <w:b/>
                <w:color w:val="FFFFFF" w:themeColor="background1"/>
                <w:sz w:val="24"/>
              </w:rPr>
              <w:t>Question</w:t>
            </w:r>
          </w:p>
        </w:tc>
      </w:tr>
      <w:tr w:rsidR="005B5387" w14:paraId="47EE241F" w14:textId="77777777" w:rsidTr="00367161">
        <w:trPr>
          <w:jc w:val="center"/>
        </w:trPr>
        <w:tc>
          <w:tcPr>
            <w:tcW w:w="9638" w:type="dxa"/>
          </w:tcPr>
          <w:p w14:paraId="5F652FF8" w14:textId="2356EB5E" w:rsidR="005B5387" w:rsidRPr="001524CE" w:rsidRDefault="005B5387" w:rsidP="001D6964">
            <w:pPr>
              <w:pStyle w:val="OutlineNumbered1"/>
              <w:numPr>
                <w:ilvl w:val="0"/>
                <w:numId w:val="22"/>
              </w:numPr>
              <w:ind w:hanging="485"/>
              <w:rPr>
                <w:rFonts w:cs="Calibri"/>
                <w:color w:val="000000"/>
                <w:szCs w:val="22"/>
              </w:rPr>
            </w:pPr>
            <w:r>
              <w:rPr>
                <w:rFonts w:cs="Calibri"/>
                <w:szCs w:val="22"/>
              </w:rPr>
              <w:t xml:space="preserve">Why only acknowledge a single platform of e-invoicing? </w:t>
            </w:r>
            <w:proofErr w:type="spellStart"/>
            <w:r>
              <w:rPr>
                <w:rFonts w:cs="Calibri"/>
                <w:szCs w:val="22"/>
              </w:rPr>
              <w:t>Peppol</w:t>
            </w:r>
            <w:proofErr w:type="spellEnd"/>
            <w:r>
              <w:rPr>
                <w:rFonts w:cs="Calibri"/>
                <w:szCs w:val="22"/>
              </w:rPr>
              <w:t xml:space="preserve"> is only one of many such e-invoicing platforms and not the largest or most frequently used</w:t>
            </w:r>
            <w:r w:rsidR="001524CE">
              <w:t>.</w:t>
            </w:r>
          </w:p>
        </w:tc>
      </w:tr>
      <w:tr w:rsidR="005B5387" w14:paraId="44775E8C" w14:textId="77777777" w:rsidTr="00367161">
        <w:trPr>
          <w:jc w:val="center"/>
        </w:trPr>
        <w:tc>
          <w:tcPr>
            <w:tcW w:w="9638" w:type="dxa"/>
            <w:shd w:val="clear" w:color="auto" w:fill="002C47" w:themeFill="accent1"/>
          </w:tcPr>
          <w:p w14:paraId="54866FAF" w14:textId="09BA1529" w:rsidR="005B5387" w:rsidRDefault="00726188" w:rsidP="002B5BDE">
            <w:pPr>
              <w:spacing w:before="0" w:after="0" w:line="259" w:lineRule="auto"/>
              <w:rPr>
                <w:rFonts w:cs="Calibri"/>
                <w:color w:val="000000"/>
                <w:szCs w:val="22"/>
              </w:rPr>
            </w:pPr>
            <w:r>
              <w:rPr>
                <w:b/>
                <w:color w:val="FFFFFF" w:themeColor="background1"/>
                <w:sz w:val="24"/>
              </w:rPr>
              <w:t>Response</w:t>
            </w:r>
          </w:p>
        </w:tc>
      </w:tr>
      <w:tr w:rsidR="005B5387" w14:paraId="5AD00D65" w14:textId="77777777" w:rsidTr="00367161">
        <w:trPr>
          <w:jc w:val="center"/>
        </w:trPr>
        <w:tc>
          <w:tcPr>
            <w:tcW w:w="9638" w:type="dxa"/>
          </w:tcPr>
          <w:p w14:paraId="4F0CA078" w14:textId="71948EE2" w:rsidR="00954671" w:rsidRDefault="00244C5E" w:rsidP="001D6964">
            <w:pPr>
              <w:spacing w:before="0" w:line="259" w:lineRule="auto"/>
              <w:rPr>
                <w:rFonts w:cs="Calibri"/>
                <w:color w:val="000000"/>
                <w:szCs w:val="22"/>
              </w:rPr>
            </w:pPr>
            <w:r>
              <w:rPr>
                <w:rFonts w:cs="Calibri"/>
                <w:color w:val="000000"/>
                <w:szCs w:val="22"/>
              </w:rPr>
              <w:t>T</w:t>
            </w:r>
            <w:r w:rsidR="00695F80">
              <w:rPr>
                <w:rFonts w:cs="Calibri"/>
                <w:color w:val="000000"/>
                <w:szCs w:val="22"/>
              </w:rPr>
              <w:t xml:space="preserve">he </w:t>
            </w:r>
            <w:r w:rsidR="005B5387">
              <w:rPr>
                <w:rFonts w:cs="Calibri"/>
                <w:color w:val="000000"/>
                <w:szCs w:val="22"/>
              </w:rPr>
              <w:t xml:space="preserve">2023 </w:t>
            </w:r>
            <w:hyperlink r:id="rId23" w:history="1">
              <w:r w:rsidR="005B5387" w:rsidRPr="00EB7131">
                <w:rPr>
                  <w:rStyle w:val="Hyperlink"/>
                  <w:rFonts w:cs="Calibri"/>
                  <w:szCs w:val="22"/>
                </w:rPr>
                <w:t>Statutory Review of the</w:t>
              </w:r>
              <w:r w:rsidR="005B5387" w:rsidRPr="00EB7131">
                <w:rPr>
                  <w:rStyle w:val="Hyperlink"/>
                  <w:rFonts w:cs="Calibri"/>
                  <w:i/>
                  <w:iCs/>
                  <w:szCs w:val="22"/>
                </w:rPr>
                <w:t xml:space="preserve"> Payment Times Reporting Act 2020</w:t>
              </w:r>
            </w:hyperlink>
            <w:r w:rsidR="005B5387" w:rsidRPr="00EB7131">
              <w:rPr>
                <w:rFonts w:cs="Calibri"/>
                <w:color w:val="000000"/>
                <w:szCs w:val="22"/>
              </w:rPr>
              <w:t xml:space="preserve"> </w:t>
            </w:r>
            <w:r w:rsidR="004C30A2" w:rsidRPr="00EB7131">
              <w:rPr>
                <w:rFonts w:cs="Calibri"/>
                <w:color w:val="000000"/>
                <w:szCs w:val="22"/>
              </w:rPr>
              <w:t>recommended</w:t>
            </w:r>
            <w:r w:rsidR="004C30A2">
              <w:rPr>
                <w:rFonts w:cs="Calibri"/>
                <w:color w:val="000000"/>
                <w:szCs w:val="22"/>
              </w:rPr>
              <w:t xml:space="preserve"> </w:t>
            </w:r>
            <w:r w:rsidR="002D32EF">
              <w:rPr>
                <w:rFonts w:cs="Calibri"/>
                <w:color w:val="000000"/>
                <w:szCs w:val="22"/>
              </w:rPr>
              <w:t xml:space="preserve">reporting </w:t>
            </w:r>
            <w:r w:rsidR="005B5387">
              <w:rPr>
                <w:rFonts w:cs="Calibri"/>
                <w:color w:val="000000"/>
                <w:szCs w:val="22"/>
              </w:rPr>
              <w:t xml:space="preserve">on </w:t>
            </w:r>
            <w:proofErr w:type="spellStart"/>
            <w:r w:rsidR="005B5387">
              <w:rPr>
                <w:rFonts w:cs="Calibri"/>
                <w:color w:val="000000"/>
                <w:szCs w:val="22"/>
              </w:rPr>
              <w:t>Peppol</w:t>
            </w:r>
            <w:proofErr w:type="spellEnd"/>
            <w:r w:rsidR="005B5387">
              <w:rPr>
                <w:rFonts w:cs="Calibri"/>
                <w:color w:val="000000"/>
                <w:szCs w:val="22"/>
              </w:rPr>
              <w:t xml:space="preserve"> </w:t>
            </w:r>
            <w:proofErr w:type="spellStart"/>
            <w:r w:rsidR="005B5387">
              <w:rPr>
                <w:rFonts w:cs="Calibri"/>
                <w:color w:val="000000"/>
                <w:szCs w:val="22"/>
              </w:rPr>
              <w:t>eInvoicing</w:t>
            </w:r>
            <w:proofErr w:type="spellEnd"/>
            <w:r w:rsidR="005B5387">
              <w:rPr>
                <w:rFonts w:cs="Calibri"/>
                <w:color w:val="000000"/>
                <w:szCs w:val="22"/>
              </w:rPr>
              <w:t xml:space="preserve"> </w:t>
            </w:r>
            <w:r w:rsidR="00EA4477">
              <w:rPr>
                <w:rFonts w:cs="Calibri"/>
                <w:color w:val="000000"/>
                <w:szCs w:val="22"/>
              </w:rPr>
              <w:t xml:space="preserve">capability </w:t>
            </w:r>
            <w:r w:rsidR="005B5387">
              <w:rPr>
                <w:rFonts w:cs="Calibri"/>
                <w:color w:val="000000"/>
                <w:szCs w:val="22"/>
              </w:rPr>
              <w:t xml:space="preserve">to </w:t>
            </w:r>
            <w:r w:rsidR="00240492">
              <w:rPr>
                <w:rFonts w:cs="Calibri"/>
                <w:color w:val="000000"/>
                <w:szCs w:val="22"/>
              </w:rPr>
              <w:t xml:space="preserve">improve transparency of </w:t>
            </w:r>
            <w:r w:rsidR="005B5387">
              <w:rPr>
                <w:rFonts w:cs="Calibri"/>
                <w:color w:val="000000"/>
                <w:szCs w:val="22"/>
              </w:rPr>
              <w:t xml:space="preserve">reporting entities </w:t>
            </w:r>
            <w:r w:rsidR="00240492">
              <w:rPr>
                <w:rFonts w:cs="Calibri"/>
                <w:color w:val="000000"/>
                <w:szCs w:val="22"/>
              </w:rPr>
              <w:t xml:space="preserve">that </w:t>
            </w:r>
            <w:r w:rsidR="005B5387">
              <w:rPr>
                <w:rFonts w:cs="Calibri"/>
                <w:color w:val="000000"/>
                <w:szCs w:val="22"/>
              </w:rPr>
              <w:t>have adopted this technology.</w:t>
            </w:r>
          </w:p>
          <w:p w14:paraId="7F257395" w14:textId="300D14EA" w:rsidR="00244C5E" w:rsidRPr="0084701D" w:rsidRDefault="0034415B" w:rsidP="001D6964">
            <w:pPr>
              <w:spacing w:before="0" w:line="259" w:lineRule="auto"/>
              <w:rPr>
                <w:rFonts w:cs="Calibri"/>
                <w:color w:val="000000"/>
                <w:szCs w:val="22"/>
              </w:rPr>
            </w:pPr>
            <w:r>
              <w:rPr>
                <w:rFonts w:cs="Calibri"/>
                <w:color w:val="000000"/>
                <w:szCs w:val="22"/>
              </w:rPr>
              <w:t>T</w:t>
            </w:r>
            <w:r w:rsidR="00244C5E">
              <w:rPr>
                <w:rFonts w:cs="Calibri"/>
                <w:color w:val="000000"/>
                <w:szCs w:val="22"/>
              </w:rPr>
              <w:t xml:space="preserve">he </w:t>
            </w:r>
            <w:r w:rsidR="00244C5E" w:rsidRPr="00EB7131">
              <w:rPr>
                <w:rFonts w:cs="Calibri"/>
                <w:color w:val="000000"/>
                <w:szCs w:val="22"/>
              </w:rPr>
              <w:t>final report</w:t>
            </w:r>
            <w:r w:rsidR="00244C5E">
              <w:rPr>
                <w:rFonts w:cs="Calibri"/>
                <w:color w:val="000000"/>
                <w:szCs w:val="22"/>
              </w:rPr>
              <w:t xml:space="preserve"> of the review </w:t>
            </w:r>
            <w:r>
              <w:rPr>
                <w:rFonts w:cs="Calibri"/>
                <w:color w:val="000000"/>
                <w:szCs w:val="22"/>
              </w:rPr>
              <w:t>provides</w:t>
            </w:r>
            <w:r w:rsidR="00244C5E">
              <w:rPr>
                <w:rFonts w:cs="Calibri"/>
                <w:color w:val="000000"/>
                <w:szCs w:val="22"/>
              </w:rPr>
              <w:t xml:space="preserve"> information on </w:t>
            </w:r>
            <w:proofErr w:type="spellStart"/>
            <w:r w:rsidR="00244C5E">
              <w:rPr>
                <w:rFonts w:cs="Calibri"/>
                <w:color w:val="000000"/>
                <w:szCs w:val="22"/>
              </w:rPr>
              <w:t>Peppol</w:t>
            </w:r>
            <w:proofErr w:type="spellEnd"/>
            <w:r w:rsidR="00244C5E">
              <w:rPr>
                <w:rFonts w:cs="Calibri"/>
                <w:color w:val="000000"/>
                <w:szCs w:val="22"/>
              </w:rPr>
              <w:t xml:space="preserve"> </w:t>
            </w:r>
            <w:proofErr w:type="spellStart"/>
            <w:r w:rsidR="00244C5E">
              <w:rPr>
                <w:rFonts w:cs="Calibri"/>
                <w:color w:val="000000"/>
                <w:szCs w:val="22"/>
              </w:rPr>
              <w:t>eInvoicing</w:t>
            </w:r>
            <w:proofErr w:type="spellEnd"/>
            <w:r w:rsidR="00244C5E">
              <w:rPr>
                <w:rFonts w:cs="Calibri"/>
                <w:color w:val="000000"/>
                <w:szCs w:val="22"/>
              </w:rPr>
              <w:t xml:space="preserve"> and its use</w:t>
            </w:r>
            <w:r w:rsidR="00EE1EBE">
              <w:rPr>
                <w:rFonts w:cs="Calibri"/>
                <w:color w:val="000000"/>
                <w:szCs w:val="22"/>
              </w:rPr>
              <w:t xml:space="preserve"> in reporting.</w:t>
            </w:r>
          </w:p>
        </w:tc>
      </w:tr>
      <w:tr w:rsidR="005B5387" w14:paraId="444BC441" w14:textId="77777777" w:rsidTr="00367161">
        <w:trPr>
          <w:jc w:val="center"/>
        </w:trPr>
        <w:tc>
          <w:tcPr>
            <w:tcW w:w="9638" w:type="dxa"/>
            <w:shd w:val="clear" w:color="auto" w:fill="002C47" w:themeFill="accent1"/>
          </w:tcPr>
          <w:p w14:paraId="683B417A" w14:textId="65035126" w:rsidR="005B5387" w:rsidRDefault="005B5387" w:rsidP="002B5BDE">
            <w:pPr>
              <w:spacing w:before="0" w:after="0" w:line="259" w:lineRule="auto"/>
              <w:rPr>
                <w:rFonts w:cs="Calibri"/>
                <w:szCs w:val="22"/>
              </w:rPr>
            </w:pPr>
            <w:r w:rsidRPr="00307E50">
              <w:rPr>
                <w:b/>
                <w:color w:val="FFFFFF" w:themeColor="background1"/>
                <w:sz w:val="24"/>
              </w:rPr>
              <w:t>Question</w:t>
            </w:r>
          </w:p>
        </w:tc>
      </w:tr>
      <w:tr w:rsidR="005B5387" w14:paraId="34104D31" w14:textId="77777777" w:rsidTr="00367161">
        <w:trPr>
          <w:jc w:val="center"/>
        </w:trPr>
        <w:tc>
          <w:tcPr>
            <w:tcW w:w="9638" w:type="dxa"/>
          </w:tcPr>
          <w:p w14:paraId="18BA09A2" w14:textId="219D6705" w:rsidR="005B5387" w:rsidRDefault="005B5387" w:rsidP="001D6964">
            <w:pPr>
              <w:pStyle w:val="OutlineNumbered1"/>
              <w:numPr>
                <w:ilvl w:val="0"/>
                <w:numId w:val="25"/>
              </w:numPr>
              <w:ind w:hanging="485"/>
              <w:rPr>
                <w:rFonts w:cs="Calibri"/>
                <w:szCs w:val="22"/>
              </w:rPr>
            </w:pPr>
            <w:r>
              <w:rPr>
                <w:rFonts w:cs="Calibri"/>
                <w:szCs w:val="22"/>
              </w:rPr>
              <w:t xml:space="preserve">Do we still need to report on the </w:t>
            </w:r>
            <w:proofErr w:type="spellStart"/>
            <w:r>
              <w:rPr>
                <w:rFonts w:cs="Calibri"/>
                <w:szCs w:val="22"/>
              </w:rPr>
              <w:t>Peppol</w:t>
            </w:r>
            <w:proofErr w:type="spellEnd"/>
            <w:r>
              <w:rPr>
                <w:rFonts w:cs="Calibri"/>
                <w:szCs w:val="22"/>
              </w:rPr>
              <w:t xml:space="preserve"> metric, if we have not adopted </w:t>
            </w:r>
            <w:proofErr w:type="spellStart"/>
            <w:r>
              <w:rPr>
                <w:rFonts w:cs="Calibri"/>
                <w:szCs w:val="22"/>
              </w:rPr>
              <w:t>Peppol</w:t>
            </w:r>
            <w:proofErr w:type="spellEnd"/>
            <w:r>
              <w:rPr>
                <w:rFonts w:cs="Calibri"/>
                <w:szCs w:val="22"/>
              </w:rPr>
              <w:t xml:space="preserve"> invoicing, but we pay a supplier that has? - i.e., do both parties need to be on </w:t>
            </w:r>
            <w:proofErr w:type="spellStart"/>
            <w:r>
              <w:rPr>
                <w:rFonts w:cs="Calibri"/>
                <w:szCs w:val="22"/>
              </w:rPr>
              <w:t>Peppol</w:t>
            </w:r>
            <w:proofErr w:type="spellEnd"/>
            <w:r>
              <w:rPr>
                <w:rFonts w:cs="Calibri"/>
                <w:szCs w:val="22"/>
              </w:rPr>
              <w:t xml:space="preserve"> network? </w:t>
            </w:r>
          </w:p>
        </w:tc>
      </w:tr>
      <w:tr w:rsidR="005B5387" w14:paraId="04AB1E9D" w14:textId="77777777" w:rsidTr="00367161">
        <w:trPr>
          <w:jc w:val="center"/>
        </w:trPr>
        <w:tc>
          <w:tcPr>
            <w:tcW w:w="9638" w:type="dxa"/>
            <w:shd w:val="clear" w:color="auto" w:fill="002C47" w:themeFill="accent1"/>
          </w:tcPr>
          <w:p w14:paraId="628ADF73" w14:textId="0EB4F83B" w:rsidR="005B5387" w:rsidRDefault="00726188" w:rsidP="002B5BDE">
            <w:pPr>
              <w:spacing w:before="0" w:after="0" w:line="259" w:lineRule="auto"/>
              <w:rPr>
                <w:rFonts w:cs="Calibri"/>
                <w:szCs w:val="22"/>
              </w:rPr>
            </w:pPr>
            <w:r>
              <w:rPr>
                <w:b/>
                <w:color w:val="FFFFFF" w:themeColor="background1"/>
                <w:sz w:val="24"/>
              </w:rPr>
              <w:t>Response</w:t>
            </w:r>
          </w:p>
        </w:tc>
      </w:tr>
      <w:tr w:rsidR="005B5387" w14:paraId="436E9B0F" w14:textId="77777777" w:rsidTr="00782DEE">
        <w:trPr>
          <w:jc w:val="center"/>
        </w:trPr>
        <w:tc>
          <w:tcPr>
            <w:tcW w:w="9638" w:type="dxa"/>
            <w:tcBorders>
              <w:bottom w:val="single" w:sz="4" w:space="0" w:color="D9D9D9" w:themeColor="background1" w:themeShade="D9"/>
            </w:tcBorders>
          </w:tcPr>
          <w:p w14:paraId="2F59F5D9" w14:textId="6F1C99A9" w:rsidR="005B5387" w:rsidRDefault="00F50D3E" w:rsidP="002709EA">
            <w:pPr>
              <w:spacing w:before="0" w:line="259" w:lineRule="auto"/>
              <w:rPr>
                <w:rFonts w:cs="Calibri"/>
                <w:szCs w:val="22"/>
              </w:rPr>
            </w:pPr>
            <w:r>
              <w:rPr>
                <w:rFonts w:cs="Calibri"/>
                <w:szCs w:val="22"/>
              </w:rPr>
              <w:t xml:space="preserve">All reporting entities must report the </w:t>
            </w:r>
            <w:r w:rsidR="002709EA">
              <w:rPr>
                <w:rFonts w:cs="Calibri"/>
                <w:szCs w:val="22"/>
              </w:rPr>
              <w:t xml:space="preserve">proportion of </w:t>
            </w:r>
            <w:r w:rsidR="005B5387">
              <w:rPr>
                <w:rFonts w:cs="Calibri"/>
                <w:szCs w:val="22"/>
              </w:rPr>
              <w:t xml:space="preserve">payments </w:t>
            </w:r>
            <w:r w:rsidR="007B77A2">
              <w:rPr>
                <w:rFonts w:cs="Calibri"/>
                <w:szCs w:val="22"/>
              </w:rPr>
              <w:t xml:space="preserve">to small business suppliers that were </w:t>
            </w:r>
            <w:r w:rsidR="005B5387" w:rsidRPr="007B77A2">
              <w:rPr>
                <w:rFonts w:cs="Calibri"/>
                <w:szCs w:val="22"/>
              </w:rPr>
              <w:t>capable of being received</w:t>
            </w:r>
            <w:r w:rsidR="005B5387">
              <w:rPr>
                <w:rFonts w:cs="Calibri"/>
                <w:szCs w:val="22"/>
              </w:rPr>
              <w:t xml:space="preserve"> </w:t>
            </w:r>
            <w:r w:rsidR="002E08FC">
              <w:rPr>
                <w:rFonts w:cs="Calibri"/>
                <w:szCs w:val="22"/>
              </w:rPr>
              <w:t xml:space="preserve">via the </w:t>
            </w:r>
            <w:proofErr w:type="spellStart"/>
            <w:r w:rsidR="005B5387">
              <w:rPr>
                <w:rFonts w:cs="Calibri"/>
                <w:szCs w:val="22"/>
              </w:rPr>
              <w:t>Peppol</w:t>
            </w:r>
            <w:proofErr w:type="spellEnd"/>
            <w:r w:rsidR="005B5387">
              <w:rPr>
                <w:rFonts w:cs="Calibri"/>
                <w:szCs w:val="22"/>
              </w:rPr>
              <w:t xml:space="preserve"> network</w:t>
            </w:r>
            <w:r w:rsidR="006F2C6D">
              <w:rPr>
                <w:rFonts w:cs="Calibri"/>
                <w:szCs w:val="22"/>
              </w:rPr>
              <w:t>;</w:t>
            </w:r>
            <w:r w:rsidR="00533105">
              <w:rPr>
                <w:rFonts w:cs="Calibri"/>
                <w:szCs w:val="22"/>
              </w:rPr>
              <w:t xml:space="preserve"> </w:t>
            </w:r>
            <w:r w:rsidR="00021A53">
              <w:rPr>
                <w:rFonts w:cs="Calibri"/>
                <w:szCs w:val="22"/>
              </w:rPr>
              <w:t xml:space="preserve">see </w:t>
            </w:r>
            <w:r w:rsidR="00533105">
              <w:rPr>
                <w:rFonts w:cs="Calibri"/>
                <w:szCs w:val="22"/>
              </w:rPr>
              <w:t>Rules s 5</w:t>
            </w:r>
            <w:r w:rsidR="005B5387">
              <w:rPr>
                <w:rFonts w:cs="Calibri"/>
                <w:szCs w:val="22"/>
              </w:rPr>
              <w:t xml:space="preserve">. </w:t>
            </w:r>
          </w:p>
          <w:p w14:paraId="221CB506" w14:textId="2754E9E7" w:rsidR="008C522C" w:rsidRDefault="00A95A2C" w:rsidP="002709EA">
            <w:pPr>
              <w:spacing w:before="0" w:line="259" w:lineRule="auto"/>
              <w:rPr>
                <w:rFonts w:cs="Calibri"/>
                <w:szCs w:val="22"/>
              </w:rPr>
            </w:pPr>
            <w:r>
              <w:rPr>
                <w:rFonts w:cs="Calibri"/>
                <w:szCs w:val="22"/>
              </w:rPr>
              <w:t xml:space="preserve">The metric requires reporting based on the system capability of the reporting entity. </w:t>
            </w:r>
            <w:r w:rsidR="008C522C">
              <w:rPr>
                <w:rFonts w:cs="Calibri"/>
                <w:szCs w:val="22"/>
              </w:rPr>
              <w:t>For illustrative purposes:</w:t>
            </w:r>
          </w:p>
          <w:p w14:paraId="0D489D87" w14:textId="42671988" w:rsidR="008C522C" w:rsidRDefault="002E08FC" w:rsidP="008C522C">
            <w:pPr>
              <w:pStyle w:val="Bullet"/>
            </w:pPr>
            <w:r w:rsidRPr="008C522C">
              <w:t xml:space="preserve">If a reporting entity </w:t>
            </w:r>
            <w:r w:rsidR="00A26A3C">
              <w:t>was</w:t>
            </w:r>
            <w:r w:rsidRPr="008C522C">
              <w:t xml:space="preserve"> not connected to the </w:t>
            </w:r>
            <w:proofErr w:type="spellStart"/>
            <w:r w:rsidRPr="008C522C">
              <w:t>Peppol</w:t>
            </w:r>
            <w:proofErr w:type="spellEnd"/>
            <w:r w:rsidRPr="008C522C">
              <w:t xml:space="preserve"> network</w:t>
            </w:r>
            <w:r w:rsidR="008443A4">
              <w:t>,</w:t>
            </w:r>
            <w:r w:rsidRPr="008C522C">
              <w:t xml:space="preserve"> its proportion would be </w:t>
            </w:r>
            <w:r w:rsidR="006D12E1" w:rsidRPr="008C522C">
              <w:t>zero (or 0%).</w:t>
            </w:r>
          </w:p>
          <w:p w14:paraId="34A89BD2" w14:textId="3E264D46" w:rsidR="005B5387" w:rsidRPr="00A26A3C" w:rsidRDefault="000C57BC" w:rsidP="00A26A3C">
            <w:pPr>
              <w:pStyle w:val="Bullet"/>
            </w:pPr>
            <w:r w:rsidRPr="008C522C">
              <w:rPr>
                <w:rFonts w:cs="Calibri"/>
                <w:szCs w:val="22"/>
              </w:rPr>
              <w:t xml:space="preserve">If a reporting entity </w:t>
            </w:r>
            <w:proofErr w:type="gramStart"/>
            <w:r w:rsidR="00A26A3C">
              <w:rPr>
                <w:rFonts w:cs="Calibri"/>
                <w:szCs w:val="22"/>
              </w:rPr>
              <w:t>was</w:t>
            </w:r>
            <w:r w:rsidR="00607B39" w:rsidRPr="008C522C">
              <w:rPr>
                <w:rFonts w:cs="Calibri"/>
                <w:szCs w:val="22"/>
              </w:rPr>
              <w:t xml:space="preserve"> capable </w:t>
            </w:r>
            <w:r w:rsidR="00033CFC">
              <w:rPr>
                <w:rFonts w:cs="Calibri"/>
                <w:szCs w:val="22"/>
              </w:rPr>
              <w:t>of</w:t>
            </w:r>
            <w:r w:rsidR="00033CFC" w:rsidRPr="008C522C">
              <w:rPr>
                <w:rFonts w:cs="Calibri"/>
                <w:szCs w:val="22"/>
              </w:rPr>
              <w:t xml:space="preserve"> </w:t>
            </w:r>
            <w:r w:rsidR="00607B39" w:rsidRPr="008C522C">
              <w:rPr>
                <w:rFonts w:cs="Calibri"/>
                <w:szCs w:val="22"/>
              </w:rPr>
              <w:t>receiving</w:t>
            </w:r>
            <w:proofErr w:type="gramEnd"/>
            <w:r w:rsidR="00607B39" w:rsidRPr="008C522C">
              <w:rPr>
                <w:rFonts w:cs="Calibri"/>
                <w:szCs w:val="22"/>
              </w:rPr>
              <w:t xml:space="preserve"> all invoices via the </w:t>
            </w:r>
            <w:proofErr w:type="spellStart"/>
            <w:r w:rsidR="00607B39" w:rsidRPr="008C522C">
              <w:rPr>
                <w:rFonts w:cs="Calibri"/>
                <w:szCs w:val="22"/>
              </w:rPr>
              <w:t>Peppol</w:t>
            </w:r>
            <w:proofErr w:type="spellEnd"/>
            <w:r w:rsidR="00607B39" w:rsidRPr="008C522C">
              <w:rPr>
                <w:rFonts w:cs="Calibri"/>
                <w:szCs w:val="22"/>
              </w:rPr>
              <w:t xml:space="preserve"> </w:t>
            </w:r>
            <w:r w:rsidR="008443A4">
              <w:rPr>
                <w:rFonts w:cs="Calibri"/>
                <w:szCs w:val="22"/>
              </w:rPr>
              <w:t xml:space="preserve">network, </w:t>
            </w:r>
            <w:r w:rsidR="008C522C">
              <w:rPr>
                <w:rFonts w:cs="Calibri"/>
                <w:szCs w:val="22"/>
              </w:rPr>
              <w:t xml:space="preserve">its proportion would be </w:t>
            </w:r>
            <w:r w:rsidR="00A26A3C">
              <w:rPr>
                <w:rFonts w:cs="Calibri"/>
                <w:szCs w:val="22"/>
              </w:rPr>
              <w:t>one hundred percent (100%), even if small businesses elected not to invoice via the network.</w:t>
            </w:r>
          </w:p>
        </w:tc>
      </w:tr>
      <w:tr w:rsidR="00782DEE" w14:paraId="53FE408D" w14:textId="77777777" w:rsidTr="00782DEE">
        <w:trPr>
          <w:jc w:val="center"/>
        </w:trPr>
        <w:tc>
          <w:tcPr>
            <w:tcW w:w="9638" w:type="dxa"/>
            <w:tcBorders>
              <w:left w:val="nil"/>
              <w:bottom w:val="nil"/>
              <w:right w:val="nil"/>
            </w:tcBorders>
          </w:tcPr>
          <w:p w14:paraId="7FA40FC7" w14:textId="77777777" w:rsidR="00782DEE" w:rsidRDefault="00782DEE" w:rsidP="002709EA">
            <w:pPr>
              <w:spacing w:before="0" w:line="259" w:lineRule="auto"/>
              <w:rPr>
                <w:rFonts w:cs="Calibri"/>
                <w:szCs w:val="22"/>
              </w:rPr>
            </w:pPr>
          </w:p>
        </w:tc>
      </w:tr>
      <w:tr w:rsidR="002F38AC" w14:paraId="07AE8B55" w14:textId="77777777" w:rsidTr="00782DEE">
        <w:trPr>
          <w:jc w:val="center"/>
        </w:trPr>
        <w:tc>
          <w:tcPr>
            <w:tcW w:w="9638" w:type="dxa"/>
            <w:tcBorders>
              <w:top w:val="nil"/>
            </w:tcBorders>
            <w:shd w:val="clear" w:color="auto" w:fill="E5E9EF"/>
          </w:tcPr>
          <w:p w14:paraId="10076B5D" w14:textId="29A80109" w:rsidR="002F38AC" w:rsidRPr="00CB4DF4" w:rsidRDefault="002F38AC" w:rsidP="002B5BDE">
            <w:pPr>
              <w:pStyle w:val="Heading3"/>
              <w:spacing w:before="0" w:after="0" w:line="259" w:lineRule="auto"/>
            </w:pPr>
            <w:bookmarkStart w:id="89" w:name="_Toc178596603"/>
            <w:r w:rsidRPr="002F38AC">
              <w:lastRenderedPageBreak/>
              <w:t>Entity Inform</w:t>
            </w:r>
            <w:r w:rsidR="006E7D23">
              <w:t>a</w:t>
            </w:r>
            <w:r w:rsidRPr="002F38AC">
              <w:t>t</w:t>
            </w:r>
            <w:r w:rsidR="006E7D23">
              <w:t>i</w:t>
            </w:r>
            <w:r w:rsidRPr="002F38AC">
              <w:t>on - ANZSIC</w:t>
            </w:r>
            <w:bookmarkEnd w:id="89"/>
          </w:p>
        </w:tc>
      </w:tr>
      <w:tr w:rsidR="00993716" w14:paraId="62A50771" w14:textId="77777777" w:rsidTr="00367161">
        <w:trPr>
          <w:tblHeader/>
          <w:jc w:val="center"/>
        </w:trPr>
        <w:tc>
          <w:tcPr>
            <w:tcW w:w="9638" w:type="dxa"/>
            <w:shd w:val="clear" w:color="auto" w:fill="2C384A"/>
          </w:tcPr>
          <w:p w14:paraId="52495740" w14:textId="4FA3A622" w:rsidR="00993716" w:rsidRPr="00EC28C4" w:rsidRDefault="00993716" w:rsidP="002B5BDE">
            <w:pPr>
              <w:spacing w:before="0" w:after="0" w:line="259" w:lineRule="auto"/>
              <w:rPr>
                <w:b/>
                <w:color w:val="FFFFFF" w:themeColor="background1"/>
                <w:sz w:val="24"/>
              </w:rPr>
            </w:pPr>
            <w:r>
              <w:rPr>
                <w:b/>
                <w:color w:val="FFFFFF" w:themeColor="background1"/>
                <w:sz w:val="24"/>
              </w:rPr>
              <w:t>Question</w:t>
            </w:r>
            <w:r w:rsidR="00726188">
              <w:rPr>
                <w:b/>
                <w:color w:val="FFFFFF" w:themeColor="background1"/>
                <w:sz w:val="24"/>
              </w:rPr>
              <w:t>s</w:t>
            </w:r>
          </w:p>
        </w:tc>
      </w:tr>
      <w:tr w:rsidR="00757C44" w14:paraId="769E6B0B" w14:textId="77777777" w:rsidTr="00367161">
        <w:trPr>
          <w:jc w:val="center"/>
        </w:trPr>
        <w:tc>
          <w:tcPr>
            <w:tcW w:w="9638" w:type="dxa"/>
          </w:tcPr>
          <w:p w14:paraId="7139AE0A" w14:textId="5BBB845B" w:rsidR="00757C44" w:rsidRPr="00757C44" w:rsidRDefault="00757C44" w:rsidP="001D6964">
            <w:pPr>
              <w:pStyle w:val="OutlineNumbered1"/>
              <w:numPr>
                <w:ilvl w:val="0"/>
                <w:numId w:val="23"/>
              </w:numPr>
              <w:ind w:hanging="485"/>
              <w:rPr>
                <w:color w:val="000000"/>
              </w:rPr>
            </w:pPr>
            <w:r>
              <w:t>What if entities have different industry codes. Will submissions still be grouped</w:t>
            </w:r>
            <w:r w:rsidR="008443A4">
              <w:t xml:space="preserve"> by</w:t>
            </w:r>
            <w:r>
              <w:t xml:space="preserve"> industry arenas? </w:t>
            </w:r>
          </w:p>
          <w:p w14:paraId="38A03F05" w14:textId="2C7DA8EA" w:rsidR="00757C44" w:rsidRPr="00757C44" w:rsidRDefault="00757C44" w:rsidP="001D6964">
            <w:pPr>
              <w:pStyle w:val="OutlineNumbered1"/>
              <w:numPr>
                <w:ilvl w:val="0"/>
                <w:numId w:val="23"/>
              </w:numPr>
              <w:ind w:hanging="485"/>
              <w:rPr>
                <w:color w:val="000000"/>
              </w:rPr>
            </w:pPr>
            <w:r>
              <w:rPr>
                <w:rFonts w:cs="Calibri"/>
                <w:szCs w:val="22"/>
              </w:rPr>
              <w:t>If we have multiple industry codes under the one controlling entity and we are reporting at a controlling entity, how do we specify all the data at industry level? </w:t>
            </w:r>
          </w:p>
        </w:tc>
      </w:tr>
      <w:tr w:rsidR="00ED50AB" w14:paraId="46498311" w14:textId="77777777" w:rsidTr="2E470220">
        <w:trPr>
          <w:jc w:val="center"/>
        </w:trPr>
        <w:tc>
          <w:tcPr>
            <w:tcW w:w="9638" w:type="dxa"/>
            <w:shd w:val="clear" w:color="auto" w:fill="002C47" w:themeFill="accent1"/>
          </w:tcPr>
          <w:p w14:paraId="39C1438E" w14:textId="50A93151" w:rsidR="00ED50AB" w:rsidRDefault="00726188" w:rsidP="002B5BDE">
            <w:pPr>
              <w:pStyle w:val="OutlineNumbered1"/>
              <w:numPr>
                <w:ilvl w:val="0"/>
                <w:numId w:val="0"/>
              </w:numPr>
              <w:spacing w:after="0"/>
              <w:ind w:left="851" w:hanging="851"/>
            </w:pPr>
            <w:r>
              <w:rPr>
                <w:b/>
                <w:color w:val="FFFFFF" w:themeColor="background1"/>
                <w:sz w:val="24"/>
              </w:rPr>
              <w:t>Response</w:t>
            </w:r>
          </w:p>
        </w:tc>
      </w:tr>
      <w:tr w:rsidR="00ED50AB" w14:paraId="4DDD3A85" w14:textId="77777777" w:rsidTr="00367161">
        <w:trPr>
          <w:jc w:val="center"/>
        </w:trPr>
        <w:tc>
          <w:tcPr>
            <w:tcW w:w="9638" w:type="dxa"/>
          </w:tcPr>
          <w:p w14:paraId="68CE4FEE" w14:textId="0E5E822E" w:rsidR="00ED50AB" w:rsidRPr="00D13DCD" w:rsidRDefault="00287227" w:rsidP="00D13DCD">
            <w:pPr>
              <w:spacing w:before="0" w:line="259" w:lineRule="auto"/>
              <w:rPr>
                <w:rFonts w:cs="Calibri"/>
                <w:color w:val="000000"/>
                <w:szCs w:val="22"/>
              </w:rPr>
            </w:pPr>
            <w:r>
              <w:rPr>
                <w:rFonts w:cs="Calibri"/>
                <w:color w:val="000000"/>
                <w:szCs w:val="22"/>
              </w:rPr>
              <w:t xml:space="preserve">Entities </w:t>
            </w:r>
            <w:r w:rsidR="00427935">
              <w:rPr>
                <w:rFonts w:cs="Calibri"/>
                <w:color w:val="000000"/>
                <w:szCs w:val="22"/>
              </w:rPr>
              <w:t xml:space="preserve">will be </w:t>
            </w:r>
            <w:r>
              <w:rPr>
                <w:rFonts w:cs="Calibri"/>
                <w:color w:val="000000"/>
                <w:szCs w:val="22"/>
              </w:rPr>
              <w:t xml:space="preserve">required to provide </w:t>
            </w:r>
            <w:r w:rsidR="00ED50AB">
              <w:rPr>
                <w:rFonts w:cs="Calibri"/>
                <w:color w:val="000000"/>
                <w:szCs w:val="22"/>
              </w:rPr>
              <w:t>t</w:t>
            </w:r>
            <w:r w:rsidR="00ED50AB" w:rsidRPr="003C6883">
              <w:rPr>
                <w:rFonts w:cs="Calibri"/>
                <w:color w:val="000000"/>
                <w:szCs w:val="22"/>
              </w:rPr>
              <w:t xml:space="preserve">he </w:t>
            </w:r>
            <w:hyperlink r:id="rId24" w:history="1">
              <w:r w:rsidR="00ED50AB" w:rsidRPr="003C6883">
                <w:rPr>
                  <w:rStyle w:val="Hyperlink"/>
                  <w:rFonts w:cs="Calibri"/>
                  <w:szCs w:val="22"/>
                </w:rPr>
                <w:t>Australian and New Zealand Standard Industrial Classification</w:t>
              </w:r>
            </w:hyperlink>
            <w:r w:rsidR="00ED50AB">
              <w:rPr>
                <w:rFonts w:cs="Calibri"/>
                <w:color w:val="000000"/>
                <w:szCs w:val="22"/>
              </w:rPr>
              <w:t xml:space="preserve"> (ANZSIC) </w:t>
            </w:r>
            <w:r w:rsidR="00B73CDA">
              <w:rPr>
                <w:rFonts w:cs="Calibri"/>
                <w:color w:val="000000"/>
                <w:szCs w:val="22"/>
              </w:rPr>
              <w:t xml:space="preserve">subdivision </w:t>
            </w:r>
            <w:r>
              <w:rPr>
                <w:rFonts w:cs="Calibri"/>
                <w:color w:val="000000"/>
                <w:szCs w:val="22"/>
              </w:rPr>
              <w:t>for its primary industry</w:t>
            </w:r>
            <w:r w:rsidR="006F2C6D" w:rsidRPr="003F1654">
              <w:rPr>
                <w:rFonts w:cs="Calibri"/>
                <w:color w:val="000000"/>
                <w:szCs w:val="22"/>
              </w:rPr>
              <w:t xml:space="preserve">; </w:t>
            </w:r>
            <w:r w:rsidR="0015123C">
              <w:rPr>
                <w:rFonts w:cs="Calibri"/>
                <w:color w:val="000000"/>
                <w:szCs w:val="22"/>
              </w:rPr>
              <w:t xml:space="preserve">see </w:t>
            </w:r>
            <w:r w:rsidR="006F2C6D" w:rsidRPr="003F1654">
              <w:rPr>
                <w:rFonts w:cs="Calibri"/>
                <w:color w:val="000000"/>
                <w:szCs w:val="22"/>
              </w:rPr>
              <w:t>Rules s</w:t>
            </w:r>
            <w:r w:rsidR="004D0589" w:rsidRPr="003F1654">
              <w:rPr>
                <w:rFonts w:cs="Calibri"/>
                <w:color w:val="000000"/>
                <w:szCs w:val="22"/>
              </w:rPr>
              <w:t xml:space="preserve"> </w:t>
            </w:r>
            <w:r w:rsidR="003F1654" w:rsidRPr="003F1654">
              <w:rPr>
                <w:rFonts w:cs="Calibri"/>
                <w:color w:val="000000"/>
                <w:szCs w:val="22"/>
              </w:rPr>
              <w:t>10(1)(f)</w:t>
            </w:r>
            <w:r w:rsidRPr="003F1654">
              <w:rPr>
                <w:rFonts w:cs="Calibri"/>
                <w:color w:val="000000"/>
                <w:szCs w:val="22"/>
              </w:rPr>
              <w:t>.</w:t>
            </w:r>
            <w:r w:rsidR="00B73CDA">
              <w:rPr>
                <w:rFonts w:cs="Calibri"/>
                <w:color w:val="000000"/>
                <w:szCs w:val="22"/>
              </w:rPr>
              <w:t xml:space="preserve"> Reporting entities will be classified and categorised on the Payment Times Reporting Register </w:t>
            </w:r>
            <w:r w:rsidR="00D13DCD">
              <w:rPr>
                <w:rFonts w:cs="Calibri"/>
                <w:color w:val="000000"/>
                <w:szCs w:val="22"/>
              </w:rPr>
              <w:t>based on its ANZSIC Division</w:t>
            </w:r>
            <w:r w:rsidR="006F2C6D">
              <w:rPr>
                <w:rFonts w:cs="Calibri"/>
                <w:color w:val="000000"/>
                <w:szCs w:val="22"/>
              </w:rPr>
              <w:t>.</w:t>
            </w:r>
          </w:p>
        </w:tc>
      </w:tr>
      <w:tr w:rsidR="006E7D23" w14:paraId="19B8BA01" w14:textId="77777777" w:rsidTr="00367161">
        <w:trPr>
          <w:jc w:val="center"/>
        </w:trPr>
        <w:tc>
          <w:tcPr>
            <w:tcW w:w="9638" w:type="dxa"/>
            <w:shd w:val="clear" w:color="auto" w:fill="E5E9EF"/>
          </w:tcPr>
          <w:p w14:paraId="24B39DC8" w14:textId="710B2734" w:rsidR="006E7D23" w:rsidRPr="00CB4DF4" w:rsidRDefault="003101CC" w:rsidP="002B5BDE">
            <w:pPr>
              <w:pStyle w:val="Heading3"/>
              <w:spacing w:before="0" w:after="0" w:line="259" w:lineRule="auto"/>
            </w:pPr>
            <w:bookmarkStart w:id="90" w:name="_Toc178596604"/>
            <w:r>
              <w:t>Foreign Entity Transactions</w:t>
            </w:r>
            <w:bookmarkEnd w:id="90"/>
          </w:p>
        </w:tc>
      </w:tr>
      <w:tr w:rsidR="00433822" w14:paraId="5DB1B271" w14:textId="77777777" w:rsidTr="00367161">
        <w:trPr>
          <w:tblHeader/>
          <w:jc w:val="center"/>
        </w:trPr>
        <w:tc>
          <w:tcPr>
            <w:tcW w:w="9638" w:type="dxa"/>
            <w:shd w:val="clear" w:color="auto" w:fill="2C384A"/>
          </w:tcPr>
          <w:p w14:paraId="33D3C177" w14:textId="05D5C88C" w:rsidR="00433822" w:rsidRPr="00EC28C4" w:rsidRDefault="00433822" w:rsidP="002B5BDE">
            <w:pPr>
              <w:spacing w:before="0" w:after="0" w:line="259" w:lineRule="auto"/>
              <w:rPr>
                <w:b/>
                <w:color w:val="FFFFFF" w:themeColor="background1"/>
                <w:sz w:val="24"/>
              </w:rPr>
            </w:pPr>
            <w:r>
              <w:rPr>
                <w:b/>
                <w:color w:val="FFFFFF" w:themeColor="background1"/>
                <w:sz w:val="24"/>
              </w:rPr>
              <w:t>Question</w:t>
            </w:r>
            <w:r w:rsidR="00726188">
              <w:rPr>
                <w:b/>
                <w:color w:val="FFFFFF" w:themeColor="background1"/>
                <w:sz w:val="24"/>
              </w:rPr>
              <w:t>s</w:t>
            </w:r>
          </w:p>
        </w:tc>
      </w:tr>
      <w:tr w:rsidR="00433822" w14:paraId="6FD22D69" w14:textId="77777777" w:rsidTr="00367161">
        <w:trPr>
          <w:jc w:val="center"/>
        </w:trPr>
        <w:tc>
          <w:tcPr>
            <w:tcW w:w="9638" w:type="dxa"/>
          </w:tcPr>
          <w:p w14:paraId="697D2141" w14:textId="77777777" w:rsidR="00433822" w:rsidRDefault="00433822" w:rsidP="001D6964">
            <w:pPr>
              <w:pStyle w:val="OutlineNumbered1"/>
              <w:numPr>
                <w:ilvl w:val="0"/>
                <w:numId w:val="26"/>
              </w:numPr>
              <w:ind w:hanging="485"/>
            </w:pPr>
            <w:r>
              <w:t>We have overseas entities that are consolidated with no invoices paid to AU suppliers. Are those entities excluded from the calculations? </w:t>
            </w:r>
          </w:p>
          <w:p w14:paraId="04D80F5E" w14:textId="72168482" w:rsidR="00444CBA" w:rsidRDefault="00444CBA" w:rsidP="4E2BB930">
            <w:pPr>
              <w:pStyle w:val="OutlineNumbered1"/>
              <w:ind w:hanging="485"/>
            </w:pPr>
            <w:r>
              <w:t xml:space="preserve">On Reform FAQs slide 1, Can you please clarify the rules regarding the statement:  Payments by foreign entities to </w:t>
            </w:r>
            <w:r w:rsidR="510A1BD8">
              <w:t>Aus</w:t>
            </w:r>
            <w:r w:rsidR="58796799">
              <w:t>tralian</w:t>
            </w:r>
            <w:r>
              <w:t xml:space="preserve"> small business suppliers are only reportable if an ABN is recorded - can you clarify the definition of "recorded" in this statement please?</w:t>
            </w:r>
          </w:p>
        </w:tc>
      </w:tr>
      <w:tr w:rsidR="00433822" w14:paraId="289CFD78" w14:textId="77777777" w:rsidTr="00367161">
        <w:trPr>
          <w:jc w:val="center"/>
        </w:trPr>
        <w:tc>
          <w:tcPr>
            <w:tcW w:w="9638" w:type="dxa"/>
            <w:shd w:val="clear" w:color="auto" w:fill="002C47" w:themeFill="accent1"/>
          </w:tcPr>
          <w:p w14:paraId="3D4C065D" w14:textId="3CF09941" w:rsidR="00433822" w:rsidRDefault="00726188" w:rsidP="002B5BDE">
            <w:pPr>
              <w:spacing w:before="0" w:after="0" w:line="259" w:lineRule="auto"/>
              <w:rPr>
                <w:rFonts w:cs="Calibri"/>
                <w:szCs w:val="22"/>
              </w:rPr>
            </w:pPr>
            <w:r>
              <w:rPr>
                <w:b/>
                <w:color w:val="FFFFFF" w:themeColor="background1"/>
                <w:sz w:val="24"/>
              </w:rPr>
              <w:t>Response</w:t>
            </w:r>
          </w:p>
        </w:tc>
      </w:tr>
      <w:tr w:rsidR="00433822" w14:paraId="142CB4F7" w14:textId="77777777" w:rsidTr="00367161">
        <w:trPr>
          <w:jc w:val="center"/>
        </w:trPr>
        <w:tc>
          <w:tcPr>
            <w:tcW w:w="9638" w:type="dxa"/>
          </w:tcPr>
          <w:p w14:paraId="1D46450D" w14:textId="64A50607" w:rsidR="00FF79CF" w:rsidRDefault="00202EE4" w:rsidP="001D6964">
            <w:pPr>
              <w:spacing w:before="0" w:line="259" w:lineRule="auto"/>
              <w:rPr>
                <w:rFonts w:cs="Calibri"/>
                <w:szCs w:val="22"/>
              </w:rPr>
            </w:pPr>
            <w:r>
              <w:rPr>
                <w:rFonts w:cs="Calibri"/>
                <w:szCs w:val="22"/>
              </w:rPr>
              <w:t xml:space="preserve">Only payments to Australian suppliers </w:t>
            </w:r>
            <w:r w:rsidR="000C244B">
              <w:rPr>
                <w:rFonts w:cs="Calibri"/>
                <w:szCs w:val="22"/>
              </w:rPr>
              <w:t xml:space="preserve">with an Australian Business Number </w:t>
            </w:r>
            <w:r w:rsidR="00F81C78">
              <w:rPr>
                <w:rFonts w:cs="Calibri"/>
                <w:szCs w:val="22"/>
              </w:rPr>
              <w:t>(</w:t>
            </w:r>
            <w:r w:rsidR="00F81C78" w:rsidRPr="00832594">
              <w:rPr>
                <w:rFonts w:cs="Calibri"/>
                <w:b/>
                <w:bCs/>
                <w:szCs w:val="22"/>
              </w:rPr>
              <w:t>ABN</w:t>
            </w:r>
            <w:r w:rsidR="00F81C78">
              <w:rPr>
                <w:rFonts w:cs="Calibri"/>
                <w:szCs w:val="22"/>
              </w:rPr>
              <w:t xml:space="preserve">) </w:t>
            </w:r>
            <w:r w:rsidR="000C244B">
              <w:rPr>
                <w:rFonts w:cs="Calibri"/>
                <w:szCs w:val="22"/>
              </w:rPr>
              <w:t>made under a trade credit arr</w:t>
            </w:r>
            <w:r w:rsidR="00FF79CF">
              <w:rPr>
                <w:rFonts w:cs="Calibri"/>
                <w:szCs w:val="22"/>
              </w:rPr>
              <w:t xml:space="preserve">angement </w:t>
            </w:r>
            <w:r w:rsidR="009A0628">
              <w:rPr>
                <w:rFonts w:cs="Calibri"/>
                <w:szCs w:val="22"/>
              </w:rPr>
              <w:t xml:space="preserve">are to be </w:t>
            </w:r>
            <w:r w:rsidR="004F36A4">
              <w:rPr>
                <w:rFonts w:cs="Calibri"/>
                <w:szCs w:val="22"/>
              </w:rPr>
              <w:t>reported</w:t>
            </w:r>
            <w:r w:rsidR="006F2C6D" w:rsidRPr="009A1A71">
              <w:rPr>
                <w:rFonts w:cs="Calibri"/>
                <w:szCs w:val="22"/>
              </w:rPr>
              <w:t xml:space="preserve">; </w:t>
            </w:r>
            <w:r w:rsidR="0011208D">
              <w:rPr>
                <w:rFonts w:cs="Calibri"/>
                <w:szCs w:val="22"/>
              </w:rPr>
              <w:t xml:space="preserve">see </w:t>
            </w:r>
            <w:r w:rsidR="006F2C6D" w:rsidRPr="009A1A71">
              <w:rPr>
                <w:rFonts w:cs="Calibri"/>
                <w:szCs w:val="22"/>
              </w:rPr>
              <w:t>Rules</w:t>
            </w:r>
            <w:r w:rsidR="009A1A71" w:rsidRPr="009A1A71">
              <w:rPr>
                <w:rFonts w:cs="Calibri"/>
                <w:szCs w:val="22"/>
              </w:rPr>
              <w:t xml:space="preserve"> s 13(4).</w:t>
            </w:r>
          </w:p>
          <w:p w14:paraId="606FAD22" w14:textId="64EF8269" w:rsidR="009A445F" w:rsidRDefault="00A835C9" w:rsidP="001D6964">
            <w:pPr>
              <w:spacing w:before="0" w:line="259" w:lineRule="auto"/>
              <w:rPr>
                <w:rFonts w:cs="Calibri"/>
                <w:szCs w:val="22"/>
              </w:rPr>
            </w:pPr>
            <w:r>
              <w:rPr>
                <w:rFonts w:cs="Calibri"/>
                <w:szCs w:val="22"/>
              </w:rPr>
              <w:t xml:space="preserve">If a foreign </w:t>
            </w:r>
            <w:r w:rsidR="009A445F">
              <w:rPr>
                <w:rFonts w:cs="Calibri"/>
                <w:szCs w:val="22"/>
              </w:rPr>
              <w:t>entity controlled by a reporting entity does not make payments to Australian suppliers, it will not have reportable payments.</w:t>
            </w:r>
          </w:p>
          <w:p w14:paraId="2CFE6441" w14:textId="77777777" w:rsidR="00F63C55" w:rsidRDefault="009A445F" w:rsidP="001D6964">
            <w:pPr>
              <w:spacing w:before="0" w:line="259" w:lineRule="auto"/>
              <w:rPr>
                <w:rFonts w:cs="Calibri"/>
                <w:szCs w:val="22"/>
              </w:rPr>
            </w:pPr>
            <w:r>
              <w:rPr>
                <w:rFonts w:cs="Calibri"/>
                <w:szCs w:val="22"/>
              </w:rPr>
              <w:t>If a fore</w:t>
            </w:r>
            <w:r w:rsidR="0022326C">
              <w:rPr>
                <w:rFonts w:cs="Calibri"/>
                <w:szCs w:val="22"/>
              </w:rPr>
              <w:t xml:space="preserve">ign entity controlled by a reporting entity makes payments to an Australian supplier </w:t>
            </w:r>
            <w:r w:rsidR="0040514F">
              <w:rPr>
                <w:rFonts w:cs="Calibri"/>
                <w:szCs w:val="22"/>
              </w:rPr>
              <w:t xml:space="preserve">the payment </w:t>
            </w:r>
            <w:r w:rsidR="00454EA0">
              <w:rPr>
                <w:rFonts w:cs="Calibri"/>
                <w:szCs w:val="22"/>
              </w:rPr>
              <w:t xml:space="preserve">will be reportable </w:t>
            </w:r>
            <w:r w:rsidR="0031474D">
              <w:rPr>
                <w:rFonts w:cs="Calibri"/>
                <w:szCs w:val="22"/>
              </w:rPr>
              <w:t xml:space="preserve">provided it meets the other relevant criteria </w:t>
            </w:r>
            <w:r w:rsidR="000C2A83">
              <w:rPr>
                <w:rFonts w:cs="Calibri"/>
                <w:szCs w:val="22"/>
              </w:rPr>
              <w:t xml:space="preserve">(made under a trade credit arrangement, </w:t>
            </w:r>
            <w:r w:rsidR="00CB5523">
              <w:rPr>
                <w:rFonts w:cs="Calibri"/>
                <w:szCs w:val="22"/>
              </w:rPr>
              <w:t>an ABN was recorded for the payment</w:t>
            </w:r>
            <w:r w:rsidR="00543DED">
              <w:rPr>
                <w:rFonts w:cs="Calibri"/>
                <w:szCs w:val="22"/>
              </w:rPr>
              <w:t xml:space="preserve">, </w:t>
            </w:r>
            <w:r w:rsidR="00CB5523">
              <w:rPr>
                <w:rFonts w:cs="Calibri"/>
                <w:szCs w:val="22"/>
              </w:rPr>
              <w:t xml:space="preserve">the </w:t>
            </w:r>
            <w:r w:rsidR="00543DED">
              <w:rPr>
                <w:rFonts w:cs="Calibri"/>
                <w:szCs w:val="22"/>
              </w:rPr>
              <w:t>payment was not an excluded payment etc).</w:t>
            </w:r>
          </w:p>
          <w:p w14:paraId="3A777768" w14:textId="57731C48" w:rsidR="00433822" w:rsidRPr="002526AA" w:rsidRDefault="00F63C55" w:rsidP="001D6964">
            <w:pPr>
              <w:spacing w:before="0" w:line="259" w:lineRule="auto"/>
              <w:rPr>
                <w:rFonts w:cstheme="minorHAnsi"/>
                <w:szCs w:val="22"/>
              </w:rPr>
            </w:pPr>
            <w:r>
              <w:rPr>
                <w:rFonts w:cs="Calibri"/>
                <w:szCs w:val="22"/>
              </w:rPr>
              <w:t xml:space="preserve">If a </w:t>
            </w:r>
            <w:r w:rsidR="00457CFC">
              <w:rPr>
                <w:rFonts w:cs="Calibri"/>
                <w:szCs w:val="22"/>
              </w:rPr>
              <w:t xml:space="preserve">foreign </w:t>
            </w:r>
            <w:r w:rsidR="00EC770D">
              <w:rPr>
                <w:rFonts w:cs="Calibri"/>
                <w:szCs w:val="22"/>
              </w:rPr>
              <w:t xml:space="preserve">controlled entity </w:t>
            </w:r>
            <w:r>
              <w:rPr>
                <w:rFonts w:cs="Calibri"/>
                <w:szCs w:val="22"/>
              </w:rPr>
              <w:t xml:space="preserve">does not have </w:t>
            </w:r>
            <w:r w:rsidR="00EC770D">
              <w:rPr>
                <w:rFonts w:cs="Calibri"/>
                <w:szCs w:val="22"/>
              </w:rPr>
              <w:t xml:space="preserve">the </w:t>
            </w:r>
            <w:r>
              <w:rPr>
                <w:rFonts w:cs="Calibri"/>
                <w:szCs w:val="22"/>
              </w:rPr>
              <w:t xml:space="preserve">ABN </w:t>
            </w:r>
            <w:r w:rsidR="00EC770D">
              <w:rPr>
                <w:rFonts w:cs="Calibri"/>
                <w:szCs w:val="22"/>
              </w:rPr>
              <w:t xml:space="preserve">of the supplier </w:t>
            </w:r>
            <w:r>
              <w:rPr>
                <w:rFonts w:cs="Calibri"/>
                <w:szCs w:val="22"/>
              </w:rPr>
              <w:t>for the payment</w:t>
            </w:r>
            <w:r w:rsidR="00457CFC">
              <w:rPr>
                <w:rFonts w:cs="Calibri"/>
                <w:szCs w:val="22"/>
              </w:rPr>
              <w:t xml:space="preserve">, then the payment is not </w:t>
            </w:r>
            <w:r w:rsidR="0055028F">
              <w:rPr>
                <w:rFonts w:cs="Calibri"/>
                <w:szCs w:val="22"/>
              </w:rPr>
              <w:t xml:space="preserve">reportable; </w:t>
            </w:r>
            <w:r w:rsidR="00DA5853">
              <w:rPr>
                <w:rFonts w:cs="Calibri"/>
                <w:szCs w:val="22"/>
              </w:rPr>
              <w:t xml:space="preserve">see </w:t>
            </w:r>
            <w:r w:rsidR="00B75F41">
              <w:rPr>
                <w:rFonts w:cs="Calibri"/>
                <w:szCs w:val="22"/>
              </w:rPr>
              <w:t>Rules s 13(4)</w:t>
            </w:r>
            <w:r w:rsidR="00457CFC">
              <w:rPr>
                <w:rFonts w:cs="Calibri"/>
                <w:szCs w:val="22"/>
              </w:rPr>
              <w:t>.</w:t>
            </w:r>
          </w:p>
        </w:tc>
      </w:tr>
      <w:tr w:rsidR="00433822" w14:paraId="0B960D45" w14:textId="77777777" w:rsidTr="00367161">
        <w:trPr>
          <w:jc w:val="center"/>
        </w:trPr>
        <w:tc>
          <w:tcPr>
            <w:tcW w:w="9638" w:type="dxa"/>
            <w:shd w:val="clear" w:color="auto" w:fill="002C47" w:themeFill="accent1"/>
          </w:tcPr>
          <w:p w14:paraId="09E404BA" w14:textId="7534276E" w:rsidR="00433822" w:rsidRDefault="00433822" w:rsidP="002B5BDE">
            <w:pPr>
              <w:spacing w:before="0" w:after="0" w:line="259" w:lineRule="auto"/>
              <w:rPr>
                <w:rFonts w:cs="Calibri"/>
                <w:szCs w:val="22"/>
              </w:rPr>
            </w:pPr>
            <w:r w:rsidRPr="00433822">
              <w:rPr>
                <w:b/>
                <w:color w:val="FFFFFF" w:themeColor="background1"/>
                <w:sz w:val="24"/>
              </w:rPr>
              <w:t>Question</w:t>
            </w:r>
            <w:r w:rsidR="00726188">
              <w:rPr>
                <w:b/>
                <w:color w:val="FFFFFF" w:themeColor="background1"/>
                <w:sz w:val="24"/>
              </w:rPr>
              <w:t>s</w:t>
            </w:r>
          </w:p>
        </w:tc>
      </w:tr>
      <w:tr w:rsidR="00433822" w14:paraId="363EBFAA" w14:textId="77777777" w:rsidTr="00367161">
        <w:trPr>
          <w:jc w:val="center"/>
        </w:trPr>
        <w:tc>
          <w:tcPr>
            <w:tcW w:w="9638" w:type="dxa"/>
          </w:tcPr>
          <w:p w14:paraId="709C4638" w14:textId="2BF232ED" w:rsidR="00433822" w:rsidRDefault="00433822" w:rsidP="001D6964">
            <w:pPr>
              <w:pStyle w:val="OutlineNumbered1"/>
              <w:numPr>
                <w:ilvl w:val="0"/>
                <w:numId w:val="27"/>
              </w:numPr>
              <w:ind w:hanging="485"/>
            </w:pPr>
            <w:r>
              <w:t>If we pay NZ suppliers - how can we capture the NZBN on SBI tool?</w:t>
            </w:r>
          </w:p>
        </w:tc>
      </w:tr>
    </w:tbl>
    <w:p w14:paraId="729ADF9C" w14:textId="77777777" w:rsidR="00253AFB" w:rsidRDefault="00253AFB">
      <w:r>
        <w:br w:type="page"/>
      </w:r>
    </w:p>
    <w:tbl>
      <w:tblPr>
        <w:tblW w:w="963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left w:w="57" w:type="dxa"/>
          <w:bottom w:w="113" w:type="dxa"/>
          <w:right w:w="57" w:type="dxa"/>
        </w:tblCellMar>
        <w:tblLook w:val="04A0" w:firstRow="1" w:lastRow="0" w:firstColumn="1" w:lastColumn="0" w:noHBand="0" w:noVBand="1"/>
        <w:tblCaption w:val="Instructions on how to complete the Payment Times Reporting .csv template"/>
        <w:tblDescription w:val="The table splits the report into relevant sections and provides the cell name, a colmun reference number, repeats the instructional text included in the template, then provides a more detailed explanation of what information is required in each cell, and an outline of the format and any additional validation rules that relate to the information in the cell to ensure it can be uploaded."/>
      </w:tblPr>
      <w:tblGrid>
        <w:gridCol w:w="9638"/>
      </w:tblGrid>
      <w:tr w:rsidR="00433822" w14:paraId="671DAB80" w14:textId="77777777" w:rsidTr="00367161">
        <w:trPr>
          <w:jc w:val="center"/>
        </w:trPr>
        <w:tc>
          <w:tcPr>
            <w:tcW w:w="9638" w:type="dxa"/>
            <w:shd w:val="clear" w:color="auto" w:fill="002C47" w:themeFill="accent1"/>
          </w:tcPr>
          <w:p w14:paraId="48224E2B" w14:textId="22FD1573" w:rsidR="00433822" w:rsidRDefault="00726188" w:rsidP="002B5BDE">
            <w:pPr>
              <w:spacing w:before="0" w:after="0" w:line="259" w:lineRule="auto"/>
              <w:rPr>
                <w:rFonts w:cs="Calibri"/>
                <w:szCs w:val="22"/>
              </w:rPr>
            </w:pPr>
            <w:r>
              <w:rPr>
                <w:b/>
                <w:color w:val="FFFFFF" w:themeColor="background1"/>
                <w:sz w:val="24"/>
              </w:rPr>
              <w:lastRenderedPageBreak/>
              <w:t>Response</w:t>
            </w:r>
          </w:p>
        </w:tc>
      </w:tr>
      <w:tr w:rsidR="00433822" w14:paraId="2C47A4E7" w14:textId="77777777" w:rsidTr="00367161">
        <w:trPr>
          <w:jc w:val="center"/>
        </w:trPr>
        <w:tc>
          <w:tcPr>
            <w:tcW w:w="9638" w:type="dxa"/>
          </w:tcPr>
          <w:p w14:paraId="057673DD" w14:textId="10D20BDC" w:rsidR="00433822" w:rsidRPr="004045E8" w:rsidRDefault="00871938" w:rsidP="001D7E28">
            <w:pPr>
              <w:spacing w:before="0" w:line="259" w:lineRule="auto"/>
              <w:rPr>
                <w:rFonts w:cs="Calibri"/>
                <w:color w:val="000000"/>
                <w:szCs w:val="22"/>
              </w:rPr>
            </w:pPr>
            <w:r>
              <w:rPr>
                <w:rFonts w:cs="Calibri"/>
                <w:color w:val="000000"/>
                <w:szCs w:val="22"/>
              </w:rPr>
              <w:t>Only payments made to Australian suppliers</w:t>
            </w:r>
            <w:r w:rsidR="001D7E28">
              <w:rPr>
                <w:rFonts w:cs="Calibri"/>
                <w:color w:val="000000"/>
                <w:szCs w:val="22"/>
              </w:rPr>
              <w:t xml:space="preserve"> with an ABN</w:t>
            </w:r>
            <w:r>
              <w:rPr>
                <w:rFonts w:cs="Calibri"/>
                <w:color w:val="000000"/>
                <w:szCs w:val="22"/>
              </w:rPr>
              <w:t xml:space="preserve"> are report</w:t>
            </w:r>
            <w:r w:rsidR="00C02BAE">
              <w:rPr>
                <w:rFonts w:cs="Calibri"/>
                <w:color w:val="000000"/>
                <w:szCs w:val="22"/>
              </w:rPr>
              <w:t xml:space="preserve">able. </w:t>
            </w:r>
            <w:r w:rsidR="00E3475B">
              <w:rPr>
                <w:rFonts w:cs="Calibri"/>
                <w:color w:val="000000"/>
                <w:szCs w:val="22"/>
              </w:rPr>
              <w:t>The small business identification tool (SBI Tool) only classifies Australian businesses using ABN.</w:t>
            </w:r>
          </w:p>
        </w:tc>
      </w:tr>
      <w:tr w:rsidR="0092775E" w14:paraId="34B0EC76" w14:textId="77777777" w:rsidTr="00367161">
        <w:trPr>
          <w:jc w:val="center"/>
        </w:trPr>
        <w:tc>
          <w:tcPr>
            <w:tcW w:w="9638" w:type="dxa"/>
            <w:shd w:val="clear" w:color="auto" w:fill="002C47" w:themeFill="accent1"/>
          </w:tcPr>
          <w:p w14:paraId="5EFD40EF" w14:textId="622CA9E0" w:rsidR="0092775E" w:rsidRDefault="00AC7E5C" w:rsidP="002B5BDE">
            <w:pPr>
              <w:spacing w:before="0" w:after="0" w:line="259" w:lineRule="auto"/>
              <w:rPr>
                <w:rFonts w:cs="Calibri"/>
                <w:color w:val="000000"/>
                <w:szCs w:val="22"/>
              </w:rPr>
            </w:pPr>
            <w:r>
              <w:rPr>
                <w:b/>
                <w:color w:val="FFFFFF" w:themeColor="background1"/>
                <w:sz w:val="24"/>
              </w:rPr>
              <w:t>Q</w:t>
            </w:r>
            <w:r w:rsidR="0092775E" w:rsidRPr="0092775E">
              <w:rPr>
                <w:b/>
                <w:color w:val="FFFFFF" w:themeColor="background1"/>
                <w:sz w:val="24"/>
              </w:rPr>
              <w:t>uestion</w:t>
            </w:r>
            <w:r w:rsidR="00726188">
              <w:rPr>
                <w:b/>
                <w:color w:val="FFFFFF" w:themeColor="background1"/>
                <w:sz w:val="24"/>
              </w:rPr>
              <w:t>s</w:t>
            </w:r>
          </w:p>
        </w:tc>
      </w:tr>
      <w:tr w:rsidR="0092775E" w14:paraId="463C25CA" w14:textId="77777777" w:rsidTr="00367161">
        <w:trPr>
          <w:jc w:val="center"/>
        </w:trPr>
        <w:tc>
          <w:tcPr>
            <w:tcW w:w="9638" w:type="dxa"/>
          </w:tcPr>
          <w:p w14:paraId="0F6C3BBB" w14:textId="3C9ADD2F" w:rsidR="0092775E" w:rsidRPr="0092775E" w:rsidRDefault="0092775E" w:rsidP="001D6964">
            <w:pPr>
              <w:pStyle w:val="OutlineNumbered1"/>
              <w:numPr>
                <w:ilvl w:val="0"/>
                <w:numId w:val="29"/>
              </w:numPr>
              <w:ind w:hanging="485"/>
              <w:rPr>
                <w:color w:val="000000"/>
              </w:rPr>
            </w:pPr>
            <w:r>
              <w:t>Does the $100m include revenue generated by foreign subsidiaries of the Aust Holding co?</w:t>
            </w:r>
          </w:p>
        </w:tc>
      </w:tr>
      <w:tr w:rsidR="0092775E" w14:paraId="69AD7082" w14:textId="77777777" w:rsidTr="00367161">
        <w:trPr>
          <w:jc w:val="center"/>
        </w:trPr>
        <w:tc>
          <w:tcPr>
            <w:tcW w:w="9638" w:type="dxa"/>
            <w:shd w:val="clear" w:color="auto" w:fill="002C47" w:themeFill="accent1"/>
          </w:tcPr>
          <w:p w14:paraId="348EE9D5" w14:textId="5E565E5F" w:rsidR="0092775E" w:rsidRDefault="00726188" w:rsidP="002B5BDE">
            <w:pPr>
              <w:spacing w:before="0" w:after="0" w:line="259" w:lineRule="auto"/>
              <w:rPr>
                <w:rFonts w:cs="Calibri"/>
                <w:szCs w:val="22"/>
              </w:rPr>
            </w:pPr>
            <w:r>
              <w:rPr>
                <w:b/>
                <w:color w:val="FFFFFF" w:themeColor="background1"/>
                <w:sz w:val="24"/>
              </w:rPr>
              <w:t>Response</w:t>
            </w:r>
          </w:p>
        </w:tc>
      </w:tr>
      <w:tr w:rsidR="0092775E" w14:paraId="63485ECF" w14:textId="77777777" w:rsidTr="00367161">
        <w:trPr>
          <w:jc w:val="center"/>
        </w:trPr>
        <w:tc>
          <w:tcPr>
            <w:tcW w:w="9638" w:type="dxa"/>
          </w:tcPr>
          <w:p w14:paraId="210A523C" w14:textId="30E6928A" w:rsidR="00E73730" w:rsidRDefault="00DD57C9" w:rsidP="001D6964">
            <w:pPr>
              <w:spacing w:before="0" w:line="259" w:lineRule="auto"/>
              <w:rPr>
                <w:rFonts w:cs="Calibri"/>
              </w:rPr>
            </w:pPr>
            <w:r w:rsidRPr="0085DB63">
              <w:rPr>
                <w:rFonts w:cs="Calibri"/>
              </w:rPr>
              <w:t>The</w:t>
            </w:r>
            <w:r w:rsidR="1DD190B1" w:rsidRPr="0085DB63">
              <w:rPr>
                <w:rFonts w:cs="Calibri"/>
              </w:rPr>
              <w:t xml:space="preserve"> consolidated </w:t>
            </w:r>
            <w:r w:rsidRPr="0085DB63">
              <w:rPr>
                <w:rFonts w:cs="Calibri"/>
              </w:rPr>
              <w:t xml:space="preserve">revenue of the entity and </w:t>
            </w:r>
            <w:r w:rsidR="0092775E" w:rsidRPr="0085DB63">
              <w:rPr>
                <w:rFonts w:cs="Calibri"/>
              </w:rPr>
              <w:t xml:space="preserve">entities </w:t>
            </w:r>
            <w:r w:rsidRPr="0085DB63">
              <w:rPr>
                <w:rFonts w:cs="Calibri"/>
              </w:rPr>
              <w:t xml:space="preserve">it controls </w:t>
            </w:r>
            <w:r w:rsidR="004152C6" w:rsidRPr="0085DB63">
              <w:rPr>
                <w:rFonts w:cs="Calibri"/>
              </w:rPr>
              <w:t xml:space="preserve">is relevant to determining </w:t>
            </w:r>
            <w:r w:rsidR="0092775E" w:rsidRPr="0085DB63">
              <w:rPr>
                <w:rFonts w:cs="Calibri"/>
              </w:rPr>
              <w:t xml:space="preserve">whether </w:t>
            </w:r>
            <w:r w:rsidR="000025B3" w:rsidRPr="0085DB63">
              <w:rPr>
                <w:rFonts w:cs="Calibri"/>
              </w:rPr>
              <w:t>the</w:t>
            </w:r>
            <w:r w:rsidR="0092775E" w:rsidRPr="0085DB63">
              <w:rPr>
                <w:rFonts w:cs="Calibri"/>
              </w:rPr>
              <w:t xml:space="preserve"> entity meets the $100 million consolidated revenue threshold to become a reporting entity</w:t>
            </w:r>
            <w:r w:rsidR="006F2C6D" w:rsidRPr="0085DB63">
              <w:rPr>
                <w:rFonts w:cs="Calibri"/>
              </w:rPr>
              <w:t xml:space="preserve">; </w:t>
            </w:r>
            <w:r w:rsidR="00005DF9">
              <w:rPr>
                <w:rFonts w:cs="Calibri"/>
              </w:rPr>
              <w:t xml:space="preserve">see </w:t>
            </w:r>
            <w:r w:rsidR="006F2C6D" w:rsidRPr="0085DB63">
              <w:rPr>
                <w:rFonts w:cs="Calibri"/>
              </w:rPr>
              <w:t>Act</w:t>
            </w:r>
            <w:r w:rsidR="00BE73DC">
              <w:rPr>
                <w:rFonts w:cs="Calibri"/>
              </w:rPr>
              <w:t> </w:t>
            </w:r>
            <w:r w:rsidR="00FF74BF" w:rsidRPr="0085DB63">
              <w:rPr>
                <w:rFonts w:cs="Calibri"/>
              </w:rPr>
              <w:t>s</w:t>
            </w:r>
            <w:r w:rsidR="00CC2790">
              <w:rPr>
                <w:rFonts w:cs="Calibri"/>
              </w:rPr>
              <w:t> </w:t>
            </w:r>
            <w:r w:rsidR="00FF74BF" w:rsidRPr="0085DB63">
              <w:rPr>
                <w:rFonts w:cs="Calibri"/>
              </w:rPr>
              <w:t>7(2)(b).</w:t>
            </w:r>
          </w:p>
          <w:p w14:paraId="0E8018E9" w14:textId="2AA12432" w:rsidR="0092775E" w:rsidRPr="002526AA" w:rsidRDefault="0092775E" w:rsidP="001D6964">
            <w:pPr>
              <w:spacing w:before="0" w:line="259" w:lineRule="auto"/>
              <w:rPr>
                <w:rFonts w:cstheme="minorHAnsi"/>
                <w:szCs w:val="22"/>
              </w:rPr>
            </w:pPr>
            <w:r>
              <w:rPr>
                <w:rFonts w:cs="Calibri"/>
                <w:szCs w:val="22"/>
              </w:rPr>
              <w:t>The Act defines 'consolidated revenue' of an entity to mean the total revenue of the entity for a financial year under the accounting standards, or if the entity controls one or more entities, the total revenue for the entity and all the entities it controls, considered as a group</w:t>
            </w:r>
            <w:r w:rsidR="00B42329">
              <w:rPr>
                <w:rFonts w:cs="Calibri"/>
                <w:szCs w:val="22"/>
              </w:rPr>
              <w:t xml:space="preserve">; </w:t>
            </w:r>
            <w:r w:rsidR="00834897">
              <w:rPr>
                <w:rFonts w:cs="Calibri"/>
                <w:szCs w:val="22"/>
              </w:rPr>
              <w:t xml:space="preserve">see </w:t>
            </w:r>
            <w:r w:rsidR="00B42329">
              <w:rPr>
                <w:rFonts w:cs="Calibri"/>
                <w:szCs w:val="22"/>
              </w:rPr>
              <w:t>Act s 5</w:t>
            </w:r>
            <w:r>
              <w:rPr>
                <w:rFonts w:cs="Calibri"/>
                <w:szCs w:val="22"/>
              </w:rPr>
              <w:t xml:space="preserve">. This </w:t>
            </w:r>
            <w:r w:rsidR="000025B3">
              <w:rPr>
                <w:rFonts w:cs="Calibri"/>
                <w:szCs w:val="22"/>
              </w:rPr>
              <w:t>include</w:t>
            </w:r>
            <w:r w:rsidR="00631400">
              <w:rPr>
                <w:rFonts w:cs="Calibri"/>
                <w:szCs w:val="22"/>
              </w:rPr>
              <w:t>s any</w:t>
            </w:r>
            <w:r w:rsidR="000025B3">
              <w:rPr>
                <w:rFonts w:cs="Calibri"/>
                <w:szCs w:val="22"/>
              </w:rPr>
              <w:t xml:space="preserve"> </w:t>
            </w:r>
            <w:r>
              <w:rPr>
                <w:rFonts w:cs="Calibri"/>
                <w:szCs w:val="22"/>
              </w:rPr>
              <w:t>revenue earned in Australia or overseas by foreign subsidiaries.</w:t>
            </w:r>
          </w:p>
        </w:tc>
      </w:tr>
      <w:tr w:rsidR="003101CC" w14:paraId="2D045171" w14:textId="77777777" w:rsidTr="00367161">
        <w:trPr>
          <w:jc w:val="center"/>
        </w:trPr>
        <w:tc>
          <w:tcPr>
            <w:tcW w:w="9638" w:type="dxa"/>
            <w:shd w:val="clear" w:color="auto" w:fill="E5E9EF"/>
          </w:tcPr>
          <w:p w14:paraId="460AF275" w14:textId="76695CB1" w:rsidR="003101CC" w:rsidRPr="00CB4DF4" w:rsidRDefault="007035BA" w:rsidP="002B5BDE">
            <w:pPr>
              <w:pStyle w:val="Heading3"/>
              <w:spacing w:before="0" w:after="0" w:line="259" w:lineRule="auto"/>
            </w:pPr>
            <w:bookmarkStart w:id="91" w:name="_Toc178596605"/>
            <w:r>
              <w:t xml:space="preserve">Payment Term </w:t>
            </w:r>
            <w:r w:rsidR="005553F9">
              <w:t>Definition</w:t>
            </w:r>
            <w:bookmarkEnd w:id="91"/>
          </w:p>
        </w:tc>
      </w:tr>
      <w:tr w:rsidR="002559B4" w14:paraId="7FB4C71A" w14:textId="77777777" w:rsidTr="00367161">
        <w:trPr>
          <w:tblHeader/>
          <w:jc w:val="center"/>
        </w:trPr>
        <w:tc>
          <w:tcPr>
            <w:tcW w:w="9638" w:type="dxa"/>
            <w:shd w:val="clear" w:color="auto" w:fill="2C384A"/>
          </w:tcPr>
          <w:p w14:paraId="52ED9688" w14:textId="73E35267" w:rsidR="002559B4" w:rsidRPr="00EC28C4" w:rsidRDefault="002559B4" w:rsidP="002B5BDE">
            <w:pPr>
              <w:spacing w:before="0" w:after="0" w:line="259" w:lineRule="auto"/>
              <w:rPr>
                <w:b/>
                <w:color w:val="FFFFFF" w:themeColor="background1"/>
                <w:sz w:val="24"/>
              </w:rPr>
            </w:pPr>
            <w:r>
              <w:rPr>
                <w:b/>
                <w:color w:val="FFFFFF" w:themeColor="background1"/>
                <w:sz w:val="24"/>
              </w:rPr>
              <w:t>Question</w:t>
            </w:r>
          </w:p>
        </w:tc>
      </w:tr>
      <w:tr w:rsidR="00B05057" w14:paraId="24CE0010" w14:textId="77777777" w:rsidTr="00367161">
        <w:trPr>
          <w:trHeight w:val="942"/>
          <w:jc w:val="center"/>
        </w:trPr>
        <w:tc>
          <w:tcPr>
            <w:tcW w:w="9638" w:type="dxa"/>
          </w:tcPr>
          <w:p w14:paraId="29D67EDF" w14:textId="17367E1D" w:rsidR="00B05057" w:rsidRDefault="00B05057" w:rsidP="001D6964">
            <w:pPr>
              <w:pStyle w:val="OutlineNumbered1"/>
              <w:numPr>
                <w:ilvl w:val="0"/>
                <w:numId w:val="30"/>
              </w:numPr>
              <w:ind w:hanging="485"/>
              <w:rPr>
                <w:rFonts w:cs="Calibri"/>
                <w:szCs w:val="22"/>
              </w:rPr>
            </w:pPr>
            <w:r>
              <w:rPr>
                <w:rFonts w:cs="Calibri"/>
                <w:szCs w:val="22"/>
              </w:rPr>
              <w:t xml:space="preserve">If there is an agreed credit arrangement with the small businesses, will that over-ride to compute the aging profile for reporting? </w:t>
            </w:r>
            <w:r w:rsidR="002559B4">
              <w:rPr>
                <w:rFonts w:cs="Calibri"/>
                <w:szCs w:val="22"/>
              </w:rPr>
              <w:t>For example, if there is a small business vendor with whom the credit term is T15 days, the aging can be computed from the date of end of T15, or it needs to be computed from the date of invoice? </w:t>
            </w:r>
          </w:p>
        </w:tc>
      </w:tr>
      <w:tr w:rsidR="002559B4" w14:paraId="2CB15B57" w14:textId="77777777" w:rsidTr="00367161">
        <w:trPr>
          <w:trHeight w:val="312"/>
          <w:jc w:val="center"/>
        </w:trPr>
        <w:tc>
          <w:tcPr>
            <w:tcW w:w="9638" w:type="dxa"/>
            <w:shd w:val="clear" w:color="auto" w:fill="002C47" w:themeFill="accent1"/>
          </w:tcPr>
          <w:p w14:paraId="73089E64" w14:textId="302B02A6" w:rsidR="002559B4" w:rsidRDefault="00726188" w:rsidP="002B5BDE">
            <w:pPr>
              <w:spacing w:before="0" w:after="0" w:line="259" w:lineRule="auto"/>
            </w:pPr>
            <w:r>
              <w:rPr>
                <w:b/>
                <w:color w:val="FFFFFF" w:themeColor="background1"/>
                <w:sz w:val="24"/>
              </w:rPr>
              <w:t>Response</w:t>
            </w:r>
          </w:p>
        </w:tc>
      </w:tr>
      <w:tr w:rsidR="002559B4" w14:paraId="65570357" w14:textId="77777777" w:rsidTr="00367161">
        <w:trPr>
          <w:jc w:val="center"/>
        </w:trPr>
        <w:tc>
          <w:tcPr>
            <w:tcW w:w="9638" w:type="dxa"/>
          </w:tcPr>
          <w:p w14:paraId="0CBA623A" w14:textId="19627A69" w:rsidR="002559B4" w:rsidRPr="002526AA" w:rsidRDefault="002559B4" w:rsidP="001D6964">
            <w:pPr>
              <w:spacing w:before="0" w:line="259" w:lineRule="auto"/>
              <w:rPr>
                <w:rFonts w:cstheme="minorHAnsi"/>
                <w:szCs w:val="22"/>
              </w:rPr>
            </w:pPr>
            <w:r>
              <w:rPr>
                <w:rFonts w:cs="Calibri"/>
                <w:szCs w:val="22"/>
              </w:rPr>
              <w:t xml:space="preserve">Where the terms for payment are set out in a written contact, then the payment term is to be determined in accordance with the contract instead </w:t>
            </w:r>
            <w:r w:rsidR="00C50630">
              <w:rPr>
                <w:rFonts w:cs="Calibri"/>
                <w:szCs w:val="22"/>
              </w:rPr>
              <w:t xml:space="preserve">of </w:t>
            </w:r>
            <w:r>
              <w:rPr>
                <w:rFonts w:cs="Calibri"/>
                <w:szCs w:val="22"/>
              </w:rPr>
              <w:t>the term</w:t>
            </w:r>
            <w:r w:rsidR="00CA2F82">
              <w:rPr>
                <w:rFonts w:cs="Calibri"/>
                <w:szCs w:val="22"/>
              </w:rPr>
              <w:t>s</w:t>
            </w:r>
            <w:r>
              <w:rPr>
                <w:rFonts w:cs="Calibri"/>
                <w:szCs w:val="22"/>
              </w:rPr>
              <w:t xml:space="preserve"> </w:t>
            </w:r>
            <w:r w:rsidR="005D7584" w:rsidRPr="00313088">
              <w:rPr>
                <w:rFonts w:cs="Calibri"/>
                <w:szCs w:val="22"/>
              </w:rPr>
              <w:t xml:space="preserve">stated on </w:t>
            </w:r>
            <w:r w:rsidRPr="00313088">
              <w:rPr>
                <w:rFonts w:cs="Calibri"/>
                <w:szCs w:val="22"/>
              </w:rPr>
              <w:t>an invoice</w:t>
            </w:r>
            <w:r w:rsidR="00CA2F82" w:rsidRPr="00313088">
              <w:rPr>
                <w:rFonts w:cs="Calibri"/>
                <w:szCs w:val="22"/>
              </w:rPr>
              <w:t xml:space="preserve">; </w:t>
            </w:r>
            <w:r w:rsidR="00480823">
              <w:rPr>
                <w:rFonts w:cs="Calibri"/>
                <w:szCs w:val="22"/>
              </w:rPr>
              <w:t xml:space="preserve">see </w:t>
            </w:r>
            <w:r w:rsidR="00CA2F82" w:rsidRPr="00313088">
              <w:rPr>
                <w:rFonts w:cs="Calibri"/>
                <w:szCs w:val="22"/>
              </w:rPr>
              <w:t>Rules s</w:t>
            </w:r>
            <w:r w:rsidR="00B42329" w:rsidRPr="00313088">
              <w:rPr>
                <w:rFonts w:cs="Calibri"/>
                <w:szCs w:val="22"/>
              </w:rPr>
              <w:t xml:space="preserve"> </w:t>
            </w:r>
            <w:r w:rsidR="006F2C6D" w:rsidRPr="00313088">
              <w:rPr>
                <w:rFonts w:cs="Calibri"/>
                <w:szCs w:val="22"/>
              </w:rPr>
              <w:t>7(2)</w:t>
            </w:r>
            <w:r w:rsidR="00B42329" w:rsidRPr="00313088">
              <w:rPr>
                <w:rFonts w:cs="Calibri"/>
                <w:szCs w:val="22"/>
              </w:rPr>
              <w:t>.</w:t>
            </w:r>
          </w:p>
        </w:tc>
      </w:tr>
      <w:tr w:rsidR="003101CC" w14:paraId="5AD779E8" w14:textId="77777777" w:rsidTr="00367161">
        <w:trPr>
          <w:jc w:val="center"/>
        </w:trPr>
        <w:tc>
          <w:tcPr>
            <w:tcW w:w="9638" w:type="dxa"/>
            <w:shd w:val="clear" w:color="auto" w:fill="E5E9EF"/>
          </w:tcPr>
          <w:p w14:paraId="562815C1" w14:textId="01FC09CC" w:rsidR="003101CC" w:rsidRPr="00CB4DF4" w:rsidRDefault="007035BA" w:rsidP="002B5BDE">
            <w:pPr>
              <w:pStyle w:val="Heading3"/>
              <w:spacing w:before="0" w:after="0" w:line="259" w:lineRule="auto"/>
            </w:pPr>
            <w:bookmarkStart w:id="92" w:name="_Toc178596606"/>
            <w:r>
              <w:t>Payment Time Definition</w:t>
            </w:r>
            <w:bookmarkEnd w:id="92"/>
          </w:p>
        </w:tc>
      </w:tr>
      <w:tr w:rsidR="00CF3AB9" w14:paraId="725821AA" w14:textId="77777777" w:rsidTr="00367161">
        <w:trPr>
          <w:tblHeader/>
          <w:jc w:val="center"/>
        </w:trPr>
        <w:tc>
          <w:tcPr>
            <w:tcW w:w="9638" w:type="dxa"/>
            <w:shd w:val="clear" w:color="auto" w:fill="2C384A"/>
          </w:tcPr>
          <w:p w14:paraId="3F992CCA" w14:textId="5116C39A" w:rsidR="00CF3AB9" w:rsidRPr="00EC28C4" w:rsidRDefault="00CF3AB9" w:rsidP="002B5BDE">
            <w:pPr>
              <w:spacing w:before="0" w:after="0" w:line="259" w:lineRule="auto"/>
              <w:rPr>
                <w:b/>
                <w:color w:val="FFFFFF" w:themeColor="background1"/>
                <w:sz w:val="24"/>
              </w:rPr>
            </w:pPr>
            <w:r>
              <w:rPr>
                <w:b/>
                <w:color w:val="FFFFFF" w:themeColor="background1"/>
                <w:sz w:val="24"/>
              </w:rPr>
              <w:t>Question</w:t>
            </w:r>
          </w:p>
        </w:tc>
      </w:tr>
      <w:tr w:rsidR="00CF3AB9" w14:paraId="52858C61" w14:textId="77777777" w:rsidTr="00367161">
        <w:trPr>
          <w:jc w:val="center"/>
        </w:trPr>
        <w:tc>
          <w:tcPr>
            <w:tcW w:w="9638" w:type="dxa"/>
          </w:tcPr>
          <w:p w14:paraId="59F97836" w14:textId="6F4A74AF" w:rsidR="00CF3AB9" w:rsidRPr="00CF3AB9" w:rsidRDefault="00CF3AB9" w:rsidP="001D6964">
            <w:pPr>
              <w:pStyle w:val="OutlineNumbered1"/>
              <w:numPr>
                <w:ilvl w:val="0"/>
                <w:numId w:val="31"/>
              </w:numPr>
              <w:ind w:hanging="485"/>
              <w:rPr>
                <w:color w:val="000000"/>
              </w:rPr>
            </w:pPr>
            <w:r>
              <w:t>Will RCTI invoices continue to be excluded under new changes? </w:t>
            </w:r>
          </w:p>
        </w:tc>
      </w:tr>
      <w:tr w:rsidR="00CF3AB9" w14:paraId="34934077" w14:textId="77777777" w:rsidTr="00367161">
        <w:trPr>
          <w:jc w:val="center"/>
        </w:trPr>
        <w:tc>
          <w:tcPr>
            <w:tcW w:w="9638" w:type="dxa"/>
            <w:shd w:val="clear" w:color="auto" w:fill="002C47" w:themeFill="accent1"/>
          </w:tcPr>
          <w:p w14:paraId="2E2AA1F0" w14:textId="08289506" w:rsidR="00CF3AB9" w:rsidRDefault="00726188" w:rsidP="002B5BDE">
            <w:pPr>
              <w:spacing w:before="0" w:after="0" w:line="259" w:lineRule="auto"/>
              <w:rPr>
                <w:rFonts w:cs="Calibri"/>
                <w:szCs w:val="22"/>
              </w:rPr>
            </w:pPr>
            <w:r>
              <w:rPr>
                <w:b/>
                <w:color w:val="FFFFFF" w:themeColor="background1"/>
                <w:sz w:val="24"/>
              </w:rPr>
              <w:t>Response</w:t>
            </w:r>
          </w:p>
        </w:tc>
      </w:tr>
      <w:tr w:rsidR="00CF3AB9" w14:paraId="56218E19" w14:textId="77777777" w:rsidTr="00367161">
        <w:trPr>
          <w:jc w:val="center"/>
        </w:trPr>
        <w:tc>
          <w:tcPr>
            <w:tcW w:w="9638" w:type="dxa"/>
          </w:tcPr>
          <w:p w14:paraId="420DEFA9" w14:textId="129213FF" w:rsidR="006F1F0A" w:rsidRDefault="00CF3AB9" w:rsidP="001D6964">
            <w:pPr>
              <w:spacing w:before="0" w:line="259" w:lineRule="auto"/>
              <w:rPr>
                <w:rFonts w:cs="Calibri"/>
                <w:color w:val="000000"/>
                <w:szCs w:val="22"/>
              </w:rPr>
            </w:pPr>
            <w:r>
              <w:rPr>
                <w:rFonts w:cs="Calibri"/>
                <w:color w:val="000000"/>
                <w:szCs w:val="22"/>
              </w:rPr>
              <w:t xml:space="preserve">Recipient created tax invoices (RCTI) are </w:t>
            </w:r>
            <w:r w:rsidR="00DF20D5">
              <w:rPr>
                <w:rFonts w:cs="Calibri"/>
                <w:color w:val="000000"/>
                <w:szCs w:val="22"/>
              </w:rPr>
              <w:t>now included in reporting</w:t>
            </w:r>
            <w:r w:rsidR="00BF48AA">
              <w:rPr>
                <w:rFonts w:cs="Calibri"/>
                <w:color w:val="000000"/>
                <w:szCs w:val="22"/>
              </w:rPr>
              <w:t>.</w:t>
            </w:r>
          </w:p>
          <w:p w14:paraId="39037EBB" w14:textId="4FAEABF8" w:rsidR="00CF3AB9" w:rsidRPr="002526AA" w:rsidRDefault="00CF3AB9" w:rsidP="001D6964">
            <w:pPr>
              <w:spacing w:before="0" w:line="259" w:lineRule="auto"/>
              <w:rPr>
                <w:rFonts w:cstheme="minorHAnsi"/>
                <w:szCs w:val="22"/>
              </w:rPr>
            </w:pPr>
            <w:r>
              <w:rPr>
                <w:rFonts w:cs="Calibri"/>
                <w:color w:val="000000"/>
                <w:szCs w:val="22"/>
              </w:rPr>
              <w:t>For an RCTI, the</w:t>
            </w:r>
            <w:r w:rsidR="00C032B9">
              <w:rPr>
                <w:rFonts w:cs="Calibri"/>
                <w:color w:val="000000"/>
                <w:szCs w:val="22"/>
              </w:rPr>
              <w:t xml:space="preserve"> </w:t>
            </w:r>
            <w:r>
              <w:rPr>
                <w:rFonts w:cs="Calibri"/>
                <w:color w:val="000000"/>
                <w:szCs w:val="22"/>
              </w:rPr>
              <w:t xml:space="preserve">‘payment time’ is the number of calendar days between the </w:t>
            </w:r>
            <w:r w:rsidR="000C7FEC">
              <w:rPr>
                <w:rFonts w:cs="Calibri"/>
                <w:color w:val="000000"/>
                <w:szCs w:val="22"/>
              </w:rPr>
              <w:t xml:space="preserve">invoice date and </w:t>
            </w:r>
            <w:r>
              <w:rPr>
                <w:rFonts w:cs="Calibri"/>
                <w:color w:val="000000"/>
                <w:szCs w:val="22"/>
              </w:rPr>
              <w:t>day the invoice was fully discharged by payment</w:t>
            </w:r>
            <w:r w:rsidR="00BF48AA">
              <w:rPr>
                <w:rFonts w:cs="Calibri"/>
                <w:color w:val="000000"/>
                <w:szCs w:val="22"/>
              </w:rPr>
              <w:t>;</w:t>
            </w:r>
            <w:r w:rsidR="00313088">
              <w:rPr>
                <w:rFonts w:cs="Calibri"/>
                <w:color w:val="000000"/>
                <w:szCs w:val="22"/>
              </w:rPr>
              <w:t xml:space="preserve"> </w:t>
            </w:r>
            <w:r w:rsidR="00167AFE">
              <w:rPr>
                <w:rFonts w:cs="Calibri"/>
                <w:color w:val="000000"/>
                <w:szCs w:val="22"/>
              </w:rPr>
              <w:t xml:space="preserve">see </w:t>
            </w:r>
            <w:r w:rsidR="00313088">
              <w:rPr>
                <w:rFonts w:cs="Calibri"/>
                <w:color w:val="000000"/>
                <w:szCs w:val="22"/>
              </w:rPr>
              <w:t>Rules s 8(1)(b).</w:t>
            </w:r>
          </w:p>
        </w:tc>
      </w:tr>
      <w:tr w:rsidR="00CF3AB9" w14:paraId="56AB49F6" w14:textId="77777777" w:rsidTr="00367161">
        <w:trPr>
          <w:jc w:val="center"/>
        </w:trPr>
        <w:tc>
          <w:tcPr>
            <w:tcW w:w="9638" w:type="dxa"/>
            <w:shd w:val="clear" w:color="auto" w:fill="002C47" w:themeFill="accent1"/>
          </w:tcPr>
          <w:p w14:paraId="0C669693" w14:textId="1FAD0BD6" w:rsidR="00CF3AB9" w:rsidRDefault="00CF3AB9" w:rsidP="002B5BDE">
            <w:pPr>
              <w:spacing w:before="0" w:after="0" w:line="259" w:lineRule="auto"/>
              <w:rPr>
                <w:rFonts w:cs="Calibri"/>
                <w:color w:val="000000"/>
                <w:szCs w:val="22"/>
              </w:rPr>
            </w:pPr>
            <w:r w:rsidRPr="00CF3AB9">
              <w:rPr>
                <w:b/>
                <w:color w:val="FFFFFF" w:themeColor="background1"/>
                <w:sz w:val="24"/>
              </w:rPr>
              <w:lastRenderedPageBreak/>
              <w:t>Question</w:t>
            </w:r>
          </w:p>
        </w:tc>
      </w:tr>
      <w:tr w:rsidR="00CF3AB9" w14:paraId="6FAC1B34" w14:textId="77777777" w:rsidTr="00367161">
        <w:trPr>
          <w:jc w:val="center"/>
        </w:trPr>
        <w:tc>
          <w:tcPr>
            <w:tcW w:w="9638" w:type="dxa"/>
          </w:tcPr>
          <w:p w14:paraId="762E7785" w14:textId="64AD68AB" w:rsidR="00CF3AB9" w:rsidRPr="00CF3AB9" w:rsidRDefault="00CF3AB9" w:rsidP="001D6964">
            <w:pPr>
              <w:pStyle w:val="OutlineNumbered1"/>
              <w:numPr>
                <w:ilvl w:val="0"/>
                <w:numId w:val="32"/>
              </w:numPr>
              <w:ind w:hanging="485"/>
              <w:rPr>
                <w:color w:val="000000"/>
              </w:rPr>
            </w:pPr>
            <w:r>
              <w:t xml:space="preserve">What about small vendor sending invoices late? When does the clock start ticking? The date invoice is </w:t>
            </w:r>
            <w:proofErr w:type="gramStart"/>
            <w:r>
              <w:t>actually received</w:t>
            </w:r>
            <w:proofErr w:type="gramEnd"/>
            <w:r>
              <w:t xml:space="preserve"> OR the date shown on the invoice. </w:t>
            </w:r>
          </w:p>
        </w:tc>
      </w:tr>
      <w:tr w:rsidR="00CF3AB9" w14:paraId="4D0F31AC" w14:textId="77777777" w:rsidTr="00367161">
        <w:trPr>
          <w:jc w:val="center"/>
        </w:trPr>
        <w:tc>
          <w:tcPr>
            <w:tcW w:w="9638" w:type="dxa"/>
            <w:shd w:val="clear" w:color="auto" w:fill="002C47" w:themeFill="accent1"/>
          </w:tcPr>
          <w:p w14:paraId="586C47E6" w14:textId="226FDDA8" w:rsidR="00CF3AB9" w:rsidRDefault="00726188" w:rsidP="002B5BDE">
            <w:pPr>
              <w:spacing w:before="0" w:after="0" w:line="259" w:lineRule="auto"/>
              <w:rPr>
                <w:rFonts w:cs="Calibri"/>
                <w:szCs w:val="22"/>
              </w:rPr>
            </w:pPr>
            <w:r>
              <w:rPr>
                <w:b/>
                <w:color w:val="FFFFFF" w:themeColor="background1"/>
                <w:sz w:val="24"/>
              </w:rPr>
              <w:t>Response</w:t>
            </w:r>
          </w:p>
        </w:tc>
      </w:tr>
      <w:tr w:rsidR="00CF3AB9" w14:paraId="2B939C53" w14:textId="77777777" w:rsidTr="00367161">
        <w:trPr>
          <w:jc w:val="center"/>
        </w:trPr>
        <w:tc>
          <w:tcPr>
            <w:tcW w:w="9638" w:type="dxa"/>
          </w:tcPr>
          <w:p w14:paraId="2C87AE2D" w14:textId="5182C7AE" w:rsidR="00687037" w:rsidRDefault="00481581" w:rsidP="001D6964">
            <w:pPr>
              <w:spacing w:before="0" w:line="259" w:lineRule="auto"/>
              <w:rPr>
                <w:rFonts w:cs="Calibri"/>
              </w:rPr>
            </w:pPr>
            <w:r w:rsidRPr="0085DB63">
              <w:rPr>
                <w:rFonts w:cs="Calibri"/>
              </w:rPr>
              <w:t xml:space="preserve">The Payment Times Reporting Rules provide the steps for </w:t>
            </w:r>
            <w:r w:rsidR="00EE77FA" w:rsidRPr="0085DB63">
              <w:rPr>
                <w:rFonts w:cs="Calibri"/>
              </w:rPr>
              <w:t xml:space="preserve">calculating </w:t>
            </w:r>
            <w:r w:rsidR="008B02D3" w:rsidRPr="0085DB63">
              <w:rPr>
                <w:rFonts w:cs="Calibri"/>
              </w:rPr>
              <w:t>‘</w:t>
            </w:r>
            <w:r w:rsidR="00687037" w:rsidRPr="0085DB63">
              <w:rPr>
                <w:rFonts w:cs="Calibri"/>
              </w:rPr>
              <w:t>payment times</w:t>
            </w:r>
            <w:r w:rsidR="008B02D3" w:rsidRPr="0085DB63">
              <w:rPr>
                <w:rFonts w:cs="Calibri"/>
              </w:rPr>
              <w:t>’</w:t>
            </w:r>
            <w:r w:rsidR="00687037" w:rsidRPr="0085DB63">
              <w:rPr>
                <w:rFonts w:cs="Calibri"/>
              </w:rPr>
              <w:t xml:space="preserve"> which will be covered in revised guidance.</w:t>
            </w:r>
          </w:p>
          <w:p w14:paraId="30B85B4E" w14:textId="2EA50394" w:rsidR="00C76CF6" w:rsidRPr="002526AA" w:rsidRDefault="00687037" w:rsidP="001D6964">
            <w:pPr>
              <w:spacing w:before="0" w:line="259" w:lineRule="auto"/>
              <w:rPr>
                <w:rFonts w:cstheme="minorHAnsi"/>
                <w:szCs w:val="22"/>
              </w:rPr>
            </w:pPr>
            <w:r>
              <w:rPr>
                <w:rFonts w:cs="Calibri"/>
                <w:szCs w:val="22"/>
              </w:rPr>
              <w:t xml:space="preserve">In short, reporting entities can use the invoice date or </w:t>
            </w:r>
            <w:r w:rsidR="00C8216A">
              <w:rPr>
                <w:rFonts w:cs="Calibri"/>
                <w:szCs w:val="22"/>
              </w:rPr>
              <w:t>invoice received date – whichever provides the shorter payment time</w:t>
            </w:r>
            <w:r w:rsidR="00CE5CA1">
              <w:rPr>
                <w:rFonts w:cs="Calibri"/>
                <w:szCs w:val="22"/>
              </w:rPr>
              <w:t>;</w:t>
            </w:r>
            <w:r w:rsidR="00C84518">
              <w:rPr>
                <w:rFonts w:cs="Calibri"/>
                <w:szCs w:val="22"/>
              </w:rPr>
              <w:t xml:space="preserve"> see</w:t>
            </w:r>
            <w:r w:rsidR="00313088">
              <w:rPr>
                <w:rFonts w:cs="Calibri"/>
                <w:szCs w:val="22"/>
              </w:rPr>
              <w:t xml:space="preserve"> Rules </w:t>
            </w:r>
            <w:r w:rsidR="00313088" w:rsidRPr="00313088">
              <w:rPr>
                <w:rFonts w:cs="Calibri"/>
                <w:szCs w:val="22"/>
              </w:rPr>
              <w:t xml:space="preserve">s </w:t>
            </w:r>
            <w:r w:rsidR="00CE5CA1" w:rsidRPr="00313088">
              <w:rPr>
                <w:rFonts w:cs="Calibri"/>
                <w:szCs w:val="22"/>
              </w:rPr>
              <w:t>8(1)(a)</w:t>
            </w:r>
            <w:r w:rsidR="00DC2640" w:rsidRPr="00313088">
              <w:rPr>
                <w:rFonts w:cs="Calibri"/>
                <w:szCs w:val="22"/>
              </w:rPr>
              <w:t>.</w:t>
            </w:r>
          </w:p>
        </w:tc>
      </w:tr>
      <w:tr w:rsidR="003101CC" w14:paraId="3EE4A62F" w14:textId="77777777" w:rsidTr="00367161">
        <w:trPr>
          <w:jc w:val="center"/>
        </w:trPr>
        <w:tc>
          <w:tcPr>
            <w:tcW w:w="9638" w:type="dxa"/>
            <w:shd w:val="clear" w:color="auto" w:fill="E5E9EF"/>
          </w:tcPr>
          <w:p w14:paraId="60552E78" w14:textId="57810CBF" w:rsidR="003101CC" w:rsidRPr="00CB4DF4" w:rsidRDefault="00EF2EB7" w:rsidP="002B5BDE">
            <w:pPr>
              <w:pStyle w:val="Heading3"/>
              <w:spacing w:before="0" w:after="0" w:line="259" w:lineRule="auto"/>
            </w:pPr>
            <w:bookmarkStart w:id="93" w:name="_Toc178596607"/>
            <w:r>
              <w:t>Payment Times Reporting Portal</w:t>
            </w:r>
            <w:bookmarkEnd w:id="93"/>
          </w:p>
        </w:tc>
      </w:tr>
      <w:tr w:rsidR="001B22D0" w14:paraId="577B8528" w14:textId="77777777" w:rsidTr="00367161">
        <w:trPr>
          <w:tblHeader/>
          <w:jc w:val="center"/>
        </w:trPr>
        <w:tc>
          <w:tcPr>
            <w:tcW w:w="9638" w:type="dxa"/>
            <w:shd w:val="clear" w:color="auto" w:fill="2C384A"/>
          </w:tcPr>
          <w:p w14:paraId="6D39A4FE" w14:textId="4E4D4CD9" w:rsidR="001B22D0" w:rsidRPr="00EC28C4" w:rsidRDefault="001B22D0" w:rsidP="002B5BDE">
            <w:pPr>
              <w:spacing w:before="0" w:after="0" w:line="259" w:lineRule="auto"/>
              <w:rPr>
                <w:b/>
                <w:color w:val="FFFFFF" w:themeColor="background1"/>
                <w:sz w:val="24"/>
              </w:rPr>
            </w:pPr>
            <w:r>
              <w:rPr>
                <w:b/>
                <w:color w:val="FFFFFF" w:themeColor="background1"/>
                <w:sz w:val="24"/>
              </w:rPr>
              <w:t>Question</w:t>
            </w:r>
          </w:p>
        </w:tc>
      </w:tr>
      <w:tr w:rsidR="00CF3AB9" w14:paraId="3F4C42F0" w14:textId="77777777" w:rsidTr="00367161">
        <w:trPr>
          <w:jc w:val="center"/>
        </w:trPr>
        <w:tc>
          <w:tcPr>
            <w:tcW w:w="9638" w:type="dxa"/>
          </w:tcPr>
          <w:p w14:paraId="55F1FB8D" w14:textId="78742575" w:rsidR="00CF3AB9" w:rsidRPr="001B22D0" w:rsidRDefault="00CF3AB9" w:rsidP="001D6964">
            <w:pPr>
              <w:pStyle w:val="OutlineNumbered1"/>
              <w:numPr>
                <w:ilvl w:val="0"/>
                <w:numId w:val="33"/>
              </w:numPr>
              <w:ind w:hanging="485"/>
              <w:rPr>
                <w:rFonts w:cs="Calibri"/>
                <w:color w:val="000000"/>
                <w:szCs w:val="22"/>
              </w:rPr>
            </w:pPr>
            <w:r>
              <w:rPr>
                <w:rFonts w:cs="Calibri"/>
                <w:szCs w:val="22"/>
              </w:rPr>
              <w:t>Will we be getting advice/guidance on updating our corporate structure in the PTRS portal to align with new rules/Act? </w:t>
            </w:r>
          </w:p>
        </w:tc>
      </w:tr>
      <w:tr w:rsidR="00CF3AB9" w14:paraId="7BE01FCA" w14:textId="77777777" w:rsidTr="00367161">
        <w:trPr>
          <w:jc w:val="center"/>
        </w:trPr>
        <w:tc>
          <w:tcPr>
            <w:tcW w:w="9638" w:type="dxa"/>
            <w:shd w:val="clear" w:color="auto" w:fill="002C47" w:themeFill="accent1"/>
          </w:tcPr>
          <w:p w14:paraId="25099685" w14:textId="5BA12340" w:rsidR="00CF3AB9" w:rsidRDefault="00726188" w:rsidP="002B5BDE">
            <w:pPr>
              <w:spacing w:before="0" w:after="0" w:line="259" w:lineRule="auto"/>
              <w:rPr>
                <w:rFonts w:cs="Calibri"/>
                <w:color w:val="000000"/>
                <w:szCs w:val="22"/>
              </w:rPr>
            </w:pPr>
            <w:r>
              <w:rPr>
                <w:b/>
                <w:color w:val="FFFFFF" w:themeColor="background1"/>
                <w:sz w:val="24"/>
              </w:rPr>
              <w:t>Response</w:t>
            </w:r>
          </w:p>
        </w:tc>
      </w:tr>
      <w:tr w:rsidR="00CF3AB9" w14:paraId="28757A3F" w14:textId="77777777" w:rsidTr="00367161">
        <w:trPr>
          <w:jc w:val="center"/>
        </w:trPr>
        <w:tc>
          <w:tcPr>
            <w:tcW w:w="9638" w:type="dxa"/>
          </w:tcPr>
          <w:p w14:paraId="56F06DD8" w14:textId="13035B11" w:rsidR="00CF3AB9" w:rsidRDefault="00CF3AB9" w:rsidP="001D6964">
            <w:pPr>
              <w:spacing w:before="0" w:line="259" w:lineRule="auto"/>
              <w:rPr>
                <w:rFonts w:cs="Calibri"/>
                <w:color w:val="000000"/>
                <w:szCs w:val="22"/>
              </w:rPr>
            </w:pPr>
            <w:r>
              <w:rPr>
                <w:rFonts w:cs="Calibri"/>
                <w:color w:val="000000"/>
                <w:szCs w:val="22"/>
              </w:rPr>
              <w:t xml:space="preserve">The </w:t>
            </w:r>
            <w:hyperlink r:id="rId25" w:history="1">
              <w:r w:rsidRPr="00AD34A7">
                <w:rPr>
                  <w:rStyle w:val="Hyperlink"/>
                  <w:rFonts w:cs="Calibri"/>
                  <w:szCs w:val="22"/>
                </w:rPr>
                <w:t>Payment Times Reporting Portal</w:t>
              </w:r>
            </w:hyperlink>
            <w:r>
              <w:rPr>
                <w:rFonts w:cs="Calibri"/>
                <w:color w:val="000000"/>
                <w:szCs w:val="22"/>
              </w:rPr>
              <w:t xml:space="preserve"> is being upgraded to facilitate the features and requirements of the new Scheme.</w:t>
            </w:r>
          </w:p>
          <w:p w14:paraId="3C306A94" w14:textId="69F63578" w:rsidR="00CF3AB9" w:rsidRPr="002526AA" w:rsidRDefault="00CF3AB9" w:rsidP="001D6964">
            <w:pPr>
              <w:spacing w:before="0" w:line="259" w:lineRule="auto"/>
              <w:rPr>
                <w:rFonts w:cstheme="minorHAnsi"/>
                <w:szCs w:val="22"/>
              </w:rPr>
            </w:pPr>
            <w:r>
              <w:rPr>
                <w:rFonts w:cs="Calibri"/>
                <w:color w:val="000000"/>
                <w:szCs w:val="22"/>
              </w:rPr>
              <w:t xml:space="preserve">Updates to the Portal will be announced on the </w:t>
            </w:r>
            <w:hyperlink r:id="rId26" w:history="1">
              <w:r w:rsidRPr="003D46AC">
                <w:rPr>
                  <w:rStyle w:val="Hyperlink"/>
                  <w:rFonts w:cs="Calibri"/>
                  <w:szCs w:val="22"/>
                </w:rPr>
                <w:t>Payment Times Reporting Scheme website</w:t>
              </w:r>
            </w:hyperlink>
            <w:r>
              <w:rPr>
                <w:rFonts w:cs="Calibri"/>
                <w:color w:val="000000"/>
                <w:szCs w:val="22"/>
              </w:rPr>
              <w:t>.</w:t>
            </w:r>
          </w:p>
        </w:tc>
      </w:tr>
      <w:tr w:rsidR="003101CC" w14:paraId="43F73AFD" w14:textId="77777777" w:rsidTr="00367161">
        <w:trPr>
          <w:jc w:val="center"/>
        </w:trPr>
        <w:tc>
          <w:tcPr>
            <w:tcW w:w="9638" w:type="dxa"/>
            <w:shd w:val="clear" w:color="auto" w:fill="E5E9EF"/>
          </w:tcPr>
          <w:p w14:paraId="3DDF8B7E" w14:textId="24BFC4E8" w:rsidR="003101CC" w:rsidRPr="00CB4DF4" w:rsidRDefault="00EF2EB7" w:rsidP="002B5BDE">
            <w:pPr>
              <w:pStyle w:val="Heading3"/>
              <w:spacing w:before="0" w:after="0" w:line="259" w:lineRule="auto"/>
            </w:pPr>
            <w:bookmarkStart w:id="94" w:name="_Toc178596608"/>
            <w:r>
              <w:t>Payment Time</w:t>
            </w:r>
            <w:r w:rsidR="00B0467A">
              <w:t xml:space="preserve"> Reports Register</w:t>
            </w:r>
            <w:bookmarkEnd w:id="94"/>
          </w:p>
        </w:tc>
      </w:tr>
      <w:tr w:rsidR="00B7700D" w14:paraId="0BB099D5" w14:textId="77777777" w:rsidTr="00367161">
        <w:trPr>
          <w:tblHeader/>
          <w:jc w:val="center"/>
        </w:trPr>
        <w:tc>
          <w:tcPr>
            <w:tcW w:w="9638" w:type="dxa"/>
            <w:shd w:val="clear" w:color="auto" w:fill="2C384A"/>
          </w:tcPr>
          <w:p w14:paraId="2CBA8C99" w14:textId="05B87FA6" w:rsidR="00B7700D" w:rsidRPr="00EC28C4" w:rsidRDefault="00B7700D" w:rsidP="002B5BDE">
            <w:pPr>
              <w:spacing w:before="0" w:after="0" w:line="259" w:lineRule="auto"/>
              <w:rPr>
                <w:b/>
                <w:color w:val="FFFFFF" w:themeColor="background1"/>
                <w:sz w:val="24"/>
              </w:rPr>
            </w:pPr>
            <w:r>
              <w:rPr>
                <w:b/>
                <w:color w:val="FFFFFF" w:themeColor="background1"/>
                <w:sz w:val="24"/>
              </w:rPr>
              <w:t>Question</w:t>
            </w:r>
          </w:p>
        </w:tc>
      </w:tr>
      <w:tr w:rsidR="00717B3E" w14:paraId="7FFB5BA7" w14:textId="77777777" w:rsidTr="00367161">
        <w:trPr>
          <w:jc w:val="center"/>
        </w:trPr>
        <w:tc>
          <w:tcPr>
            <w:tcW w:w="9638" w:type="dxa"/>
          </w:tcPr>
          <w:p w14:paraId="0E2D6EAB" w14:textId="0E69757B" w:rsidR="00717B3E" w:rsidRPr="00AA649D" w:rsidRDefault="00717B3E" w:rsidP="001D6964">
            <w:pPr>
              <w:pStyle w:val="OutlineNumbered1"/>
              <w:numPr>
                <w:ilvl w:val="0"/>
                <w:numId w:val="34"/>
              </w:numPr>
              <w:ind w:hanging="485"/>
              <w:rPr>
                <w:color w:val="000000"/>
              </w:rPr>
            </w:pPr>
            <w:r>
              <w:t xml:space="preserve">If a parent entity reported on all subsidiaries in its group, would those subsidiaries all be reported separately on the PTRS system? I'd assume they would have to be otherwise they would be lost in the </w:t>
            </w:r>
            <w:proofErr w:type="spellStart"/>
            <w:r>
              <w:t>TopCo</w:t>
            </w:r>
            <w:proofErr w:type="spellEnd"/>
            <w:r>
              <w:t>.</w:t>
            </w:r>
          </w:p>
        </w:tc>
      </w:tr>
      <w:tr w:rsidR="00717B3E" w14:paraId="2A2092A4" w14:textId="77777777" w:rsidTr="00367161">
        <w:trPr>
          <w:jc w:val="center"/>
        </w:trPr>
        <w:tc>
          <w:tcPr>
            <w:tcW w:w="9638" w:type="dxa"/>
            <w:shd w:val="clear" w:color="auto" w:fill="002C47" w:themeFill="accent1"/>
          </w:tcPr>
          <w:p w14:paraId="7668B625" w14:textId="4C1F4E9D" w:rsidR="00717B3E" w:rsidRDefault="00726188" w:rsidP="001D6964">
            <w:pPr>
              <w:spacing w:before="0" w:line="259" w:lineRule="auto"/>
              <w:rPr>
                <w:rFonts w:cs="Calibri"/>
                <w:color w:val="000000"/>
                <w:szCs w:val="22"/>
              </w:rPr>
            </w:pPr>
            <w:r>
              <w:rPr>
                <w:b/>
                <w:color w:val="FFFFFF" w:themeColor="background1"/>
                <w:sz w:val="24"/>
              </w:rPr>
              <w:t>Response</w:t>
            </w:r>
          </w:p>
        </w:tc>
      </w:tr>
      <w:tr w:rsidR="00717B3E" w14:paraId="4196AA06" w14:textId="77777777" w:rsidTr="00367161">
        <w:trPr>
          <w:jc w:val="center"/>
        </w:trPr>
        <w:tc>
          <w:tcPr>
            <w:tcW w:w="9638" w:type="dxa"/>
          </w:tcPr>
          <w:p w14:paraId="342D1BF7" w14:textId="45ECB17E" w:rsidR="001E41BC" w:rsidRPr="006948E3" w:rsidRDefault="008F7D0B" w:rsidP="001D6964">
            <w:pPr>
              <w:spacing w:before="0" w:line="259" w:lineRule="auto"/>
              <w:rPr>
                <w:rFonts w:cs="Calibri"/>
                <w:color w:val="000000"/>
                <w:szCs w:val="22"/>
              </w:rPr>
            </w:pPr>
            <w:r>
              <w:rPr>
                <w:rFonts w:cs="Calibri"/>
                <w:color w:val="000000"/>
                <w:szCs w:val="22"/>
              </w:rPr>
              <w:t xml:space="preserve">The Payment Times Reporting Register will only display payment times and information for reporting entities. Data for </w:t>
            </w:r>
            <w:r w:rsidR="00AE7987">
              <w:rPr>
                <w:rFonts w:cs="Calibri"/>
                <w:color w:val="000000"/>
                <w:szCs w:val="22"/>
              </w:rPr>
              <w:t xml:space="preserve">controlled entities will not be </w:t>
            </w:r>
            <w:r w:rsidR="00385E30">
              <w:rPr>
                <w:rFonts w:cs="Calibri"/>
                <w:color w:val="000000"/>
                <w:szCs w:val="22"/>
              </w:rPr>
              <w:t xml:space="preserve">separately </w:t>
            </w:r>
            <w:r w:rsidR="00AE7987">
              <w:rPr>
                <w:rFonts w:cs="Calibri"/>
                <w:color w:val="000000"/>
                <w:szCs w:val="22"/>
              </w:rPr>
              <w:t>identifiable.</w:t>
            </w:r>
          </w:p>
        </w:tc>
      </w:tr>
      <w:tr w:rsidR="00717B3E" w14:paraId="713FFDD0" w14:textId="77777777" w:rsidTr="00367161">
        <w:trPr>
          <w:jc w:val="center"/>
        </w:trPr>
        <w:tc>
          <w:tcPr>
            <w:tcW w:w="9638" w:type="dxa"/>
            <w:shd w:val="clear" w:color="auto" w:fill="002C47" w:themeFill="accent1"/>
          </w:tcPr>
          <w:p w14:paraId="7D7AF618" w14:textId="2073C003" w:rsidR="00717B3E" w:rsidRDefault="00717B3E" w:rsidP="002B5BDE">
            <w:pPr>
              <w:spacing w:before="0" w:after="0" w:line="259" w:lineRule="auto"/>
              <w:rPr>
                <w:rFonts w:cs="Calibri"/>
                <w:color w:val="000000"/>
                <w:szCs w:val="22"/>
              </w:rPr>
            </w:pPr>
            <w:r w:rsidRPr="00AA649D">
              <w:rPr>
                <w:b/>
                <w:color w:val="FFFFFF" w:themeColor="background1"/>
                <w:sz w:val="24"/>
              </w:rPr>
              <w:t>Question</w:t>
            </w:r>
          </w:p>
        </w:tc>
      </w:tr>
      <w:tr w:rsidR="00717B3E" w14:paraId="2072278D" w14:textId="77777777" w:rsidTr="00FF4BE3">
        <w:trPr>
          <w:jc w:val="center"/>
        </w:trPr>
        <w:tc>
          <w:tcPr>
            <w:tcW w:w="9638" w:type="dxa"/>
            <w:tcBorders>
              <w:bottom w:val="single" w:sz="4" w:space="0" w:color="D9D9D9" w:themeColor="background1" w:themeShade="D9"/>
            </w:tcBorders>
          </w:tcPr>
          <w:p w14:paraId="11CA7EE1" w14:textId="508A0855" w:rsidR="00717B3E" w:rsidRPr="00AA649D" w:rsidRDefault="00717B3E" w:rsidP="001D6964">
            <w:pPr>
              <w:pStyle w:val="OutlineNumbered1"/>
              <w:numPr>
                <w:ilvl w:val="0"/>
                <w:numId w:val="35"/>
              </w:numPr>
              <w:ind w:hanging="485"/>
              <w:rPr>
                <w:rFonts w:cs="Calibri"/>
                <w:color w:val="000000"/>
                <w:szCs w:val="22"/>
              </w:rPr>
            </w:pPr>
            <w:r>
              <w:rPr>
                <w:rFonts w:cs="Calibri"/>
                <w:szCs w:val="22"/>
              </w:rPr>
              <w:t>Can you compare an entity to its industry grouping in one graph? </w:t>
            </w:r>
          </w:p>
        </w:tc>
      </w:tr>
      <w:tr w:rsidR="00FF4BE3" w14:paraId="7DDAF3CF" w14:textId="77777777" w:rsidTr="00FF4BE3">
        <w:trPr>
          <w:jc w:val="center"/>
        </w:trPr>
        <w:tc>
          <w:tcPr>
            <w:tcW w:w="9638" w:type="dxa"/>
            <w:tcBorders>
              <w:left w:val="nil"/>
              <w:bottom w:val="nil"/>
              <w:right w:val="nil"/>
            </w:tcBorders>
          </w:tcPr>
          <w:p w14:paraId="617919AD" w14:textId="77777777" w:rsidR="00FF4BE3" w:rsidRDefault="00FF4BE3" w:rsidP="00FF4BE3"/>
        </w:tc>
      </w:tr>
      <w:tr w:rsidR="00717B3E" w14:paraId="385B82B6" w14:textId="77777777" w:rsidTr="00FF4BE3">
        <w:trPr>
          <w:jc w:val="center"/>
        </w:trPr>
        <w:tc>
          <w:tcPr>
            <w:tcW w:w="9638" w:type="dxa"/>
            <w:tcBorders>
              <w:top w:val="nil"/>
            </w:tcBorders>
            <w:shd w:val="clear" w:color="auto" w:fill="002C47" w:themeFill="accent1"/>
          </w:tcPr>
          <w:p w14:paraId="5E532FBE" w14:textId="7198B7FE" w:rsidR="00717B3E" w:rsidRDefault="00726188" w:rsidP="002B5BDE">
            <w:pPr>
              <w:spacing w:before="0" w:after="0" w:line="259" w:lineRule="auto"/>
              <w:rPr>
                <w:rFonts w:cs="Calibri"/>
                <w:szCs w:val="22"/>
              </w:rPr>
            </w:pPr>
            <w:r>
              <w:rPr>
                <w:b/>
                <w:color w:val="FFFFFF" w:themeColor="background1"/>
                <w:sz w:val="24"/>
              </w:rPr>
              <w:lastRenderedPageBreak/>
              <w:t>Response</w:t>
            </w:r>
          </w:p>
        </w:tc>
      </w:tr>
      <w:tr w:rsidR="00717B3E" w14:paraId="06D138B5" w14:textId="77777777" w:rsidTr="00367161">
        <w:trPr>
          <w:jc w:val="center"/>
        </w:trPr>
        <w:tc>
          <w:tcPr>
            <w:tcW w:w="9638" w:type="dxa"/>
          </w:tcPr>
          <w:p w14:paraId="09BBDB1A" w14:textId="372E9EBD" w:rsidR="00717B3E" w:rsidRPr="002526AA" w:rsidRDefault="00717B3E" w:rsidP="006C3F68">
            <w:pPr>
              <w:spacing w:before="0" w:line="259" w:lineRule="auto"/>
              <w:rPr>
                <w:rFonts w:cstheme="minorHAnsi"/>
                <w:szCs w:val="22"/>
              </w:rPr>
            </w:pPr>
            <w:r>
              <w:rPr>
                <w:rFonts w:cs="Calibri"/>
                <w:color w:val="000000"/>
                <w:szCs w:val="22"/>
              </w:rPr>
              <w:t xml:space="preserve">The current </w:t>
            </w:r>
            <w:r w:rsidR="006C3F68">
              <w:rPr>
                <w:rFonts w:cs="Calibri"/>
                <w:color w:val="000000"/>
                <w:szCs w:val="22"/>
              </w:rPr>
              <w:t>i</w:t>
            </w:r>
            <w:r>
              <w:rPr>
                <w:rFonts w:cs="Calibri"/>
                <w:color w:val="000000"/>
                <w:szCs w:val="22"/>
              </w:rPr>
              <w:t xml:space="preserve">nteractive </w:t>
            </w:r>
            <w:r w:rsidR="00C172A6">
              <w:rPr>
                <w:rFonts w:cs="Calibri"/>
                <w:color w:val="000000"/>
                <w:szCs w:val="22"/>
              </w:rPr>
              <w:t xml:space="preserve">Payment Times Reporting </w:t>
            </w:r>
            <w:r>
              <w:rPr>
                <w:rFonts w:cs="Calibri"/>
                <w:color w:val="000000"/>
                <w:szCs w:val="22"/>
              </w:rPr>
              <w:t xml:space="preserve">Register does not enable </w:t>
            </w:r>
            <w:r w:rsidR="006C3F68">
              <w:rPr>
                <w:rFonts w:cs="Calibri"/>
                <w:color w:val="000000"/>
                <w:szCs w:val="22"/>
              </w:rPr>
              <w:t>this comparison, but t</w:t>
            </w:r>
            <w:r w:rsidR="00890676">
              <w:rPr>
                <w:rFonts w:cs="Calibri"/>
                <w:color w:val="000000"/>
                <w:szCs w:val="22"/>
              </w:rPr>
              <w:t>his feedback is welcomed</w:t>
            </w:r>
            <w:r w:rsidR="006C3F68">
              <w:rPr>
                <w:rFonts w:cs="Calibri"/>
                <w:color w:val="000000"/>
                <w:szCs w:val="22"/>
              </w:rPr>
              <w:t xml:space="preserve">. An additional </w:t>
            </w:r>
            <w:r w:rsidR="004F36A0">
              <w:rPr>
                <w:rFonts w:cs="Calibri"/>
                <w:color w:val="000000"/>
                <w:szCs w:val="22"/>
              </w:rPr>
              <w:t xml:space="preserve">feature </w:t>
            </w:r>
            <w:r w:rsidR="006C3F68">
              <w:rPr>
                <w:rFonts w:cs="Calibri"/>
                <w:color w:val="000000"/>
                <w:szCs w:val="22"/>
              </w:rPr>
              <w:t xml:space="preserve">to provide this comparison </w:t>
            </w:r>
            <w:r w:rsidR="004F36A0">
              <w:rPr>
                <w:rFonts w:cs="Calibri"/>
                <w:color w:val="000000"/>
                <w:szCs w:val="22"/>
              </w:rPr>
              <w:t xml:space="preserve">will be considered for </w:t>
            </w:r>
            <w:r w:rsidR="006C3F68">
              <w:rPr>
                <w:rFonts w:cs="Calibri"/>
                <w:color w:val="000000"/>
                <w:szCs w:val="22"/>
              </w:rPr>
              <w:t>future updates</w:t>
            </w:r>
            <w:r w:rsidR="004F36A0">
              <w:rPr>
                <w:rFonts w:cs="Calibri"/>
                <w:color w:val="000000"/>
                <w:szCs w:val="22"/>
              </w:rPr>
              <w:t xml:space="preserve">. </w:t>
            </w:r>
          </w:p>
        </w:tc>
      </w:tr>
      <w:tr w:rsidR="00717B3E" w14:paraId="13302FD7" w14:textId="77777777" w:rsidTr="00367161">
        <w:trPr>
          <w:jc w:val="center"/>
        </w:trPr>
        <w:tc>
          <w:tcPr>
            <w:tcW w:w="9638" w:type="dxa"/>
            <w:shd w:val="clear" w:color="auto" w:fill="002C47" w:themeFill="accent1"/>
          </w:tcPr>
          <w:p w14:paraId="0539BDBA" w14:textId="2F684BD3" w:rsidR="00717B3E" w:rsidRDefault="00717B3E" w:rsidP="002B5BDE">
            <w:pPr>
              <w:spacing w:before="0" w:after="0" w:line="259" w:lineRule="auto"/>
              <w:rPr>
                <w:rFonts w:cs="Calibri"/>
                <w:color w:val="000000"/>
                <w:szCs w:val="22"/>
              </w:rPr>
            </w:pPr>
            <w:r w:rsidRPr="00AA649D">
              <w:rPr>
                <w:b/>
                <w:color w:val="FFFFFF" w:themeColor="background1"/>
                <w:sz w:val="24"/>
              </w:rPr>
              <w:t>Question</w:t>
            </w:r>
          </w:p>
        </w:tc>
      </w:tr>
      <w:tr w:rsidR="00717B3E" w14:paraId="09FD41EE" w14:textId="77777777" w:rsidTr="00367161">
        <w:trPr>
          <w:jc w:val="center"/>
        </w:trPr>
        <w:tc>
          <w:tcPr>
            <w:tcW w:w="9638" w:type="dxa"/>
          </w:tcPr>
          <w:p w14:paraId="58993E70" w14:textId="4EB662D9" w:rsidR="00717B3E" w:rsidRPr="00D363BB" w:rsidRDefault="00717B3E" w:rsidP="001D6964">
            <w:pPr>
              <w:pStyle w:val="OutlineNumbered1"/>
              <w:numPr>
                <w:ilvl w:val="0"/>
                <w:numId w:val="36"/>
              </w:numPr>
              <w:ind w:hanging="485"/>
              <w:rPr>
                <w:color w:val="000000"/>
              </w:rPr>
            </w:pPr>
            <w:r>
              <w:t>Are these metrics of 'average' based on quantity or value? </w:t>
            </w:r>
          </w:p>
        </w:tc>
      </w:tr>
      <w:tr w:rsidR="00717B3E" w14:paraId="427CF4C9" w14:textId="77777777" w:rsidTr="00367161">
        <w:trPr>
          <w:jc w:val="center"/>
        </w:trPr>
        <w:tc>
          <w:tcPr>
            <w:tcW w:w="9638" w:type="dxa"/>
            <w:shd w:val="clear" w:color="auto" w:fill="002C47" w:themeFill="accent1"/>
          </w:tcPr>
          <w:p w14:paraId="40C0E0CD" w14:textId="0700BC3F" w:rsidR="00717B3E" w:rsidRDefault="00726188" w:rsidP="002B5BDE">
            <w:pPr>
              <w:spacing w:before="0" w:after="0" w:line="259" w:lineRule="auto"/>
              <w:rPr>
                <w:rFonts w:cs="Calibri"/>
                <w:szCs w:val="22"/>
              </w:rPr>
            </w:pPr>
            <w:r>
              <w:rPr>
                <w:b/>
                <w:color w:val="FFFFFF" w:themeColor="background1"/>
                <w:sz w:val="24"/>
              </w:rPr>
              <w:t>Response</w:t>
            </w:r>
          </w:p>
        </w:tc>
      </w:tr>
      <w:tr w:rsidR="00717B3E" w14:paraId="2E31C588" w14:textId="77777777" w:rsidTr="00367161">
        <w:trPr>
          <w:jc w:val="center"/>
        </w:trPr>
        <w:tc>
          <w:tcPr>
            <w:tcW w:w="9638" w:type="dxa"/>
          </w:tcPr>
          <w:p w14:paraId="38624D07" w14:textId="3B335379" w:rsidR="00717B3E" w:rsidRPr="002526AA" w:rsidRDefault="00AC51D7" w:rsidP="001D6964">
            <w:pPr>
              <w:spacing w:before="0" w:line="259" w:lineRule="auto"/>
              <w:rPr>
                <w:rFonts w:cstheme="minorBidi"/>
              </w:rPr>
            </w:pPr>
            <w:r w:rsidRPr="56DEE646">
              <w:rPr>
                <w:rFonts w:cs="Calibri"/>
                <w:color w:val="000000" w:themeColor="text1"/>
              </w:rPr>
              <w:t>A</w:t>
            </w:r>
            <w:r w:rsidR="00717B3E" w:rsidRPr="56DEE646">
              <w:rPr>
                <w:rFonts w:cs="Calibri"/>
                <w:color w:val="000000" w:themeColor="text1"/>
              </w:rPr>
              <w:t xml:space="preserve">verage payment times by day ranges (within 30 days, 31-60 </w:t>
            </w:r>
            <w:r w:rsidR="000113D4" w:rsidRPr="56DEE646">
              <w:rPr>
                <w:rFonts w:cs="Calibri"/>
                <w:color w:val="000000" w:themeColor="text1"/>
              </w:rPr>
              <w:t>days,</w:t>
            </w:r>
            <w:r w:rsidR="00717B3E" w:rsidRPr="56DEE646">
              <w:rPr>
                <w:rFonts w:cs="Calibri"/>
                <w:color w:val="000000" w:themeColor="text1"/>
              </w:rPr>
              <w:t xml:space="preserve"> and more than 60 days) </w:t>
            </w:r>
            <w:r w:rsidR="00110463" w:rsidRPr="56DEE646">
              <w:rPr>
                <w:rFonts w:cs="Calibri"/>
                <w:color w:val="000000" w:themeColor="text1"/>
              </w:rPr>
              <w:t xml:space="preserve">on the Register </w:t>
            </w:r>
            <w:r w:rsidR="0A641E3A" w:rsidRPr="6EA8E951">
              <w:rPr>
                <w:rFonts w:cs="Calibri"/>
                <w:color w:val="000000" w:themeColor="text1"/>
              </w:rPr>
              <w:t xml:space="preserve">are </w:t>
            </w:r>
            <w:r w:rsidR="00717B3E" w:rsidRPr="6EA8E951">
              <w:rPr>
                <w:rFonts w:cs="Calibri"/>
                <w:color w:val="000000" w:themeColor="text1"/>
              </w:rPr>
              <w:t>based</w:t>
            </w:r>
            <w:r w:rsidR="00717B3E" w:rsidRPr="56DEE646">
              <w:rPr>
                <w:rFonts w:cs="Calibri"/>
                <w:color w:val="000000" w:themeColor="text1"/>
              </w:rPr>
              <w:t xml:space="preserve"> on the number of invoices (quantity).</w:t>
            </w:r>
          </w:p>
        </w:tc>
      </w:tr>
      <w:tr w:rsidR="00717B3E" w14:paraId="585FF7CB" w14:textId="77777777" w:rsidTr="00367161">
        <w:trPr>
          <w:jc w:val="center"/>
        </w:trPr>
        <w:tc>
          <w:tcPr>
            <w:tcW w:w="9638" w:type="dxa"/>
            <w:shd w:val="clear" w:color="auto" w:fill="002C47" w:themeFill="accent1"/>
          </w:tcPr>
          <w:p w14:paraId="3390E2F7" w14:textId="1181727C" w:rsidR="00717B3E" w:rsidRDefault="00717B3E" w:rsidP="002B5BDE">
            <w:pPr>
              <w:spacing w:before="0" w:after="0" w:line="259" w:lineRule="auto"/>
              <w:rPr>
                <w:rFonts w:cs="Calibri"/>
                <w:color w:val="000000"/>
                <w:szCs w:val="22"/>
              </w:rPr>
            </w:pPr>
            <w:r w:rsidRPr="00AA649D">
              <w:rPr>
                <w:b/>
                <w:color w:val="FFFFFF" w:themeColor="background1"/>
                <w:sz w:val="24"/>
              </w:rPr>
              <w:t>Question</w:t>
            </w:r>
          </w:p>
        </w:tc>
      </w:tr>
      <w:tr w:rsidR="00717B3E" w14:paraId="78B2120F" w14:textId="77777777" w:rsidTr="00367161">
        <w:trPr>
          <w:jc w:val="center"/>
        </w:trPr>
        <w:tc>
          <w:tcPr>
            <w:tcW w:w="9638" w:type="dxa"/>
          </w:tcPr>
          <w:p w14:paraId="6DB5F62D" w14:textId="1FFC9297" w:rsidR="00717B3E" w:rsidRPr="00D363BB" w:rsidRDefault="00717B3E" w:rsidP="001D6964">
            <w:pPr>
              <w:pStyle w:val="OutlineNumbered1"/>
              <w:numPr>
                <w:ilvl w:val="0"/>
                <w:numId w:val="37"/>
              </w:numPr>
              <w:ind w:hanging="485"/>
              <w:rPr>
                <w:color w:val="000000"/>
                <w:szCs w:val="22"/>
              </w:rPr>
            </w:pPr>
            <w:r>
              <w:t>When will the most recent reporting period data be included in the online tool? (i.e., June 2024, as the tool looks like it currently only shows up until December 2023 </w:t>
            </w:r>
          </w:p>
        </w:tc>
      </w:tr>
      <w:tr w:rsidR="00717B3E" w14:paraId="64DF6469" w14:textId="77777777" w:rsidTr="00367161">
        <w:trPr>
          <w:jc w:val="center"/>
        </w:trPr>
        <w:tc>
          <w:tcPr>
            <w:tcW w:w="9638" w:type="dxa"/>
            <w:shd w:val="clear" w:color="auto" w:fill="002C47" w:themeFill="accent1"/>
          </w:tcPr>
          <w:p w14:paraId="39574ADA" w14:textId="0C1977BA" w:rsidR="00717B3E" w:rsidRDefault="00726188" w:rsidP="002B5BDE">
            <w:pPr>
              <w:spacing w:before="0" w:after="0" w:line="259" w:lineRule="auto"/>
              <w:rPr>
                <w:rFonts w:cs="Calibri"/>
                <w:sz w:val="21"/>
                <w:szCs w:val="21"/>
              </w:rPr>
            </w:pPr>
            <w:r>
              <w:rPr>
                <w:b/>
                <w:color w:val="FFFFFF" w:themeColor="background1"/>
                <w:sz w:val="24"/>
              </w:rPr>
              <w:t>Response</w:t>
            </w:r>
          </w:p>
        </w:tc>
      </w:tr>
      <w:tr w:rsidR="00717B3E" w14:paraId="665F9028" w14:textId="77777777" w:rsidTr="00367161">
        <w:trPr>
          <w:jc w:val="center"/>
        </w:trPr>
        <w:tc>
          <w:tcPr>
            <w:tcW w:w="9638" w:type="dxa"/>
          </w:tcPr>
          <w:p w14:paraId="02AB404F" w14:textId="4DDBF294" w:rsidR="00BA2260" w:rsidRDefault="00110463" w:rsidP="001D6964">
            <w:pPr>
              <w:spacing w:before="0" w:line="259" w:lineRule="auto"/>
              <w:rPr>
                <w:rFonts w:cs="Calibri"/>
                <w:color w:val="000000"/>
                <w:szCs w:val="22"/>
              </w:rPr>
            </w:pPr>
            <w:r>
              <w:rPr>
                <w:rFonts w:cs="Calibri"/>
                <w:color w:val="000000"/>
                <w:szCs w:val="22"/>
              </w:rPr>
              <w:t>The displays on the i</w:t>
            </w:r>
            <w:r w:rsidR="00717B3E">
              <w:rPr>
                <w:rFonts w:cs="Calibri"/>
                <w:color w:val="000000"/>
                <w:szCs w:val="22"/>
              </w:rPr>
              <w:t>nteractive</w:t>
            </w:r>
            <w:r w:rsidR="007C4AAF">
              <w:rPr>
                <w:rFonts w:cs="Calibri"/>
                <w:color w:val="000000"/>
                <w:szCs w:val="22"/>
              </w:rPr>
              <w:t xml:space="preserve"> Payment Times Reporting</w:t>
            </w:r>
            <w:r w:rsidR="00717B3E">
              <w:rPr>
                <w:rFonts w:cs="Calibri"/>
                <w:color w:val="000000"/>
                <w:szCs w:val="22"/>
              </w:rPr>
              <w:t xml:space="preserve"> Register </w:t>
            </w:r>
            <w:r>
              <w:rPr>
                <w:rFonts w:cs="Calibri"/>
                <w:color w:val="000000"/>
                <w:szCs w:val="22"/>
              </w:rPr>
              <w:t xml:space="preserve">are </w:t>
            </w:r>
            <w:r w:rsidR="00A12DA5">
              <w:rPr>
                <w:rFonts w:cs="Calibri"/>
                <w:color w:val="000000"/>
                <w:szCs w:val="22"/>
              </w:rPr>
              <w:t>update</w:t>
            </w:r>
            <w:r w:rsidR="007C4AAF">
              <w:rPr>
                <w:rFonts w:cs="Calibri"/>
                <w:color w:val="000000"/>
                <w:szCs w:val="22"/>
              </w:rPr>
              <w:t>d</w:t>
            </w:r>
            <w:r w:rsidR="00A12DA5">
              <w:rPr>
                <w:rFonts w:cs="Calibri"/>
                <w:color w:val="000000"/>
                <w:szCs w:val="22"/>
              </w:rPr>
              <w:t xml:space="preserve"> </w:t>
            </w:r>
            <w:r w:rsidR="00BA2260">
              <w:rPr>
                <w:rFonts w:cs="Calibri"/>
                <w:color w:val="000000"/>
                <w:szCs w:val="22"/>
              </w:rPr>
              <w:t xml:space="preserve">approximately 3 months </w:t>
            </w:r>
            <w:r w:rsidR="00717B3E">
              <w:rPr>
                <w:rFonts w:cs="Calibri"/>
                <w:color w:val="000000"/>
                <w:szCs w:val="22"/>
              </w:rPr>
              <w:t>after the end of the reporting cycle</w:t>
            </w:r>
            <w:r w:rsidR="00BA2260">
              <w:rPr>
                <w:rFonts w:cs="Calibri"/>
                <w:color w:val="000000"/>
                <w:szCs w:val="22"/>
              </w:rPr>
              <w:t xml:space="preserve"> to allow </w:t>
            </w:r>
            <w:r w:rsidR="00A12DA5">
              <w:rPr>
                <w:rFonts w:cs="Calibri"/>
                <w:color w:val="000000"/>
                <w:szCs w:val="22"/>
              </w:rPr>
              <w:t xml:space="preserve">time </w:t>
            </w:r>
            <w:r w:rsidR="00BA2260">
              <w:rPr>
                <w:rFonts w:cs="Calibri"/>
                <w:color w:val="000000"/>
                <w:szCs w:val="22"/>
              </w:rPr>
              <w:t>for reports to be submitted</w:t>
            </w:r>
            <w:r w:rsidR="00717B3E">
              <w:rPr>
                <w:rFonts w:cs="Calibri"/>
                <w:color w:val="000000"/>
                <w:szCs w:val="22"/>
              </w:rPr>
              <w:t xml:space="preserve">. For example, </w:t>
            </w:r>
            <w:r w:rsidR="00C85B38">
              <w:rPr>
                <w:rFonts w:cs="Calibri"/>
                <w:color w:val="000000"/>
                <w:szCs w:val="22"/>
              </w:rPr>
              <w:t xml:space="preserve">displays </w:t>
            </w:r>
            <w:r w:rsidR="00A12DA5">
              <w:rPr>
                <w:rFonts w:cs="Calibri"/>
                <w:color w:val="000000"/>
                <w:szCs w:val="22"/>
              </w:rPr>
              <w:t xml:space="preserve">will be updated to include </w:t>
            </w:r>
            <w:r w:rsidR="00717B3E">
              <w:rPr>
                <w:rFonts w:cs="Calibri"/>
                <w:color w:val="000000"/>
                <w:szCs w:val="22"/>
              </w:rPr>
              <w:t xml:space="preserve">reporting cycle 7 </w:t>
            </w:r>
            <w:r w:rsidR="00A12DA5">
              <w:rPr>
                <w:rFonts w:cs="Calibri"/>
                <w:color w:val="000000"/>
                <w:szCs w:val="22"/>
              </w:rPr>
              <w:t>(</w:t>
            </w:r>
            <w:r w:rsidR="00A21348">
              <w:rPr>
                <w:rFonts w:cs="Calibri"/>
                <w:color w:val="000000"/>
                <w:szCs w:val="22"/>
              </w:rPr>
              <w:t>ending on 30 June 2024</w:t>
            </w:r>
            <w:r w:rsidR="00A12DA5">
              <w:rPr>
                <w:rFonts w:cs="Calibri"/>
                <w:color w:val="000000"/>
                <w:szCs w:val="22"/>
              </w:rPr>
              <w:t xml:space="preserve">) </w:t>
            </w:r>
            <w:r w:rsidR="00BA2260">
              <w:rPr>
                <w:rFonts w:cs="Calibri"/>
                <w:color w:val="000000"/>
                <w:szCs w:val="22"/>
              </w:rPr>
              <w:t xml:space="preserve">in early </w:t>
            </w:r>
            <w:r w:rsidR="00717B3E">
              <w:rPr>
                <w:rFonts w:cs="Calibri"/>
                <w:color w:val="000000"/>
                <w:szCs w:val="22"/>
              </w:rPr>
              <w:t xml:space="preserve">October 2024. </w:t>
            </w:r>
          </w:p>
          <w:p w14:paraId="4669DD67" w14:textId="7E23F14A" w:rsidR="00717B3E" w:rsidRPr="002526AA" w:rsidRDefault="00CE6558" w:rsidP="001D6964">
            <w:pPr>
              <w:spacing w:before="0" w:line="259" w:lineRule="auto"/>
              <w:rPr>
                <w:rFonts w:cstheme="minorHAnsi"/>
                <w:szCs w:val="22"/>
              </w:rPr>
            </w:pPr>
            <w:r>
              <w:rPr>
                <w:rFonts w:cs="Calibri"/>
                <w:color w:val="000000"/>
                <w:szCs w:val="22"/>
              </w:rPr>
              <w:t xml:space="preserve">There will be a delay in the update of displays for </w:t>
            </w:r>
            <w:r w:rsidR="00C85B38">
              <w:rPr>
                <w:rFonts w:cs="Calibri"/>
                <w:color w:val="000000"/>
                <w:szCs w:val="22"/>
              </w:rPr>
              <w:t xml:space="preserve">reporting </w:t>
            </w:r>
            <w:r w:rsidR="00717B3E">
              <w:rPr>
                <w:rFonts w:cs="Calibri"/>
                <w:color w:val="000000"/>
                <w:szCs w:val="22"/>
              </w:rPr>
              <w:t xml:space="preserve">cycle 8 </w:t>
            </w:r>
            <w:r w:rsidR="00C85B38">
              <w:rPr>
                <w:rFonts w:cs="Calibri"/>
                <w:color w:val="000000"/>
                <w:szCs w:val="22"/>
              </w:rPr>
              <w:t>because of the automatic extension of time to report to</w:t>
            </w:r>
            <w:r>
              <w:rPr>
                <w:rFonts w:cs="Calibri"/>
                <w:color w:val="000000"/>
                <w:szCs w:val="22"/>
              </w:rPr>
              <w:t xml:space="preserve"> 30</w:t>
            </w:r>
            <w:r w:rsidR="00C85B38">
              <w:rPr>
                <w:rFonts w:cs="Calibri"/>
                <w:color w:val="000000"/>
                <w:szCs w:val="22"/>
              </w:rPr>
              <w:t xml:space="preserve"> </w:t>
            </w:r>
            <w:r w:rsidR="00717B3E">
              <w:rPr>
                <w:rFonts w:cs="Calibri"/>
                <w:color w:val="000000"/>
                <w:szCs w:val="22"/>
              </w:rPr>
              <w:t>June 2025</w:t>
            </w:r>
            <w:r w:rsidR="00C85B38">
              <w:rPr>
                <w:rFonts w:cs="Calibri"/>
                <w:color w:val="000000"/>
                <w:szCs w:val="22"/>
              </w:rPr>
              <w:t>.</w:t>
            </w:r>
          </w:p>
        </w:tc>
      </w:tr>
      <w:tr w:rsidR="00B0467A" w14:paraId="5302390C" w14:textId="77777777" w:rsidTr="00367161">
        <w:trPr>
          <w:jc w:val="center"/>
        </w:trPr>
        <w:tc>
          <w:tcPr>
            <w:tcW w:w="9638" w:type="dxa"/>
            <w:shd w:val="clear" w:color="auto" w:fill="E5E9EF"/>
          </w:tcPr>
          <w:p w14:paraId="76FFEBB3" w14:textId="62AD708F" w:rsidR="00B0467A" w:rsidRPr="00CB4DF4" w:rsidRDefault="00B0467A" w:rsidP="002B5BDE">
            <w:pPr>
              <w:pStyle w:val="Heading3"/>
              <w:spacing w:before="0" w:after="0" w:line="259" w:lineRule="auto"/>
            </w:pPr>
            <w:bookmarkStart w:id="95" w:name="_Toc178596609"/>
            <w:r>
              <w:t>Report Contents</w:t>
            </w:r>
            <w:bookmarkEnd w:id="95"/>
          </w:p>
        </w:tc>
      </w:tr>
      <w:tr w:rsidR="00284AE1" w14:paraId="5FC4A4FC" w14:textId="77777777" w:rsidTr="00367161">
        <w:trPr>
          <w:tblHeader/>
          <w:jc w:val="center"/>
        </w:trPr>
        <w:tc>
          <w:tcPr>
            <w:tcW w:w="9638" w:type="dxa"/>
            <w:shd w:val="clear" w:color="auto" w:fill="2C384A"/>
          </w:tcPr>
          <w:p w14:paraId="75B5EFFD" w14:textId="15C6010D" w:rsidR="00284AE1" w:rsidRPr="00EC28C4" w:rsidRDefault="00284AE1" w:rsidP="002B5BDE">
            <w:pPr>
              <w:spacing w:before="0" w:after="0" w:line="259" w:lineRule="auto"/>
              <w:rPr>
                <w:b/>
                <w:color w:val="FFFFFF" w:themeColor="background1"/>
                <w:sz w:val="24"/>
              </w:rPr>
            </w:pPr>
            <w:r>
              <w:rPr>
                <w:b/>
                <w:color w:val="FFFFFF" w:themeColor="background1"/>
                <w:sz w:val="24"/>
              </w:rPr>
              <w:t>Question</w:t>
            </w:r>
          </w:p>
        </w:tc>
      </w:tr>
      <w:tr w:rsidR="0065654D" w14:paraId="29913D6A" w14:textId="77777777" w:rsidTr="00367161">
        <w:trPr>
          <w:jc w:val="center"/>
        </w:trPr>
        <w:tc>
          <w:tcPr>
            <w:tcW w:w="9638" w:type="dxa"/>
          </w:tcPr>
          <w:p w14:paraId="4999BA69" w14:textId="76DEBB4C" w:rsidR="0065654D" w:rsidRDefault="0065654D" w:rsidP="001D6964">
            <w:pPr>
              <w:pStyle w:val="OutlineNumbered1"/>
              <w:ind w:hanging="485"/>
              <w:rPr>
                <w:rFonts w:cs="Calibri"/>
                <w:szCs w:val="22"/>
              </w:rPr>
            </w:pPr>
            <w:r>
              <w:t>Many entities do not have any standard payment period on offer (or offered) to small business suppliers. Most standard payment period is from the term stated on the invoices. Can we use that instead in the payment times report? Column M to Column U regarding standard payment period are the most confusing section to report for most of our entities. I suggest more practical examples to be given on the Cell Guidance of the Guidance Note 2: Appendix 1. </w:t>
            </w:r>
          </w:p>
        </w:tc>
      </w:tr>
      <w:tr w:rsidR="0065654D" w14:paraId="1A51529B" w14:textId="77777777" w:rsidTr="00367161">
        <w:trPr>
          <w:jc w:val="center"/>
        </w:trPr>
        <w:tc>
          <w:tcPr>
            <w:tcW w:w="9638" w:type="dxa"/>
            <w:shd w:val="clear" w:color="auto" w:fill="002C47" w:themeFill="accent1"/>
          </w:tcPr>
          <w:p w14:paraId="0DEEB98F" w14:textId="123B6DC5" w:rsidR="0065654D" w:rsidRDefault="00726188" w:rsidP="002B5BDE">
            <w:pPr>
              <w:spacing w:before="0" w:after="0" w:line="259" w:lineRule="auto"/>
              <w:rPr>
                <w:rFonts w:cs="Calibri"/>
                <w:sz w:val="21"/>
                <w:szCs w:val="21"/>
              </w:rPr>
            </w:pPr>
            <w:r>
              <w:rPr>
                <w:b/>
                <w:color w:val="FFFFFF" w:themeColor="background1"/>
                <w:sz w:val="24"/>
              </w:rPr>
              <w:t>Response</w:t>
            </w:r>
          </w:p>
        </w:tc>
      </w:tr>
      <w:tr w:rsidR="0065654D" w14:paraId="341460FE" w14:textId="77777777" w:rsidTr="00367161">
        <w:trPr>
          <w:jc w:val="center"/>
        </w:trPr>
        <w:tc>
          <w:tcPr>
            <w:tcW w:w="9638" w:type="dxa"/>
          </w:tcPr>
          <w:p w14:paraId="697D163B" w14:textId="157CACC4" w:rsidR="00041456" w:rsidRDefault="002C2BA5" w:rsidP="001D6964">
            <w:pPr>
              <w:spacing w:before="0" w:line="259" w:lineRule="auto"/>
              <w:rPr>
                <w:rFonts w:cs="Calibri"/>
                <w:szCs w:val="22"/>
              </w:rPr>
            </w:pPr>
            <w:r>
              <w:rPr>
                <w:rFonts w:cs="Calibri"/>
                <w:szCs w:val="22"/>
              </w:rPr>
              <w:t xml:space="preserve">New reporting requirements replace the </w:t>
            </w:r>
            <w:r w:rsidR="002B3E7B">
              <w:rPr>
                <w:rFonts w:cs="Calibri"/>
                <w:szCs w:val="22"/>
              </w:rPr>
              <w:t xml:space="preserve">'Standard', 'Shortest' and 'Longest' payment terms with a statistical mode </w:t>
            </w:r>
            <w:r w:rsidR="00041456">
              <w:rPr>
                <w:rFonts w:cs="Calibri"/>
                <w:szCs w:val="22"/>
              </w:rPr>
              <w:t xml:space="preserve">for reportable </w:t>
            </w:r>
            <w:r w:rsidR="00041456" w:rsidRPr="008B2270">
              <w:rPr>
                <w:rFonts w:cs="Calibri"/>
                <w:szCs w:val="22"/>
              </w:rPr>
              <w:t>payments</w:t>
            </w:r>
            <w:r w:rsidR="007B3FD8" w:rsidRPr="008B2270">
              <w:rPr>
                <w:rFonts w:cs="Calibri"/>
                <w:szCs w:val="22"/>
              </w:rPr>
              <w:t>;</w:t>
            </w:r>
            <w:r w:rsidR="008B2270" w:rsidRPr="008B2270">
              <w:rPr>
                <w:rFonts w:cs="Calibri"/>
                <w:szCs w:val="22"/>
              </w:rPr>
              <w:t xml:space="preserve"> </w:t>
            </w:r>
            <w:r w:rsidR="000E2132">
              <w:rPr>
                <w:rFonts w:cs="Calibri"/>
                <w:szCs w:val="22"/>
              </w:rPr>
              <w:t xml:space="preserve">see </w:t>
            </w:r>
            <w:r w:rsidR="008B2270" w:rsidRPr="008B2270">
              <w:rPr>
                <w:rFonts w:cs="Calibri"/>
                <w:szCs w:val="22"/>
              </w:rPr>
              <w:t>Rules s 13(3)(a)</w:t>
            </w:r>
            <w:r w:rsidR="007B3FD8" w:rsidRPr="008B2270">
              <w:rPr>
                <w:rFonts w:cs="Calibri"/>
                <w:szCs w:val="22"/>
              </w:rPr>
              <w:t>.</w:t>
            </w:r>
          </w:p>
          <w:p w14:paraId="5E17047F" w14:textId="38AEB80B" w:rsidR="0065654D" w:rsidRPr="00910B14" w:rsidRDefault="00E32291" w:rsidP="00E32291">
            <w:pPr>
              <w:spacing w:before="0" w:line="259" w:lineRule="auto"/>
              <w:rPr>
                <w:rFonts w:cs="Calibri"/>
                <w:szCs w:val="22"/>
              </w:rPr>
            </w:pPr>
            <w:r>
              <w:rPr>
                <w:rFonts w:cstheme="minorHAnsi"/>
                <w:szCs w:val="22"/>
              </w:rPr>
              <w:t>Revised guidance materials will include detail</w:t>
            </w:r>
            <w:r w:rsidR="0069742F">
              <w:rPr>
                <w:rFonts w:cstheme="minorHAnsi"/>
                <w:szCs w:val="22"/>
              </w:rPr>
              <w:t xml:space="preserve">ed </w:t>
            </w:r>
            <w:r w:rsidR="000A4544">
              <w:rPr>
                <w:rFonts w:cstheme="minorHAnsi"/>
                <w:szCs w:val="22"/>
              </w:rPr>
              <w:t>in</w:t>
            </w:r>
            <w:r>
              <w:rPr>
                <w:rFonts w:cstheme="minorHAnsi"/>
                <w:szCs w:val="22"/>
              </w:rPr>
              <w:t>s</w:t>
            </w:r>
            <w:r w:rsidR="000A4544">
              <w:rPr>
                <w:rFonts w:cstheme="minorHAnsi"/>
                <w:szCs w:val="22"/>
              </w:rPr>
              <w:t>tructions</w:t>
            </w:r>
            <w:r>
              <w:rPr>
                <w:rFonts w:cstheme="minorHAnsi"/>
                <w:szCs w:val="22"/>
              </w:rPr>
              <w:t xml:space="preserve"> </w:t>
            </w:r>
            <w:r w:rsidR="00041456">
              <w:rPr>
                <w:rFonts w:cs="Calibri"/>
                <w:szCs w:val="22"/>
              </w:rPr>
              <w:t xml:space="preserve">on how </w:t>
            </w:r>
            <w:r w:rsidR="00910B14">
              <w:rPr>
                <w:rFonts w:cs="Calibri"/>
                <w:szCs w:val="22"/>
              </w:rPr>
              <w:t>to prepare data and calculate new report contents.</w:t>
            </w:r>
          </w:p>
        </w:tc>
      </w:tr>
      <w:tr w:rsidR="0065654D" w14:paraId="100F2BF3" w14:textId="77777777" w:rsidTr="00367161">
        <w:trPr>
          <w:jc w:val="center"/>
        </w:trPr>
        <w:tc>
          <w:tcPr>
            <w:tcW w:w="9638" w:type="dxa"/>
            <w:shd w:val="clear" w:color="auto" w:fill="002C47" w:themeFill="accent1"/>
          </w:tcPr>
          <w:p w14:paraId="654B2D21" w14:textId="7EE40F70" w:rsidR="0065654D" w:rsidRDefault="0065654D" w:rsidP="00F17EF1">
            <w:pPr>
              <w:spacing w:before="0" w:after="0" w:line="259" w:lineRule="auto"/>
              <w:rPr>
                <w:rFonts w:cs="Calibri"/>
                <w:szCs w:val="22"/>
              </w:rPr>
            </w:pPr>
            <w:r w:rsidRPr="00284AE1">
              <w:rPr>
                <w:b/>
                <w:color w:val="FFFFFF" w:themeColor="background1"/>
                <w:sz w:val="24"/>
              </w:rPr>
              <w:lastRenderedPageBreak/>
              <w:t>Question</w:t>
            </w:r>
          </w:p>
        </w:tc>
      </w:tr>
      <w:tr w:rsidR="0065654D" w14:paraId="7F4C5700" w14:textId="77777777" w:rsidTr="00367161">
        <w:trPr>
          <w:jc w:val="center"/>
        </w:trPr>
        <w:tc>
          <w:tcPr>
            <w:tcW w:w="9638" w:type="dxa"/>
          </w:tcPr>
          <w:p w14:paraId="2A3646F1" w14:textId="489858C9" w:rsidR="0065654D" w:rsidRDefault="0065654D" w:rsidP="001D6964">
            <w:pPr>
              <w:pStyle w:val="OutlineNumbered1"/>
              <w:ind w:hanging="485"/>
              <w:rPr>
                <w:rFonts w:cs="Calibri"/>
                <w:szCs w:val="22"/>
              </w:rPr>
            </w:pPr>
            <w:r>
              <w:rPr>
                <w:rFonts w:cs="Calibri"/>
                <w:szCs w:val="22"/>
              </w:rPr>
              <w:t>You mention that we can jump straight to the trade credit payments and only need to report on the small business trade credit payments. The Exposure Draft from July 2024 lists reportable metrics such as (1) Percentage of Small Business procurement out of all procurement and (2) Percentage of Small Business Trade Credit Payments out of all Small Business Payments. Wouldn't this mean we do still need to consider non-trade credit payments in calculating the denominator? </w:t>
            </w:r>
          </w:p>
        </w:tc>
      </w:tr>
      <w:tr w:rsidR="0065654D" w14:paraId="1C16BFE7" w14:textId="77777777" w:rsidTr="00367161">
        <w:trPr>
          <w:jc w:val="center"/>
        </w:trPr>
        <w:tc>
          <w:tcPr>
            <w:tcW w:w="9638" w:type="dxa"/>
            <w:shd w:val="clear" w:color="auto" w:fill="002C47" w:themeFill="accent1"/>
          </w:tcPr>
          <w:p w14:paraId="68FF1007" w14:textId="4316497C" w:rsidR="0065654D" w:rsidRDefault="00726188" w:rsidP="00F17EF1">
            <w:pPr>
              <w:spacing w:before="0" w:after="0" w:line="259" w:lineRule="auto"/>
              <w:rPr>
                <w:rFonts w:cs="Calibri"/>
                <w:szCs w:val="22"/>
              </w:rPr>
            </w:pPr>
            <w:r>
              <w:rPr>
                <w:b/>
                <w:color w:val="FFFFFF" w:themeColor="background1"/>
                <w:sz w:val="24"/>
              </w:rPr>
              <w:t>Response</w:t>
            </w:r>
          </w:p>
        </w:tc>
      </w:tr>
      <w:tr w:rsidR="0065654D" w14:paraId="495D5364" w14:textId="77777777" w:rsidTr="00367161">
        <w:trPr>
          <w:jc w:val="center"/>
        </w:trPr>
        <w:tc>
          <w:tcPr>
            <w:tcW w:w="9638" w:type="dxa"/>
          </w:tcPr>
          <w:p w14:paraId="20E421BC" w14:textId="04584D46" w:rsidR="00C11023" w:rsidRDefault="00724140" w:rsidP="001D6964">
            <w:pPr>
              <w:spacing w:before="0" w:line="259" w:lineRule="auto"/>
              <w:rPr>
                <w:rFonts w:cs="Calibri"/>
                <w:color w:val="000000"/>
              </w:rPr>
            </w:pPr>
            <w:r w:rsidRPr="4FB03F14">
              <w:rPr>
                <w:rFonts w:cs="Calibri"/>
                <w:color w:val="000000" w:themeColor="text1"/>
              </w:rPr>
              <w:t xml:space="preserve">The </w:t>
            </w:r>
            <w:r w:rsidR="00327010" w:rsidRPr="4FB03F14">
              <w:rPr>
                <w:rFonts w:cs="Calibri"/>
                <w:color w:val="000000" w:themeColor="text1"/>
              </w:rPr>
              <w:t xml:space="preserve">new Rules </w:t>
            </w:r>
            <w:r w:rsidRPr="4FB03F14">
              <w:rPr>
                <w:rFonts w:cs="Calibri"/>
                <w:color w:val="000000" w:themeColor="text1"/>
              </w:rPr>
              <w:t>remove the need to consider non-trade credit payments for any report</w:t>
            </w:r>
            <w:r w:rsidR="0065114C" w:rsidRPr="4FB03F14">
              <w:rPr>
                <w:rFonts w:cs="Calibri"/>
                <w:color w:val="000000" w:themeColor="text1"/>
              </w:rPr>
              <w:t>ing fields</w:t>
            </w:r>
            <w:r w:rsidR="00C11023" w:rsidRPr="4FB03F14">
              <w:rPr>
                <w:rFonts w:cs="Calibri"/>
                <w:color w:val="000000" w:themeColor="text1"/>
              </w:rPr>
              <w:t>.</w:t>
            </w:r>
          </w:p>
          <w:p w14:paraId="45578385" w14:textId="4DAB328F" w:rsidR="0065654D" w:rsidRPr="00C11023" w:rsidRDefault="00327010" w:rsidP="00327010">
            <w:pPr>
              <w:spacing w:before="0" w:line="259" w:lineRule="auto"/>
              <w:rPr>
                <w:rFonts w:cs="Calibri"/>
                <w:color w:val="000000"/>
                <w:szCs w:val="22"/>
                <w:highlight w:val="yellow"/>
              </w:rPr>
            </w:pPr>
            <w:r>
              <w:rPr>
                <w:rFonts w:cstheme="minorHAnsi"/>
                <w:szCs w:val="22"/>
              </w:rPr>
              <w:t xml:space="preserve">Revised guidance materials will include details </w:t>
            </w:r>
            <w:r w:rsidR="00C11023">
              <w:rPr>
                <w:rFonts w:cs="Calibri"/>
                <w:szCs w:val="22"/>
              </w:rPr>
              <w:t>on how to prepare data and calculate new report contents.</w:t>
            </w:r>
          </w:p>
        </w:tc>
      </w:tr>
      <w:tr w:rsidR="0065654D" w14:paraId="2AEFEFDD" w14:textId="77777777" w:rsidTr="00367161">
        <w:trPr>
          <w:jc w:val="center"/>
        </w:trPr>
        <w:tc>
          <w:tcPr>
            <w:tcW w:w="9638" w:type="dxa"/>
            <w:shd w:val="clear" w:color="auto" w:fill="002C47" w:themeFill="accent1"/>
          </w:tcPr>
          <w:p w14:paraId="75326F97" w14:textId="467482DE" w:rsidR="0065654D" w:rsidRPr="00740A31" w:rsidRDefault="0065654D" w:rsidP="00F17EF1">
            <w:pPr>
              <w:spacing w:before="0" w:after="0" w:line="259" w:lineRule="auto"/>
              <w:rPr>
                <w:rFonts w:cs="Calibri"/>
                <w:color w:val="000000"/>
                <w:szCs w:val="22"/>
                <w:highlight w:val="yellow"/>
              </w:rPr>
            </w:pPr>
            <w:r w:rsidRPr="00284AE1">
              <w:rPr>
                <w:b/>
                <w:color w:val="FFFFFF" w:themeColor="background1"/>
                <w:sz w:val="24"/>
              </w:rPr>
              <w:t>Questions</w:t>
            </w:r>
          </w:p>
        </w:tc>
      </w:tr>
      <w:tr w:rsidR="0065654D" w14:paraId="357A966E" w14:textId="77777777" w:rsidTr="00367161">
        <w:trPr>
          <w:jc w:val="center"/>
        </w:trPr>
        <w:tc>
          <w:tcPr>
            <w:tcW w:w="9638" w:type="dxa"/>
          </w:tcPr>
          <w:p w14:paraId="1E9F8DC6" w14:textId="77777777" w:rsidR="00B557D9" w:rsidRPr="00700CD8" w:rsidRDefault="0065654D" w:rsidP="001D6964">
            <w:pPr>
              <w:pStyle w:val="OutlineNumbered1"/>
              <w:tabs>
                <w:tab w:val="clear" w:pos="6805"/>
                <w:tab w:val="num" w:pos="851"/>
              </w:tabs>
              <w:ind w:hanging="485"/>
              <w:rPr>
                <w:color w:val="000000"/>
              </w:rPr>
            </w:pPr>
            <w:r w:rsidRPr="00B557D9">
              <w:t>What is the detailed calculation methodology that entity must use? </w:t>
            </w:r>
          </w:p>
          <w:p w14:paraId="1E4562FE" w14:textId="77777777" w:rsidR="00B557D9" w:rsidRPr="00E266A5" w:rsidRDefault="00B557D9" w:rsidP="001D6964">
            <w:pPr>
              <w:pStyle w:val="OutlineNumbered1"/>
              <w:ind w:hanging="485"/>
              <w:rPr>
                <w:color w:val="000000"/>
              </w:rPr>
            </w:pPr>
            <w:r w:rsidRPr="00E266A5">
              <w:rPr>
                <w:rFonts w:cs="Calibri"/>
              </w:rPr>
              <w:t>Will the information required remain same? Will the CSV import change? </w:t>
            </w:r>
          </w:p>
          <w:p w14:paraId="7636F5A4" w14:textId="18470B2D" w:rsidR="00284AE1" w:rsidRPr="00E266A5" w:rsidRDefault="00284AE1" w:rsidP="001D6964">
            <w:pPr>
              <w:pStyle w:val="OutlineNumbered1"/>
              <w:ind w:hanging="485"/>
              <w:rPr>
                <w:color w:val="000000"/>
              </w:rPr>
            </w:pPr>
            <w:r w:rsidRPr="00E266A5">
              <w:rPr>
                <w:rFonts w:cs="Calibri"/>
              </w:rPr>
              <w:t>Where can I find the reporting columns formulas?</w:t>
            </w:r>
          </w:p>
        </w:tc>
      </w:tr>
      <w:tr w:rsidR="00284AE1" w14:paraId="5D95E2B5" w14:textId="77777777" w:rsidTr="00367161">
        <w:trPr>
          <w:trHeight w:val="312"/>
          <w:jc w:val="center"/>
        </w:trPr>
        <w:tc>
          <w:tcPr>
            <w:tcW w:w="9638" w:type="dxa"/>
            <w:shd w:val="clear" w:color="auto" w:fill="002C47" w:themeFill="accent1"/>
          </w:tcPr>
          <w:p w14:paraId="6769B6C7" w14:textId="36BF83BC" w:rsidR="00284AE1" w:rsidRPr="00E266A5" w:rsidRDefault="00726188" w:rsidP="00F17EF1">
            <w:pPr>
              <w:spacing w:before="0" w:after="0" w:line="259" w:lineRule="auto"/>
            </w:pPr>
            <w:r>
              <w:rPr>
                <w:b/>
                <w:color w:val="FFFFFF" w:themeColor="background1"/>
                <w:sz w:val="24"/>
              </w:rPr>
              <w:t>Response</w:t>
            </w:r>
          </w:p>
        </w:tc>
      </w:tr>
      <w:tr w:rsidR="00284AE1" w14:paraId="492764E0" w14:textId="77777777" w:rsidTr="00367161">
        <w:trPr>
          <w:trHeight w:val="581"/>
          <w:jc w:val="center"/>
        </w:trPr>
        <w:tc>
          <w:tcPr>
            <w:tcW w:w="9638" w:type="dxa"/>
          </w:tcPr>
          <w:p w14:paraId="72819887" w14:textId="7E12CE77" w:rsidR="00284AE1" w:rsidRPr="00624C58" w:rsidRDefault="00284AE1" w:rsidP="001D6964">
            <w:pPr>
              <w:spacing w:before="0" w:line="259" w:lineRule="auto"/>
              <w:rPr>
                <w:rFonts w:cs="Calibri"/>
                <w:color w:val="000000"/>
                <w:szCs w:val="22"/>
              </w:rPr>
            </w:pPr>
            <w:r>
              <w:rPr>
                <w:rFonts w:cs="Calibri"/>
                <w:color w:val="000000"/>
                <w:szCs w:val="22"/>
              </w:rPr>
              <w:t xml:space="preserve">For reporting periods that commenced prior to 1 July 2024, </w:t>
            </w:r>
            <w:r w:rsidR="00237DE9">
              <w:rPr>
                <w:rFonts w:cs="Calibri"/>
                <w:color w:val="000000"/>
                <w:szCs w:val="22"/>
              </w:rPr>
              <w:t xml:space="preserve">entities should refer to the existing </w:t>
            </w:r>
            <w:r>
              <w:rPr>
                <w:rFonts w:cs="Calibri"/>
                <w:color w:val="000000"/>
                <w:szCs w:val="22"/>
              </w:rPr>
              <w:t xml:space="preserve">guidance available </w:t>
            </w:r>
            <w:r w:rsidRPr="00624C58">
              <w:rPr>
                <w:rFonts w:cs="Calibri"/>
                <w:color w:val="000000"/>
                <w:szCs w:val="22"/>
              </w:rPr>
              <w:t xml:space="preserve">on the </w:t>
            </w:r>
            <w:hyperlink r:id="rId27" w:history="1">
              <w:r w:rsidRPr="00624C58">
                <w:rPr>
                  <w:rStyle w:val="Hyperlink"/>
                  <w:rFonts w:cs="Calibri"/>
                  <w:szCs w:val="22"/>
                </w:rPr>
                <w:t>Payment Times Reporting Scheme website</w:t>
              </w:r>
            </w:hyperlink>
            <w:r w:rsidRPr="00624C58">
              <w:rPr>
                <w:rFonts w:cs="Calibri"/>
                <w:color w:val="000000"/>
                <w:szCs w:val="22"/>
              </w:rPr>
              <w:t>.</w:t>
            </w:r>
          </w:p>
          <w:p w14:paraId="7EF3CC83" w14:textId="3E1C6A5A" w:rsidR="00284AE1" w:rsidRPr="00624C58" w:rsidRDefault="007C5EB0" w:rsidP="001D6964">
            <w:pPr>
              <w:spacing w:before="0" w:line="259" w:lineRule="auto"/>
              <w:rPr>
                <w:rFonts w:cs="Calibri"/>
                <w:color w:val="000000"/>
                <w:szCs w:val="22"/>
              </w:rPr>
            </w:pPr>
            <w:r w:rsidRPr="00624C58">
              <w:rPr>
                <w:rFonts w:cs="Calibri"/>
                <w:color w:val="000000"/>
                <w:szCs w:val="22"/>
              </w:rPr>
              <w:t>F</w:t>
            </w:r>
            <w:r w:rsidR="00284AE1" w:rsidRPr="00624C58">
              <w:rPr>
                <w:rFonts w:cs="Calibri"/>
                <w:color w:val="000000"/>
                <w:szCs w:val="22"/>
              </w:rPr>
              <w:t>or reporting periods commencing on or after 1 July 2024</w:t>
            </w:r>
            <w:r w:rsidR="00BE6CBF">
              <w:rPr>
                <w:rFonts w:cs="Calibri"/>
                <w:color w:val="000000"/>
                <w:szCs w:val="22"/>
              </w:rPr>
              <w:t>,</w:t>
            </w:r>
            <w:r w:rsidR="00284AE1" w:rsidRPr="00624C58">
              <w:rPr>
                <w:rFonts w:cs="Calibri"/>
                <w:color w:val="000000"/>
                <w:szCs w:val="22"/>
              </w:rPr>
              <w:t xml:space="preserve"> </w:t>
            </w:r>
            <w:r w:rsidRPr="00624C58">
              <w:rPr>
                <w:rFonts w:cs="Calibri"/>
                <w:szCs w:val="22"/>
              </w:rPr>
              <w:t>revised guidance will provide details on how to prepare data and calculate new report contents.</w:t>
            </w:r>
            <w:r w:rsidR="00E32627" w:rsidRPr="00624C58">
              <w:rPr>
                <w:rFonts w:cs="Calibri"/>
                <w:szCs w:val="22"/>
              </w:rPr>
              <w:t xml:space="preserve"> Information on how reports need to be </w:t>
            </w:r>
            <w:r w:rsidR="00CB0DB7">
              <w:rPr>
                <w:rFonts w:cs="Calibri"/>
                <w:szCs w:val="22"/>
              </w:rPr>
              <w:t>submitted</w:t>
            </w:r>
            <w:r w:rsidR="00E32627" w:rsidRPr="00624C58">
              <w:rPr>
                <w:rFonts w:cs="Calibri"/>
                <w:szCs w:val="22"/>
              </w:rPr>
              <w:t xml:space="preserve"> will be provided with u</w:t>
            </w:r>
            <w:r w:rsidR="00E32627" w:rsidRPr="00624C58">
              <w:rPr>
                <w:rFonts w:cs="Calibri"/>
                <w:color w:val="000000"/>
                <w:szCs w:val="22"/>
              </w:rPr>
              <w:t xml:space="preserve">pdates to the Portal announced on the </w:t>
            </w:r>
            <w:hyperlink r:id="rId28" w:history="1">
              <w:r w:rsidR="00E32627" w:rsidRPr="00624C58">
                <w:rPr>
                  <w:rStyle w:val="Hyperlink"/>
                  <w:rFonts w:cs="Calibri"/>
                  <w:szCs w:val="22"/>
                </w:rPr>
                <w:t>Payment Times Reporting Scheme website</w:t>
              </w:r>
            </w:hyperlink>
            <w:r w:rsidR="00E32627" w:rsidRPr="00624C58">
              <w:rPr>
                <w:rFonts w:cs="Calibri"/>
                <w:color w:val="000000"/>
                <w:szCs w:val="22"/>
              </w:rPr>
              <w:t>.</w:t>
            </w:r>
          </w:p>
          <w:p w14:paraId="3F34016C" w14:textId="421A8DF2" w:rsidR="00284AE1" w:rsidRPr="002526AA" w:rsidRDefault="00284AE1" w:rsidP="001D6964">
            <w:pPr>
              <w:spacing w:before="0" w:line="259" w:lineRule="auto"/>
              <w:rPr>
                <w:rFonts w:cstheme="minorHAnsi"/>
                <w:szCs w:val="22"/>
              </w:rPr>
            </w:pPr>
            <w:r w:rsidRPr="00624C58">
              <w:rPr>
                <w:rFonts w:cs="Calibri"/>
                <w:color w:val="000000"/>
                <w:szCs w:val="22"/>
              </w:rPr>
              <w:t>In the interim, entities may wish to review Part 3 of the</w:t>
            </w:r>
            <w:r w:rsidR="000C7637" w:rsidRPr="00624C58">
              <w:rPr>
                <w:rFonts w:cs="Calibri"/>
                <w:color w:val="000000"/>
                <w:szCs w:val="22"/>
              </w:rPr>
              <w:t xml:space="preserve"> </w:t>
            </w:r>
            <w:hyperlink r:id="rId29" w:history="1">
              <w:r w:rsidR="000C7637" w:rsidRPr="00624C58">
                <w:rPr>
                  <w:rStyle w:val="Hyperlink"/>
                  <w:rFonts w:cs="Calibri"/>
                  <w:szCs w:val="22"/>
                </w:rPr>
                <w:t>Rules</w:t>
              </w:r>
            </w:hyperlink>
            <w:r w:rsidRPr="00624C58">
              <w:rPr>
                <w:rFonts w:cs="Calibri"/>
                <w:color w:val="000000"/>
                <w:szCs w:val="22"/>
              </w:rPr>
              <w:t xml:space="preserve">, or the </w:t>
            </w:r>
            <w:hyperlink r:id="rId30" w:history="1">
              <w:r w:rsidRPr="00624C58">
                <w:rPr>
                  <w:rStyle w:val="Hyperlink"/>
                  <w:rFonts w:cs="Calibri"/>
                  <w:szCs w:val="22"/>
                </w:rPr>
                <w:t>Explanatory Statement</w:t>
              </w:r>
            </w:hyperlink>
            <w:r w:rsidRPr="00624C58">
              <w:rPr>
                <w:rFonts w:cs="Calibri"/>
                <w:color w:val="000000"/>
                <w:szCs w:val="22"/>
              </w:rPr>
              <w:t xml:space="preserve"> which</w:t>
            </w:r>
            <w:r>
              <w:rPr>
                <w:rFonts w:cs="Calibri"/>
                <w:color w:val="000000"/>
                <w:szCs w:val="22"/>
              </w:rPr>
              <w:t xml:space="preserve"> details </w:t>
            </w:r>
            <w:r w:rsidR="007E7B4B">
              <w:rPr>
                <w:rFonts w:cs="Calibri"/>
                <w:color w:val="000000"/>
                <w:szCs w:val="22"/>
              </w:rPr>
              <w:t xml:space="preserve">the </w:t>
            </w:r>
            <w:r>
              <w:rPr>
                <w:rFonts w:cs="Calibri"/>
                <w:color w:val="000000"/>
                <w:szCs w:val="22"/>
              </w:rPr>
              <w:t xml:space="preserve">information entities will need to provide </w:t>
            </w:r>
            <w:r w:rsidR="007E7B4B">
              <w:rPr>
                <w:rFonts w:cs="Calibri"/>
                <w:color w:val="000000"/>
                <w:szCs w:val="22"/>
              </w:rPr>
              <w:t>in a report</w:t>
            </w:r>
            <w:r>
              <w:rPr>
                <w:rFonts w:cs="Calibri"/>
                <w:color w:val="000000"/>
                <w:szCs w:val="22"/>
              </w:rPr>
              <w:t>.</w:t>
            </w:r>
          </w:p>
        </w:tc>
      </w:tr>
      <w:tr w:rsidR="008175FA" w14:paraId="5FB8E475" w14:textId="77777777" w:rsidTr="00367161">
        <w:trPr>
          <w:trHeight w:val="312"/>
          <w:jc w:val="center"/>
        </w:trPr>
        <w:tc>
          <w:tcPr>
            <w:tcW w:w="9638" w:type="dxa"/>
            <w:shd w:val="clear" w:color="auto" w:fill="002C47" w:themeFill="accent1"/>
          </w:tcPr>
          <w:p w14:paraId="01EC4252" w14:textId="73D1D7A6" w:rsidR="008175FA" w:rsidRDefault="008175FA" w:rsidP="00F17EF1">
            <w:pPr>
              <w:spacing w:before="0" w:after="0" w:line="259" w:lineRule="auto"/>
              <w:rPr>
                <w:rFonts w:cs="Calibri"/>
                <w:color w:val="000000"/>
                <w:szCs w:val="22"/>
              </w:rPr>
            </w:pPr>
            <w:r w:rsidRPr="00E3534A">
              <w:rPr>
                <w:b/>
                <w:color w:val="FFFFFF" w:themeColor="background1"/>
                <w:sz w:val="24"/>
              </w:rPr>
              <w:t>Question</w:t>
            </w:r>
          </w:p>
        </w:tc>
      </w:tr>
      <w:tr w:rsidR="008175FA" w14:paraId="7AA30554" w14:textId="77777777" w:rsidTr="00367161">
        <w:trPr>
          <w:trHeight w:val="312"/>
          <w:jc w:val="center"/>
        </w:trPr>
        <w:tc>
          <w:tcPr>
            <w:tcW w:w="9638" w:type="dxa"/>
          </w:tcPr>
          <w:p w14:paraId="3D4E29B6" w14:textId="038F9EEF" w:rsidR="008175FA" w:rsidRPr="0000206A" w:rsidRDefault="008175FA" w:rsidP="001D6964">
            <w:pPr>
              <w:pStyle w:val="OutlineNumbered1"/>
              <w:numPr>
                <w:ilvl w:val="0"/>
                <w:numId w:val="39"/>
              </w:numPr>
              <w:ind w:hanging="485"/>
              <w:rPr>
                <w:rFonts w:cs="Calibri"/>
                <w:color w:val="000000"/>
                <w:szCs w:val="22"/>
              </w:rPr>
            </w:pPr>
            <w:r w:rsidRPr="0000206A">
              <w:rPr>
                <w:rFonts w:cs="Calibri"/>
                <w:szCs w:val="22"/>
              </w:rPr>
              <w:t>Define what is the new reporting measures: average median, 80% and 95% payment time. </w:t>
            </w:r>
          </w:p>
        </w:tc>
      </w:tr>
      <w:tr w:rsidR="008175FA" w14:paraId="204689AB" w14:textId="77777777" w:rsidTr="00367161">
        <w:trPr>
          <w:trHeight w:val="312"/>
          <w:jc w:val="center"/>
        </w:trPr>
        <w:tc>
          <w:tcPr>
            <w:tcW w:w="9638" w:type="dxa"/>
            <w:shd w:val="clear" w:color="auto" w:fill="002C47" w:themeFill="accent1"/>
          </w:tcPr>
          <w:p w14:paraId="66D8A533" w14:textId="29E15CB2" w:rsidR="008175FA" w:rsidRDefault="00726188" w:rsidP="00F17EF1">
            <w:pPr>
              <w:spacing w:before="0" w:after="0" w:line="259" w:lineRule="auto"/>
              <w:rPr>
                <w:rFonts w:cs="Calibri"/>
                <w:szCs w:val="22"/>
              </w:rPr>
            </w:pPr>
            <w:r>
              <w:rPr>
                <w:b/>
                <w:color w:val="FFFFFF" w:themeColor="background1"/>
                <w:sz w:val="24"/>
              </w:rPr>
              <w:t>Response</w:t>
            </w:r>
          </w:p>
        </w:tc>
      </w:tr>
      <w:tr w:rsidR="008175FA" w14:paraId="33513A18" w14:textId="77777777" w:rsidTr="00367161">
        <w:trPr>
          <w:jc w:val="center"/>
        </w:trPr>
        <w:tc>
          <w:tcPr>
            <w:tcW w:w="9638" w:type="dxa"/>
          </w:tcPr>
          <w:p w14:paraId="1D60EB83" w14:textId="24C1E28E" w:rsidR="008175FA" w:rsidRPr="00B82A56" w:rsidRDefault="007E7B4B" w:rsidP="001D6964">
            <w:pPr>
              <w:spacing w:before="0" w:line="259" w:lineRule="auto"/>
              <w:rPr>
                <w:rFonts w:cs="Calibri"/>
                <w:szCs w:val="22"/>
              </w:rPr>
            </w:pPr>
            <w:r>
              <w:rPr>
                <w:rFonts w:cstheme="minorHAnsi"/>
                <w:szCs w:val="22"/>
              </w:rPr>
              <w:t xml:space="preserve">Revised guidance materials will include details </w:t>
            </w:r>
            <w:r w:rsidR="00F62957">
              <w:rPr>
                <w:rFonts w:cs="Calibri"/>
                <w:szCs w:val="22"/>
              </w:rPr>
              <w:t>on how to prepare data and calculate new report contents.</w:t>
            </w:r>
            <w:r w:rsidR="00175121">
              <w:rPr>
                <w:rFonts w:cs="Calibri"/>
                <w:szCs w:val="22"/>
              </w:rPr>
              <w:t xml:space="preserve"> In the interim, the following provides a high-level definition for these reporting fields:</w:t>
            </w:r>
          </w:p>
          <w:p w14:paraId="6617E3BD" w14:textId="797A3FDB" w:rsidR="008175FA" w:rsidRPr="00740A31" w:rsidRDefault="008175FA" w:rsidP="001D6964">
            <w:pPr>
              <w:pStyle w:val="Bullet"/>
              <w:rPr>
                <w:rFonts w:cstheme="minorHAnsi"/>
              </w:rPr>
            </w:pPr>
            <w:r>
              <w:t xml:space="preserve">the average payment time that represents the statistical mean (i.e., the average payment time) </w:t>
            </w:r>
          </w:p>
          <w:p w14:paraId="5FCD31AF" w14:textId="77777777" w:rsidR="008175FA" w:rsidRPr="00740A31" w:rsidRDefault="008175FA" w:rsidP="001D6964">
            <w:pPr>
              <w:pStyle w:val="Bullet"/>
              <w:rPr>
                <w:rFonts w:cstheme="minorHAnsi"/>
              </w:rPr>
            </w:pPr>
            <w:r>
              <w:t>the median payment time (</w:t>
            </w:r>
            <w:r>
              <w:rPr>
                <w:i/>
                <w:iCs/>
              </w:rPr>
              <w:t>the median payment time is the average of the two median payment times if there is an even number of payment times in the dataset</w:t>
            </w:r>
            <w:r>
              <w:t>)</w:t>
            </w:r>
          </w:p>
          <w:p w14:paraId="4E2BA857" w14:textId="77777777" w:rsidR="008175FA" w:rsidRPr="00D93A47" w:rsidRDefault="008175FA" w:rsidP="001D6964">
            <w:pPr>
              <w:pStyle w:val="Bullet"/>
              <w:rPr>
                <w:rFonts w:cstheme="minorHAnsi"/>
              </w:rPr>
            </w:pPr>
            <w:r>
              <w:t>the payment time that is the 80th percentile of all payment times (</w:t>
            </w:r>
            <w:r>
              <w:rPr>
                <w:i/>
                <w:iCs/>
              </w:rPr>
              <w:t>ordered from fastest to slowest</w:t>
            </w:r>
            <w:r>
              <w:t>)</w:t>
            </w:r>
          </w:p>
          <w:p w14:paraId="5D62D34E" w14:textId="7EAF088E" w:rsidR="008175FA" w:rsidRPr="00175121" w:rsidRDefault="008175FA" w:rsidP="001D6964">
            <w:pPr>
              <w:pStyle w:val="Bullet"/>
              <w:rPr>
                <w:rFonts w:cstheme="minorHAnsi"/>
              </w:rPr>
            </w:pPr>
            <w:r>
              <w:t>the payment time that is the 95th percentile of all payment times (</w:t>
            </w:r>
            <w:r>
              <w:rPr>
                <w:i/>
                <w:iCs/>
              </w:rPr>
              <w:t>ordered from fastest to slowest</w:t>
            </w:r>
            <w:r>
              <w:t>)</w:t>
            </w:r>
          </w:p>
        </w:tc>
      </w:tr>
      <w:tr w:rsidR="00B0467A" w14:paraId="4DF9E221" w14:textId="77777777" w:rsidTr="00367161">
        <w:trPr>
          <w:jc w:val="center"/>
        </w:trPr>
        <w:tc>
          <w:tcPr>
            <w:tcW w:w="9638" w:type="dxa"/>
            <w:shd w:val="clear" w:color="auto" w:fill="E5E9EF"/>
          </w:tcPr>
          <w:p w14:paraId="0D88A3A0" w14:textId="1105DA39" w:rsidR="00B0467A" w:rsidRPr="00CB4DF4" w:rsidRDefault="0036082C" w:rsidP="0023518A">
            <w:pPr>
              <w:pStyle w:val="Heading3"/>
              <w:spacing w:before="0" w:after="0" w:line="259" w:lineRule="auto"/>
            </w:pPr>
            <w:bookmarkStart w:id="96" w:name="_Toc178596610"/>
            <w:r>
              <w:lastRenderedPageBreak/>
              <w:t>Reporting Entity Definition</w:t>
            </w:r>
            <w:bookmarkEnd w:id="96"/>
          </w:p>
        </w:tc>
      </w:tr>
      <w:tr w:rsidR="008708B7" w14:paraId="4CBEABEB" w14:textId="77777777" w:rsidTr="00367161">
        <w:trPr>
          <w:tblHeader/>
          <w:jc w:val="center"/>
        </w:trPr>
        <w:tc>
          <w:tcPr>
            <w:tcW w:w="9638" w:type="dxa"/>
            <w:shd w:val="clear" w:color="auto" w:fill="2C384A"/>
          </w:tcPr>
          <w:p w14:paraId="66A11565" w14:textId="4C0132B6" w:rsidR="008708B7" w:rsidRPr="00EC28C4" w:rsidRDefault="008708B7">
            <w:pPr>
              <w:spacing w:before="0" w:after="0" w:line="259" w:lineRule="auto"/>
              <w:rPr>
                <w:b/>
                <w:color w:val="FFFFFF" w:themeColor="background1"/>
                <w:sz w:val="24"/>
              </w:rPr>
            </w:pPr>
            <w:r>
              <w:rPr>
                <w:b/>
                <w:color w:val="FFFFFF" w:themeColor="background1"/>
                <w:sz w:val="24"/>
              </w:rPr>
              <w:t>Question</w:t>
            </w:r>
            <w:r w:rsidR="00726188">
              <w:rPr>
                <w:b/>
                <w:color w:val="FFFFFF" w:themeColor="background1"/>
                <w:sz w:val="24"/>
              </w:rPr>
              <w:t>s</w:t>
            </w:r>
          </w:p>
        </w:tc>
      </w:tr>
      <w:tr w:rsidR="00D86854" w14:paraId="017D2D79" w14:textId="77777777" w:rsidTr="00367161">
        <w:trPr>
          <w:jc w:val="center"/>
        </w:trPr>
        <w:tc>
          <w:tcPr>
            <w:tcW w:w="9638" w:type="dxa"/>
            <w:vAlign w:val="center"/>
          </w:tcPr>
          <w:p w14:paraId="1B61C086" w14:textId="77777777" w:rsidR="00D86854" w:rsidRPr="00D86854" w:rsidRDefault="00D86854" w:rsidP="00160104">
            <w:pPr>
              <w:pStyle w:val="OutlineNumbered1"/>
              <w:numPr>
                <w:ilvl w:val="0"/>
                <w:numId w:val="39"/>
              </w:numPr>
              <w:ind w:hanging="485"/>
            </w:pPr>
            <w:r w:rsidRPr="00D86854">
              <w:t xml:space="preserve">Subsidiary has the same meaning as in the </w:t>
            </w:r>
            <w:r w:rsidRPr="00160104">
              <w:rPr>
                <w:i/>
                <w:iCs/>
              </w:rPr>
              <w:t>Corporations Act 2001</w:t>
            </w:r>
            <w:r w:rsidRPr="00D86854">
              <w:t xml:space="preserve">. An entity is a subsidiary of another entity if the other entity: </w:t>
            </w:r>
          </w:p>
          <w:p w14:paraId="10239E6A" w14:textId="77777777" w:rsidR="00D86854" w:rsidRPr="00D86854" w:rsidRDefault="00D86854" w:rsidP="00D86854">
            <w:pPr>
              <w:pStyle w:val="Bullet"/>
              <w:ind w:left="1135"/>
              <w:rPr>
                <w:rFonts w:cstheme="minorHAnsi"/>
              </w:rPr>
            </w:pPr>
            <w:r w:rsidRPr="00D86854">
              <w:t xml:space="preserve">controls the composition of its </w:t>
            </w:r>
            <w:proofErr w:type="gramStart"/>
            <w:r w:rsidRPr="00D86854">
              <w:t>board</w:t>
            </w:r>
            <w:proofErr w:type="gramEnd"/>
            <w:r w:rsidRPr="00D86854">
              <w:t xml:space="preserve"> </w:t>
            </w:r>
          </w:p>
          <w:p w14:paraId="4180F1CB" w14:textId="77777777" w:rsidR="00D86854" w:rsidRPr="00D86854" w:rsidRDefault="00D86854" w:rsidP="00D86854">
            <w:pPr>
              <w:pStyle w:val="Bullet"/>
              <w:ind w:left="1135"/>
              <w:rPr>
                <w:rFonts w:cstheme="minorHAnsi"/>
              </w:rPr>
            </w:pPr>
            <w:r w:rsidRPr="00D86854">
              <w:t xml:space="preserve">is </w:t>
            </w:r>
            <w:proofErr w:type="gramStart"/>
            <w:r w:rsidRPr="00D86854">
              <w:t>in a position</w:t>
            </w:r>
            <w:proofErr w:type="gramEnd"/>
            <w:r w:rsidRPr="00D86854">
              <w:t xml:space="preserve"> to cast or control more than 50% of the maximum number of votes at an Annual General Meeting, or </w:t>
            </w:r>
          </w:p>
          <w:p w14:paraId="0AC8D5D0" w14:textId="77777777" w:rsidR="00D86854" w:rsidRPr="00D86854" w:rsidRDefault="00D86854" w:rsidP="00D86854">
            <w:pPr>
              <w:pStyle w:val="Bullet"/>
              <w:ind w:left="1135"/>
              <w:rPr>
                <w:rFonts w:cstheme="minorHAnsi"/>
              </w:rPr>
            </w:pPr>
            <w:r w:rsidRPr="00D86854">
              <w:t xml:space="preserve">holds more than 50% of the entity’s issued share capital. </w:t>
            </w:r>
          </w:p>
          <w:p w14:paraId="326E2074" w14:textId="77777777" w:rsidR="00D86854" w:rsidRPr="00D86854" w:rsidRDefault="00D86854" w:rsidP="00D86854">
            <w:pPr>
              <w:spacing w:before="0" w:after="0" w:line="259" w:lineRule="auto"/>
              <w:ind w:left="851"/>
            </w:pPr>
            <w:r w:rsidRPr="00D86854">
              <w:t>Per the above definition, more than 50% is required for control. What about an entity that is 50/50 owned. i.e., no control? </w:t>
            </w:r>
          </w:p>
          <w:p w14:paraId="0C284F77" w14:textId="36BE449D" w:rsidR="00D86854" w:rsidRPr="00D86854" w:rsidRDefault="00D86854" w:rsidP="00160104">
            <w:pPr>
              <w:pStyle w:val="OutlineNumbered1"/>
              <w:ind w:hanging="485"/>
            </w:pPr>
            <w:r w:rsidRPr="00D86854">
              <w:rPr>
                <w:rFonts w:cs="Calibri"/>
                <w:szCs w:val="22"/>
              </w:rPr>
              <w:t>So, a JV entity, being 50/50, without control would not be in a reporting entity? </w:t>
            </w:r>
          </w:p>
        </w:tc>
      </w:tr>
      <w:tr w:rsidR="00D86854" w14:paraId="4E6B54FF" w14:textId="77777777" w:rsidTr="00367161">
        <w:trPr>
          <w:trHeight w:val="312"/>
          <w:jc w:val="center"/>
        </w:trPr>
        <w:tc>
          <w:tcPr>
            <w:tcW w:w="9638" w:type="dxa"/>
            <w:shd w:val="clear" w:color="auto" w:fill="002C47" w:themeFill="accent1"/>
            <w:vAlign w:val="center"/>
          </w:tcPr>
          <w:p w14:paraId="297A285E" w14:textId="394EFDCD" w:rsidR="00D86854" w:rsidRDefault="00726188" w:rsidP="008708B7">
            <w:pPr>
              <w:spacing w:before="0" w:after="0" w:line="259" w:lineRule="auto"/>
            </w:pPr>
            <w:r>
              <w:rPr>
                <w:b/>
                <w:color w:val="FFFFFF" w:themeColor="background1"/>
                <w:sz w:val="24"/>
              </w:rPr>
              <w:t>Response</w:t>
            </w:r>
          </w:p>
        </w:tc>
      </w:tr>
      <w:tr w:rsidR="00D86854" w14:paraId="11A9E80E" w14:textId="77777777" w:rsidTr="00367161">
        <w:trPr>
          <w:trHeight w:val="1432"/>
          <w:jc w:val="center"/>
        </w:trPr>
        <w:tc>
          <w:tcPr>
            <w:tcW w:w="9638" w:type="dxa"/>
            <w:vAlign w:val="center"/>
          </w:tcPr>
          <w:p w14:paraId="396522CE" w14:textId="238C5F6D" w:rsidR="00C007D4" w:rsidRDefault="00B45FB2" w:rsidP="00CE6A63">
            <w:pPr>
              <w:spacing w:before="0" w:line="259" w:lineRule="auto"/>
              <w:rPr>
                <w:rFonts w:cs="Calibri"/>
              </w:rPr>
            </w:pPr>
            <w:r w:rsidRPr="0821B98C">
              <w:rPr>
                <w:rFonts w:cs="Calibri"/>
              </w:rPr>
              <w:t>Reference</w:t>
            </w:r>
            <w:r w:rsidR="003443CC" w:rsidRPr="0821B98C">
              <w:rPr>
                <w:rFonts w:cs="Calibri"/>
              </w:rPr>
              <w:t>s</w:t>
            </w:r>
            <w:r w:rsidRPr="0821B98C">
              <w:rPr>
                <w:rFonts w:cs="Calibri"/>
              </w:rPr>
              <w:t xml:space="preserve"> to </w:t>
            </w:r>
            <w:r w:rsidR="000C61C7" w:rsidRPr="0821B98C">
              <w:rPr>
                <w:rFonts w:cs="Calibri"/>
              </w:rPr>
              <w:t xml:space="preserve">the </w:t>
            </w:r>
            <w:r w:rsidRPr="0821B98C">
              <w:rPr>
                <w:rFonts w:cs="Calibri"/>
                <w:i/>
              </w:rPr>
              <w:t>Corporations Act 2001</w:t>
            </w:r>
            <w:r w:rsidRPr="0821B98C">
              <w:rPr>
                <w:rFonts w:cs="Calibri"/>
              </w:rPr>
              <w:t xml:space="preserve"> definition of ‘subsidiary’ have been removed from the Act.</w:t>
            </w:r>
            <w:r w:rsidR="00C007D4" w:rsidRPr="0821B98C">
              <w:rPr>
                <w:rFonts w:cs="Calibri"/>
              </w:rPr>
              <w:t xml:space="preserve"> Determining whether an entity needs to be consolidated in reporting is based on control as defined by Australian </w:t>
            </w:r>
            <w:r w:rsidR="0389136A" w:rsidRPr="60C6EF53">
              <w:rPr>
                <w:rFonts w:cs="Calibri"/>
              </w:rPr>
              <w:t>A</w:t>
            </w:r>
            <w:r w:rsidR="00C007D4" w:rsidRPr="60C6EF53">
              <w:rPr>
                <w:rFonts w:cs="Calibri"/>
              </w:rPr>
              <w:t xml:space="preserve">ccounting </w:t>
            </w:r>
            <w:r w:rsidR="20744279" w:rsidRPr="60C6EF53">
              <w:rPr>
                <w:rFonts w:cs="Calibri"/>
              </w:rPr>
              <w:t>S</w:t>
            </w:r>
            <w:r w:rsidR="00C007D4" w:rsidRPr="60C6EF53">
              <w:rPr>
                <w:rFonts w:cs="Calibri"/>
              </w:rPr>
              <w:t>tandards</w:t>
            </w:r>
            <w:r w:rsidR="003443CC" w:rsidRPr="60C6EF53">
              <w:rPr>
                <w:rFonts w:cs="Calibri"/>
              </w:rPr>
              <w:t xml:space="preserve">; </w:t>
            </w:r>
            <w:r w:rsidR="00952E14">
              <w:rPr>
                <w:rFonts w:cs="Calibri"/>
              </w:rPr>
              <w:t xml:space="preserve">see </w:t>
            </w:r>
            <w:r w:rsidR="00D94108" w:rsidRPr="60C6EF53">
              <w:rPr>
                <w:rFonts w:cs="Calibri"/>
              </w:rPr>
              <w:t>Act s 5.</w:t>
            </w:r>
          </w:p>
          <w:p w14:paraId="308AB86C" w14:textId="77777777" w:rsidR="003D0F77" w:rsidRDefault="008818EF" w:rsidP="00CE6A63">
            <w:pPr>
              <w:spacing w:before="0" w:line="259" w:lineRule="auto"/>
              <w:rPr>
                <w:rFonts w:cs="Calibri"/>
                <w:szCs w:val="22"/>
              </w:rPr>
            </w:pPr>
            <w:r>
              <w:rPr>
                <w:rFonts w:cs="Calibri"/>
                <w:szCs w:val="22"/>
              </w:rPr>
              <w:t xml:space="preserve">Whether a 50/50 ownership structure, for a joint venture or other </w:t>
            </w:r>
            <w:r w:rsidR="00C121CE">
              <w:rPr>
                <w:rFonts w:cs="Calibri"/>
                <w:szCs w:val="22"/>
              </w:rPr>
              <w:t xml:space="preserve">structure, results in control of an entity </w:t>
            </w:r>
            <w:r w:rsidR="000E4C7E">
              <w:rPr>
                <w:rFonts w:cs="Calibri"/>
                <w:szCs w:val="22"/>
              </w:rPr>
              <w:t xml:space="preserve">may </w:t>
            </w:r>
            <w:r w:rsidR="00346876">
              <w:rPr>
                <w:rFonts w:cs="Calibri"/>
                <w:szCs w:val="22"/>
              </w:rPr>
              <w:t xml:space="preserve">depend on the circumstances and </w:t>
            </w:r>
            <w:r w:rsidR="000E4C7E">
              <w:rPr>
                <w:rFonts w:cs="Calibri"/>
                <w:szCs w:val="22"/>
              </w:rPr>
              <w:t>need to be determined on a case-by-case basis.</w:t>
            </w:r>
          </w:p>
          <w:p w14:paraId="381980D0" w14:textId="720311E0" w:rsidR="000E4C7E" w:rsidRDefault="000E4C7E" w:rsidP="00CE6A63">
            <w:pPr>
              <w:spacing w:before="0" w:line="259" w:lineRule="auto"/>
              <w:rPr>
                <w:rFonts w:cs="Calibri"/>
                <w:szCs w:val="22"/>
              </w:rPr>
            </w:pPr>
            <w:r>
              <w:rPr>
                <w:rFonts w:cs="Calibri"/>
                <w:szCs w:val="22"/>
              </w:rPr>
              <w:t>If a</w:t>
            </w:r>
            <w:r w:rsidR="0060164E">
              <w:rPr>
                <w:rFonts w:cs="Calibri"/>
                <w:szCs w:val="22"/>
              </w:rPr>
              <w:t xml:space="preserve">n </w:t>
            </w:r>
            <w:r>
              <w:rPr>
                <w:rFonts w:cs="Calibri"/>
                <w:szCs w:val="22"/>
              </w:rPr>
              <w:t xml:space="preserve">entity is required to </w:t>
            </w:r>
            <w:r w:rsidR="00014FB2">
              <w:rPr>
                <w:rFonts w:cs="Calibri"/>
                <w:szCs w:val="22"/>
              </w:rPr>
              <w:t xml:space="preserve">use full consolidation </w:t>
            </w:r>
            <w:r w:rsidR="000F042F">
              <w:rPr>
                <w:rFonts w:cs="Calibri"/>
                <w:szCs w:val="22"/>
              </w:rPr>
              <w:t xml:space="preserve">for </w:t>
            </w:r>
            <w:r w:rsidR="0060164E">
              <w:rPr>
                <w:rFonts w:cs="Calibri"/>
                <w:szCs w:val="22"/>
              </w:rPr>
              <w:t xml:space="preserve">a 50/50 </w:t>
            </w:r>
            <w:r w:rsidR="000F042F">
              <w:rPr>
                <w:rFonts w:cs="Calibri"/>
                <w:szCs w:val="22"/>
              </w:rPr>
              <w:t>held</w:t>
            </w:r>
            <w:r w:rsidR="0060164E">
              <w:rPr>
                <w:rFonts w:cs="Calibri"/>
                <w:szCs w:val="22"/>
              </w:rPr>
              <w:t xml:space="preserve"> entity </w:t>
            </w:r>
            <w:r w:rsidR="007D6654">
              <w:rPr>
                <w:rFonts w:cs="Calibri"/>
                <w:szCs w:val="22"/>
              </w:rPr>
              <w:t xml:space="preserve">for </w:t>
            </w:r>
            <w:r>
              <w:rPr>
                <w:rFonts w:cs="Calibri"/>
                <w:szCs w:val="22"/>
              </w:rPr>
              <w:t>financial reporting</w:t>
            </w:r>
            <w:r w:rsidR="007D6654">
              <w:rPr>
                <w:rFonts w:cs="Calibri"/>
                <w:szCs w:val="22"/>
              </w:rPr>
              <w:t xml:space="preserve"> purposes</w:t>
            </w:r>
            <w:r>
              <w:rPr>
                <w:rFonts w:cs="Calibri"/>
                <w:szCs w:val="22"/>
              </w:rPr>
              <w:t xml:space="preserve">, this may indicate payments by </w:t>
            </w:r>
            <w:r w:rsidR="007D6654">
              <w:rPr>
                <w:rFonts w:cs="Calibri"/>
                <w:szCs w:val="22"/>
              </w:rPr>
              <w:t xml:space="preserve">entity </w:t>
            </w:r>
            <w:r>
              <w:rPr>
                <w:rFonts w:cs="Calibri"/>
                <w:szCs w:val="22"/>
              </w:rPr>
              <w:t xml:space="preserve">are reportable </w:t>
            </w:r>
            <w:r w:rsidR="007D6654">
              <w:rPr>
                <w:rFonts w:cs="Calibri"/>
                <w:szCs w:val="22"/>
              </w:rPr>
              <w:t>by the reporting entity</w:t>
            </w:r>
            <w:r>
              <w:rPr>
                <w:rFonts w:cs="Calibri"/>
                <w:szCs w:val="22"/>
              </w:rPr>
              <w:t>.</w:t>
            </w:r>
          </w:p>
          <w:p w14:paraId="4CA5DA06" w14:textId="0143EE5B" w:rsidR="00D86854" w:rsidRPr="0060164E" w:rsidRDefault="000E4C7E" w:rsidP="00CE6A63">
            <w:pPr>
              <w:spacing w:before="0" w:line="259" w:lineRule="auto"/>
              <w:rPr>
                <w:rFonts w:cs="Calibri"/>
                <w:szCs w:val="22"/>
              </w:rPr>
            </w:pPr>
            <w:r>
              <w:rPr>
                <w:rFonts w:cs="Calibri"/>
                <w:szCs w:val="22"/>
              </w:rPr>
              <w:t>If an entity is unclear or uncertain whether it controls a</w:t>
            </w:r>
            <w:r w:rsidR="0060164E">
              <w:rPr>
                <w:rFonts w:cs="Calibri"/>
                <w:szCs w:val="22"/>
              </w:rPr>
              <w:t xml:space="preserve">n entity </w:t>
            </w:r>
            <w:r>
              <w:rPr>
                <w:rFonts w:cs="Calibri"/>
                <w:szCs w:val="22"/>
              </w:rPr>
              <w:t>the purposes of consolidation it may need to seek professional advice.</w:t>
            </w:r>
          </w:p>
        </w:tc>
      </w:tr>
      <w:tr w:rsidR="00FA7F82" w14:paraId="0087DC2F" w14:textId="77777777" w:rsidTr="00367161">
        <w:trPr>
          <w:trHeight w:val="312"/>
          <w:jc w:val="center"/>
        </w:trPr>
        <w:tc>
          <w:tcPr>
            <w:tcW w:w="9638" w:type="dxa"/>
            <w:shd w:val="clear" w:color="auto" w:fill="002C47" w:themeFill="accent1"/>
            <w:vAlign w:val="center"/>
          </w:tcPr>
          <w:p w14:paraId="56BBDFDC" w14:textId="4A476F89" w:rsidR="00FA7F82" w:rsidRPr="002406EE" w:rsidRDefault="00FA7F82" w:rsidP="001560B4">
            <w:pPr>
              <w:spacing w:before="0" w:after="0" w:line="259" w:lineRule="auto"/>
              <w:rPr>
                <w:rFonts w:cs="Calibri"/>
                <w:szCs w:val="22"/>
              </w:rPr>
            </w:pPr>
            <w:r w:rsidRPr="002406EE">
              <w:rPr>
                <w:b/>
                <w:color w:val="FFFFFF" w:themeColor="background1"/>
                <w:sz w:val="24"/>
              </w:rPr>
              <w:t>Question</w:t>
            </w:r>
          </w:p>
        </w:tc>
      </w:tr>
      <w:tr w:rsidR="00FA7F82" w14:paraId="3E48CB06" w14:textId="77777777" w:rsidTr="00367161">
        <w:trPr>
          <w:trHeight w:val="312"/>
          <w:jc w:val="center"/>
        </w:trPr>
        <w:tc>
          <w:tcPr>
            <w:tcW w:w="9638" w:type="dxa"/>
            <w:vAlign w:val="center"/>
          </w:tcPr>
          <w:p w14:paraId="3A468428" w14:textId="51F064F5" w:rsidR="00FA7F82" w:rsidRPr="0009352C" w:rsidRDefault="0009352C" w:rsidP="0009352C">
            <w:pPr>
              <w:pStyle w:val="OutlineNumbered1"/>
              <w:ind w:hanging="485"/>
              <w:rPr>
                <w:rFonts w:cs="Calibri"/>
                <w:szCs w:val="22"/>
              </w:rPr>
            </w:pPr>
            <w:r>
              <w:rPr>
                <w:rFonts w:cs="Calibri"/>
                <w:szCs w:val="22"/>
              </w:rPr>
              <w:t xml:space="preserve">Are </w:t>
            </w:r>
            <w:r w:rsidRPr="00444D06">
              <w:rPr>
                <w:rFonts w:cs="Calibri"/>
                <w:szCs w:val="22"/>
              </w:rPr>
              <w:t>partnerships excluded from the Act as the references to 'constitutional' entity remain?</w:t>
            </w:r>
            <w:r w:rsidRPr="002406EE">
              <w:rPr>
                <w:rFonts w:cs="Calibri"/>
                <w:szCs w:val="22"/>
              </w:rPr>
              <w:t> </w:t>
            </w:r>
          </w:p>
        </w:tc>
      </w:tr>
      <w:tr w:rsidR="00297A1D" w14:paraId="3272238F" w14:textId="77777777" w:rsidTr="2E470220">
        <w:trPr>
          <w:trHeight w:val="312"/>
          <w:jc w:val="center"/>
        </w:trPr>
        <w:tc>
          <w:tcPr>
            <w:tcW w:w="9638" w:type="dxa"/>
            <w:shd w:val="clear" w:color="auto" w:fill="002C47" w:themeFill="accent1"/>
            <w:vAlign w:val="center"/>
          </w:tcPr>
          <w:p w14:paraId="08334887" w14:textId="02051928" w:rsidR="00297A1D" w:rsidRPr="00444D06" w:rsidRDefault="00726188" w:rsidP="0023518A">
            <w:pPr>
              <w:pStyle w:val="OutlineNumbered1"/>
              <w:numPr>
                <w:ilvl w:val="0"/>
                <w:numId w:val="0"/>
              </w:numPr>
              <w:spacing w:after="0"/>
              <w:ind w:left="851" w:hanging="851"/>
              <w:rPr>
                <w:rFonts w:cs="Calibri"/>
                <w:szCs w:val="22"/>
              </w:rPr>
            </w:pPr>
            <w:r>
              <w:rPr>
                <w:b/>
                <w:color w:val="FFFFFF" w:themeColor="background1"/>
                <w:sz w:val="24"/>
              </w:rPr>
              <w:t>Response</w:t>
            </w:r>
          </w:p>
        </w:tc>
      </w:tr>
      <w:tr w:rsidR="00297A1D" w14:paraId="1490866A" w14:textId="77777777" w:rsidTr="00367161">
        <w:trPr>
          <w:trHeight w:val="312"/>
          <w:jc w:val="center"/>
        </w:trPr>
        <w:tc>
          <w:tcPr>
            <w:tcW w:w="9638" w:type="dxa"/>
            <w:vAlign w:val="center"/>
          </w:tcPr>
          <w:p w14:paraId="4187180B" w14:textId="7A970642" w:rsidR="00297A1D" w:rsidRDefault="00297A1D" w:rsidP="0009352C">
            <w:pPr>
              <w:spacing w:before="0" w:line="259" w:lineRule="auto"/>
              <w:rPr>
                <w:rFonts w:cs="Calibri"/>
                <w:color w:val="000000"/>
                <w:szCs w:val="22"/>
              </w:rPr>
            </w:pPr>
            <w:r>
              <w:rPr>
                <w:rFonts w:cs="Calibri"/>
                <w:color w:val="000000"/>
                <w:szCs w:val="22"/>
              </w:rPr>
              <w:t>Whether a partnership is required to report may depend on where it operates.</w:t>
            </w:r>
          </w:p>
          <w:p w14:paraId="5B638920" w14:textId="318F5F4D" w:rsidR="00297A1D" w:rsidRPr="00444D06" w:rsidRDefault="00D92236" w:rsidP="00D92236">
            <w:pPr>
              <w:spacing w:before="0" w:line="259" w:lineRule="auto"/>
              <w:rPr>
                <w:rFonts w:cs="Calibri"/>
                <w:szCs w:val="22"/>
              </w:rPr>
            </w:pPr>
            <w:r>
              <w:rPr>
                <w:rFonts w:cstheme="minorHAnsi"/>
                <w:szCs w:val="22"/>
              </w:rPr>
              <w:t xml:space="preserve">Revised guidance materials will include details </w:t>
            </w:r>
            <w:r w:rsidR="00297A1D">
              <w:rPr>
                <w:rFonts w:cs="Calibri"/>
                <w:color w:val="000000"/>
                <w:szCs w:val="22"/>
              </w:rPr>
              <w:t>on constitutionally covered entities</w:t>
            </w:r>
            <w:r w:rsidR="00EA79F2">
              <w:rPr>
                <w:rFonts w:cs="Calibri"/>
                <w:color w:val="000000"/>
                <w:szCs w:val="22"/>
              </w:rPr>
              <w:t xml:space="preserve"> which may be relevant for entities operating as a partnership</w:t>
            </w:r>
            <w:r w:rsidR="00297A1D" w:rsidRPr="002406EE">
              <w:rPr>
                <w:rFonts w:cs="Calibri"/>
                <w:color w:val="000000"/>
                <w:szCs w:val="22"/>
              </w:rPr>
              <w:t>.</w:t>
            </w:r>
          </w:p>
        </w:tc>
      </w:tr>
      <w:tr w:rsidR="00C53F38" w14:paraId="6F9946A7" w14:textId="77777777" w:rsidTr="00367161">
        <w:trPr>
          <w:jc w:val="center"/>
        </w:trPr>
        <w:tc>
          <w:tcPr>
            <w:tcW w:w="9638" w:type="dxa"/>
            <w:shd w:val="clear" w:color="auto" w:fill="E5E9EF"/>
          </w:tcPr>
          <w:p w14:paraId="52B4727F" w14:textId="67D32D49" w:rsidR="00C53F38" w:rsidRPr="00CB4DF4" w:rsidRDefault="00C53F38" w:rsidP="0023518A">
            <w:pPr>
              <w:pStyle w:val="Heading3"/>
              <w:spacing w:before="0" w:after="0" w:line="259" w:lineRule="auto"/>
            </w:pPr>
            <w:bookmarkStart w:id="97" w:name="_Toc178596611"/>
            <w:r>
              <w:t>Reporting Period Definition</w:t>
            </w:r>
            <w:bookmarkEnd w:id="97"/>
          </w:p>
        </w:tc>
      </w:tr>
      <w:tr w:rsidR="00BB303F" w14:paraId="346DA8F5" w14:textId="77777777" w:rsidTr="00367161">
        <w:trPr>
          <w:tblHeader/>
          <w:jc w:val="center"/>
        </w:trPr>
        <w:tc>
          <w:tcPr>
            <w:tcW w:w="9638" w:type="dxa"/>
            <w:shd w:val="clear" w:color="auto" w:fill="2C384A"/>
          </w:tcPr>
          <w:p w14:paraId="1E476801" w14:textId="40BEBE19" w:rsidR="00BB303F" w:rsidRPr="00EC28C4" w:rsidRDefault="00BB303F">
            <w:pPr>
              <w:spacing w:before="0" w:after="0" w:line="259" w:lineRule="auto"/>
              <w:rPr>
                <w:b/>
                <w:color w:val="FFFFFF" w:themeColor="background1"/>
                <w:sz w:val="24"/>
              </w:rPr>
            </w:pPr>
            <w:r>
              <w:rPr>
                <w:b/>
                <w:color w:val="FFFFFF" w:themeColor="background1"/>
                <w:sz w:val="24"/>
              </w:rPr>
              <w:t>Question</w:t>
            </w:r>
          </w:p>
        </w:tc>
      </w:tr>
      <w:tr w:rsidR="00BB303F" w14:paraId="3C848DC8" w14:textId="77777777" w:rsidTr="00367161">
        <w:trPr>
          <w:jc w:val="center"/>
        </w:trPr>
        <w:tc>
          <w:tcPr>
            <w:tcW w:w="9638" w:type="dxa"/>
            <w:vAlign w:val="center"/>
          </w:tcPr>
          <w:p w14:paraId="07720709" w14:textId="187844CC" w:rsidR="00BB303F" w:rsidRDefault="00BB303F" w:rsidP="002406EE">
            <w:pPr>
              <w:pStyle w:val="OutlineNumbered1"/>
              <w:ind w:hanging="485"/>
              <w:rPr>
                <w:rFonts w:cs="Calibri"/>
                <w:color w:val="000000"/>
                <w:szCs w:val="22"/>
              </w:rPr>
            </w:pPr>
            <w:r>
              <w:rPr>
                <w:rFonts w:cs="Calibri"/>
                <w:szCs w:val="22"/>
              </w:rPr>
              <w:t>How do we manage subsidiaries with different financial years within the group under the new scheme, especially around transition from old scheme to new scheme?</w:t>
            </w:r>
          </w:p>
        </w:tc>
      </w:tr>
      <w:tr w:rsidR="00BB303F" w14:paraId="493DF26C" w14:textId="77777777" w:rsidTr="00367161">
        <w:trPr>
          <w:jc w:val="center"/>
        </w:trPr>
        <w:tc>
          <w:tcPr>
            <w:tcW w:w="9638" w:type="dxa"/>
            <w:shd w:val="clear" w:color="auto" w:fill="002C47" w:themeFill="accent1"/>
            <w:vAlign w:val="center"/>
          </w:tcPr>
          <w:p w14:paraId="2F72268E" w14:textId="365AB92E" w:rsidR="00BB303F" w:rsidRDefault="00726188" w:rsidP="003A66DF">
            <w:pPr>
              <w:spacing w:before="0" w:after="0" w:line="259" w:lineRule="auto"/>
              <w:rPr>
                <w:rFonts w:cs="Calibri"/>
                <w:color w:val="000000"/>
                <w:szCs w:val="22"/>
              </w:rPr>
            </w:pPr>
            <w:r>
              <w:rPr>
                <w:b/>
                <w:color w:val="FFFFFF" w:themeColor="background1"/>
                <w:sz w:val="24"/>
              </w:rPr>
              <w:lastRenderedPageBreak/>
              <w:t>Response</w:t>
            </w:r>
          </w:p>
        </w:tc>
      </w:tr>
      <w:tr w:rsidR="00BB303F" w14:paraId="736CD4EA" w14:textId="77777777" w:rsidTr="00367161">
        <w:trPr>
          <w:jc w:val="center"/>
        </w:trPr>
        <w:tc>
          <w:tcPr>
            <w:tcW w:w="9638" w:type="dxa"/>
            <w:vAlign w:val="center"/>
          </w:tcPr>
          <w:p w14:paraId="4A490D8C" w14:textId="55D20421" w:rsidR="00476B55" w:rsidRDefault="00BB303F" w:rsidP="00D92236">
            <w:pPr>
              <w:spacing w:before="0" w:line="259" w:lineRule="auto"/>
              <w:rPr>
                <w:rFonts w:cs="Calibri"/>
                <w:color w:val="000000"/>
                <w:szCs w:val="22"/>
              </w:rPr>
            </w:pPr>
            <w:r>
              <w:rPr>
                <w:rFonts w:cs="Calibri"/>
                <w:color w:val="000000"/>
                <w:szCs w:val="22"/>
              </w:rPr>
              <w:t xml:space="preserve">A payment times report must </w:t>
            </w:r>
            <w:r w:rsidRPr="00D92236">
              <w:rPr>
                <w:rFonts w:cs="Calibri"/>
                <w:color w:val="000000"/>
                <w:szCs w:val="22"/>
              </w:rPr>
              <w:t xml:space="preserve">include </w:t>
            </w:r>
            <w:r w:rsidR="00D92236">
              <w:rPr>
                <w:rFonts w:cs="Calibri"/>
                <w:color w:val="000000"/>
                <w:szCs w:val="22"/>
              </w:rPr>
              <w:t xml:space="preserve">payments by the entity and entities it controls </w:t>
            </w:r>
            <w:r w:rsidRPr="00D92236">
              <w:rPr>
                <w:rFonts w:cs="Calibri"/>
                <w:color w:val="000000"/>
                <w:szCs w:val="22"/>
              </w:rPr>
              <w:t xml:space="preserve">during the reporting period for </w:t>
            </w:r>
            <w:r w:rsidR="00315C2A">
              <w:rPr>
                <w:rFonts w:cs="Calibri"/>
                <w:color w:val="000000"/>
                <w:szCs w:val="22"/>
              </w:rPr>
              <w:t xml:space="preserve">the </w:t>
            </w:r>
            <w:r w:rsidRPr="00D92236">
              <w:rPr>
                <w:rFonts w:cs="Calibri"/>
                <w:color w:val="000000"/>
                <w:szCs w:val="22"/>
              </w:rPr>
              <w:t>reporting entity</w:t>
            </w:r>
            <w:r w:rsidR="00315C2A">
              <w:rPr>
                <w:rFonts w:cs="Calibri"/>
                <w:color w:val="000000"/>
                <w:szCs w:val="22"/>
              </w:rPr>
              <w:t xml:space="preserve">; </w:t>
            </w:r>
            <w:r w:rsidR="00020533">
              <w:rPr>
                <w:rFonts w:cs="Calibri"/>
                <w:color w:val="000000"/>
                <w:szCs w:val="22"/>
              </w:rPr>
              <w:t xml:space="preserve">see </w:t>
            </w:r>
            <w:r w:rsidR="007A30CD">
              <w:rPr>
                <w:rFonts w:cs="Calibri"/>
                <w:color w:val="000000"/>
                <w:szCs w:val="22"/>
              </w:rPr>
              <w:t>Rules s 10(1)(n).</w:t>
            </w:r>
          </w:p>
          <w:p w14:paraId="5EC98128" w14:textId="1011761B" w:rsidR="00476B55" w:rsidRPr="002526AA" w:rsidRDefault="00D30624" w:rsidP="00D92236">
            <w:pPr>
              <w:spacing w:before="0" w:line="259" w:lineRule="auto"/>
              <w:rPr>
                <w:rFonts w:cstheme="minorHAnsi"/>
                <w:szCs w:val="22"/>
              </w:rPr>
            </w:pPr>
            <w:r>
              <w:rPr>
                <w:rFonts w:cs="Calibri"/>
                <w:color w:val="000000"/>
                <w:szCs w:val="22"/>
              </w:rPr>
              <w:t xml:space="preserve">Payments by controlled entities with </w:t>
            </w:r>
            <w:r w:rsidR="00C8177F">
              <w:rPr>
                <w:rFonts w:cs="Calibri"/>
                <w:color w:val="000000"/>
                <w:szCs w:val="22"/>
              </w:rPr>
              <w:t>unsynchronised</w:t>
            </w:r>
            <w:r>
              <w:rPr>
                <w:rFonts w:cs="Calibri"/>
                <w:color w:val="000000"/>
                <w:szCs w:val="22"/>
              </w:rPr>
              <w:t xml:space="preserve"> financial years </w:t>
            </w:r>
            <w:r w:rsidR="00667F18">
              <w:rPr>
                <w:rFonts w:cs="Calibri"/>
                <w:color w:val="000000"/>
                <w:szCs w:val="22"/>
              </w:rPr>
              <w:t xml:space="preserve">would be reported in the relevant reporting period of the </w:t>
            </w:r>
            <w:r>
              <w:rPr>
                <w:rFonts w:cs="Calibri"/>
                <w:color w:val="000000"/>
                <w:szCs w:val="22"/>
              </w:rPr>
              <w:t>controlling reporting entity.</w:t>
            </w:r>
          </w:p>
        </w:tc>
      </w:tr>
      <w:tr w:rsidR="0036082C" w14:paraId="6F726245" w14:textId="77777777" w:rsidTr="00367161">
        <w:trPr>
          <w:jc w:val="center"/>
        </w:trPr>
        <w:tc>
          <w:tcPr>
            <w:tcW w:w="9638" w:type="dxa"/>
            <w:shd w:val="clear" w:color="auto" w:fill="E5E9EF"/>
          </w:tcPr>
          <w:p w14:paraId="28917641" w14:textId="101FF75A" w:rsidR="0036082C" w:rsidRPr="00CB4DF4" w:rsidRDefault="00A32944" w:rsidP="0023518A">
            <w:pPr>
              <w:pStyle w:val="Heading3"/>
              <w:spacing w:before="0" w:after="0" w:line="259" w:lineRule="auto"/>
            </w:pPr>
            <w:bookmarkStart w:id="98" w:name="_Toc178596612"/>
            <w:r>
              <w:t>SBI Tool</w:t>
            </w:r>
            <w:bookmarkEnd w:id="98"/>
          </w:p>
        </w:tc>
      </w:tr>
      <w:tr w:rsidR="00147DE2" w14:paraId="617DB2B2" w14:textId="77777777" w:rsidTr="00367161">
        <w:trPr>
          <w:tblHeader/>
          <w:jc w:val="center"/>
        </w:trPr>
        <w:tc>
          <w:tcPr>
            <w:tcW w:w="9638" w:type="dxa"/>
            <w:shd w:val="clear" w:color="auto" w:fill="2C384A"/>
          </w:tcPr>
          <w:p w14:paraId="768B8517" w14:textId="5C267FC9" w:rsidR="00147DE2" w:rsidRPr="00EC28C4" w:rsidRDefault="00147DE2">
            <w:pPr>
              <w:spacing w:before="0" w:after="0" w:line="259" w:lineRule="auto"/>
              <w:rPr>
                <w:b/>
                <w:color w:val="FFFFFF" w:themeColor="background1"/>
                <w:sz w:val="24"/>
              </w:rPr>
            </w:pPr>
            <w:r>
              <w:rPr>
                <w:b/>
                <w:color w:val="FFFFFF" w:themeColor="background1"/>
                <w:sz w:val="24"/>
              </w:rPr>
              <w:t>Question</w:t>
            </w:r>
            <w:r w:rsidR="00726188">
              <w:rPr>
                <w:b/>
                <w:color w:val="FFFFFF" w:themeColor="background1"/>
                <w:sz w:val="24"/>
              </w:rPr>
              <w:t>s</w:t>
            </w:r>
          </w:p>
        </w:tc>
      </w:tr>
      <w:tr w:rsidR="00147DE2" w14:paraId="1323A5E0" w14:textId="77777777" w:rsidTr="00367161">
        <w:trPr>
          <w:jc w:val="center"/>
        </w:trPr>
        <w:tc>
          <w:tcPr>
            <w:tcW w:w="9638" w:type="dxa"/>
            <w:vAlign w:val="center"/>
          </w:tcPr>
          <w:p w14:paraId="440B2718" w14:textId="77777777" w:rsidR="00147DE2" w:rsidRDefault="00147DE2" w:rsidP="00E30C3E">
            <w:pPr>
              <w:pStyle w:val="OutlineNumbered1"/>
              <w:ind w:hanging="485"/>
            </w:pPr>
            <w:r>
              <w:t>Can the regulator remove the log in requirements for the small business check tool? This is a burdensome process for simply checking new suppliers we're registering in the ERP are small or large. </w:t>
            </w:r>
          </w:p>
          <w:p w14:paraId="44A1ED91" w14:textId="0E18D963" w:rsidR="00147DE2" w:rsidRDefault="00147DE2" w:rsidP="00E30C3E">
            <w:pPr>
              <w:pStyle w:val="OutlineNumbered1"/>
              <w:ind w:hanging="485"/>
              <w:rPr>
                <w:rFonts w:cs="Calibri"/>
                <w:szCs w:val="22"/>
              </w:rPr>
            </w:pPr>
            <w:r>
              <w:rPr>
                <w:rFonts w:cs="Calibri"/>
                <w:szCs w:val="22"/>
              </w:rPr>
              <w:t>Is it correct that the reporting entity still needs to run the ABN through the portal, identify the Small Business ABN, and report on it? </w:t>
            </w:r>
          </w:p>
        </w:tc>
      </w:tr>
      <w:tr w:rsidR="00147DE2" w14:paraId="2291E964" w14:textId="77777777" w:rsidTr="00367161">
        <w:trPr>
          <w:jc w:val="center"/>
        </w:trPr>
        <w:tc>
          <w:tcPr>
            <w:tcW w:w="9638" w:type="dxa"/>
            <w:shd w:val="clear" w:color="auto" w:fill="002C47" w:themeFill="accent1"/>
            <w:vAlign w:val="center"/>
          </w:tcPr>
          <w:p w14:paraId="3D73E7D7" w14:textId="0C8EEE34" w:rsidR="00147DE2" w:rsidRDefault="00726188" w:rsidP="00F839D9">
            <w:pPr>
              <w:spacing w:before="0" w:line="259" w:lineRule="auto"/>
            </w:pPr>
            <w:r>
              <w:rPr>
                <w:b/>
                <w:color w:val="FFFFFF" w:themeColor="background1"/>
                <w:sz w:val="24"/>
              </w:rPr>
              <w:t>Response</w:t>
            </w:r>
          </w:p>
        </w:tc>
      </w:tr>
      <w:tr w:rsidR="00147DE2" w14:paraId="544C6C91" w14:textId="77777777" w:rsidTr="00367161">
        <w:trPr>
          <w:trHeight w:val="1159"/>
          <w:jc w:val="center"/>
        </w:trPr>
        <w:tc>
          <w:tcPr>
            <w:tcW w:w="9638" w:type="dxa"/>
            <w:tcBorders>
              <w:bottom w:val="single" w:sz="4" w:space="0" w:color="D9D9D9" w:themeColor="background1" w:themeShade="D9"/>
            </w:tcBorders>
            <w:vAlign w:val="center"/>
          </w:tcPr>
          <w:p w14:paraId="433E6C82" w14:textId="0D2ADA96" w:rsidR="00EA03C3" w:rsidRDefault="00147DE2" w:rsidP="00F839D9">
            <w:pPr>
              <w:spacing w:before="0" w:line="259" w:lineRule="auto"/>
              <w:rPr>
                <w:rFonts w:cs="Calibri"/>
                <w:szCs w:val="22"/>
              </w:rPr>
            </w:pPr>
            <w:r>
              <w:rPr>
                <w:rFonts w:cs="Calibri"/>
                <w:szCs w:val="22"/>
              </w:rPr>
              <w:t>Reporting entities must continue to use the Small Business Identification Tool</w:t>
            </w:r>
            <w:r w:rsidR="00C8177F">
              <w:rPr>
                <w:rFonts w:cs="Calibri"/>
                <w:szCs w:val="22"/>
              </w:rPr>
              <w:t xml:space="preserve"> (</w:t>
            </w:r>
            <w:r w:rsidR="00F839D9" w:rsidRPr="00F839D9">
              <w:rPr>
                <w:rFonts w:cs="Calibri"/>
                <w:b/>
                <w:bCs/>
                <w:szCs w:val="22"/>
              </w:rPr>
              <w:t>SBI Tool</w:t>
            </w:r>
            <w:r w:rsidR="00F839D9">
              <w:rPr>
                <w:rFonts w:cs="Calibri"/>
                <w:szCs w:val="22"/>
              </w:rPr>
              <w:t>)</w:t>
            </w:r>
            <w:r w:rsidR="00687BD3">
              <w:rPr>
                <w:rFonts w:cs="Calibri"/>
                <w:szCs w:val="22"/>
              </w:rPr>
              <w:t xml:space="preserve"> </w:t>
            </w:r>
            <w:r>
              <w:rPr>
                <w:rFonts w:cs="Calibri"/>
                <w:szCs w:val="22"/>
              </w:rPr>
              <w:t>to identify which of their suppliers are small businesses for the purposes of reporting</w:t>
            </w:r>
            <w:r w:rsidR="009152FA">
              <w:rPr>
                <w:rFonts w:cs="Calibri"/>
                <w:szCs w:val="22"/>
              </w:rPr>
              <w:t>;</w:t>
            </w:r>
            <w:r w:rsidR="007A30CD">
              <w:rPr>
                <w:rFonts w:cs="Calibri"/>
                <w:szCs w:val="22"/>
              </w:rPr>
              <w:t xml:space="preserve"> </w:t>
            </w:r>
            <w:r w:rsidR="00952E14">
              <w:rPr>
                <w:rFonts w:cs="Calibri"/>
                <w:szCs w:val="22"/>
              </w:rPr>
              <w:t xml:space="preserve">see </w:t>
            </w:r>
            <w:r w:rsidR="001E685B">
              <w:rPr>
                <w:rFonts w:cs="Calibri"/>
                <w:szCs w:val="22"/>
              </w:rPr>
              <w:t>Act s 5.</w:t>
            </w:r>
          </w:p>
          <w:p w14:paraId="1FF9FC2F" w14:textId="78847B4F" w:rsidR="00752CBE" w:rsidRPr="00EA03C3" w:rsidRDefault="00AB15B0" w:rsidP="00F839D9">
            <w:pPr>
              <w:spacing w:before="0" w:line="259" w:lineRule="auto"/>
              <w:rPr>
                <w:rFonts w:cs="Calibri"/>
                <w:szCs w:val="22"/>
              </w:rPr>
            </w:pPr>
            <w:r>
              <w:rPr>
                <w:rFonts w:cs="Calibri"/>
                <w:szCs w:val="22"/>
              </w:rPr>
              <w:t xml:space="preserve">Feedback on how </w:t>
            </w:r>
            <w:r w:rsidR="008930A2">
              <w:rPr>
                <w:rFonts w:cs="Calibri"/>
                <w:szCs w:val="22"/>
              </w:rPr>
              <w:t xml:space="preserve">to improve access and ease of use for the </w:t>
            </w:r>
            <w:r w:rsidR="00F839D9">
              <w:rPr>
                <w:rFonts w:cs="Calibri"/>
                <w:szCs w:val="22"/>
              </w:rPr>
              <w:t xml:space="preserve">SBI </w:t>
            </w:r>
            <w:r w:rsidR="00FB0349">
              <w:rPr>
                <w:rFonts w:cs="Calibri"/>
                <w:szCs w:val="22"/>
              </w:rPr>
              <w:t>T</w:t>
            </w:r>
            <w:r w:rsidR="00BD32CF">
              <w:rPr>
                <w:rFonts w:cs="Calibri"/>
                <w:szCs w:val="22"/>
              </w:rPr>
              <w:t xml:space="preserve">ool </w:t>
            </w:r>
            <w:r w:rsidR="006842E8">
              <w:rPr>
                <w:rFonts w:cs="Calibri"/>
                <w:szCs w:val="22"/>
              </w:rPr>
              <w:t xml:space="preserve">is </w:t>
            </w:r>
            <w:r w:rsidR="00BD32CF">
              <w:rPr>
                <w:rFonts w:cs="Calibri"/>
                <w:szCs w:val="22"/>
              </w:rPr>
              <w:t xml:space="preserve">welcomed </w:t>
            </w:r>
            <w:r w:rsidR="008930A2">
              <w:rPr>
                <w:rFonts w:cs="Calibri"/>
                <w:szCs w:val="22"/>
              </w:rPr>
              <w:t xml:space="preserve">and will be considered in future </w:t>
            </w:r>
            <w:r w:rsidR="00B96E5F">
              <w:rPr>
                <w:rFonts w:cs="Calibri"/>
                <w:szCs w:val="22"/>
              </w:rPr>
              <w:t>upgrades.</w:t>
            </w:r>
            <w:r w:rsidR="00BD32CF">
              <w:rPr>
                <w:rFonts w:cs="Calibri"/>
                <w:szCs w:val="22"/>
              </w:rPr>
              <w:t xml:space="preserve"> </w:t>
            </w:r>
          </w:p>
        </w:tc>
      </w:tr>
      <w:tr w:rsidR="00147DE2" w14:paraId="4EB98038" w14:textId="77777777" w:rsidTr="00367161">
        <w:trPr>
          <w:jc w:val="center"/>
        </w:trPr>
        <w:tc>
          <w:tcPr>
            <w:tcW w:w="9638" w:type="dxa"/>
            <w:tcBorders>
              <w:top w:val="nil"/>
            </w:tcBorders>
            <w:shd w:val="clear" w:color="auto" w:fill="002C47" w:themeFill="accent1"/>
            <w:vAlign w:val="center"/>
          </w:tcPr>
          <w:p w14:paraId="18DF6F32" w14:textId="4FEF7CEF" w:rsidR="00147DE2" w:rsidRDefault="000C7B14" w:rsidP="00FA2BAD">
            <w:pPr>
              <w:spacing w:before="0" w:after="0" w:line="259" w:lineRule="auto"/>
              <w:rPr>
                <w:rFonts w:cs="Calibri"/>
                <w:szCs w:val="22"/>
              </w:rPr>
            </w:pPr>
            <w:r w:rsidRPr="00BF41A0">
              <w:rPr>
                <w:b/>
                <w:color w:val="FFFFFF" w:themeColor="background1"/>
                <w:sz w:val="24"/>
              </w:rPr>
              <w:t>Question</w:t>
            </w:r>
          </w:p>
        </w:tc>
      </w:tr>
      <w:tr w:rsidR="000C7B14" w14:paraId="7484F220" w14:textId="77777777" w:rsidTr="00367161">
        <w:trPr>
          <w:jc w:val="center"/>
        </w:trPr>
        <w:tc>
          <w:tcPr>
            <w:tcW w:w="9638" w:type="dxa"/>
            <w:vAlign w:val="center"/>
          </w:tcPr>
          <w:p w14:paraId="4E2820F3" w14:textId="77F366CA" w:rsidR="000C7B14" w:rsidRDefault="000C7B14" w:rsidP="00E30C3E">
            <w:pPr>
              <w:pStyle w:val="OutlineNumbered1"/>
              <w:ind w:hanging="485"/>
              <w:rPr>
                <w:rFonts w:cs="Calibri"/>
                <w:szCs w:val="22"/>
              </w:rPr>
            </w:pPr>
            <w:r>
              <w:rPr>
                <w:rFonts w:cs="Calibri"/>
                <w:szCs w:val="22"/>
              </w:rPr>
              <w:t>In identifying Australian Small Business Suppliers, what is the regulator doing to ensure that Australian subsidiaries of large multinational corporations are excluded, take Microsoft for example? </w:t>
            </w:r>
          </w:p>
        </w:tc>
      </w:tr>
      <w:tr w:rsidR="000C7B14" w14:paraId="447895F9" w14:textId="77777777" w:rsidTr="00367161">
        <w:trPr>
          <w:jc w:val="center"/>
        </w:trPr>
        <w:tc>
          <w:tcPr>
            <w:tcW w:w="9638" w:type="dxa"/>
            <w:shd w:val="clear" w:color="auto" w:fill="002C47" w:themeFill="accent1"/>
            <w:vAlign w:val="center"/>
          </w:tcPr>
          <w:p w14:paraId="4467280F" w14:textId="6F57F584" w:rsidR="000C7B14" w:rsidRDefault="00726188" w:rsidP="00FA2BAD">
            <w:pPr>
              <w:spacing w:before="0" w:after="0" w:line="259" w:lineRule="auto"/>
              <w:rPr>
                <w:rFonts w:cs="Calibri"/>
                <w:szCs w:val="22"/>
              </w:rPr>
            </w:pPr>
            <w:r>
              <w:rPr>
                <w:b/>
                <w:color w:val="FFFFFF" w:themeColor="background1"/>
                <w:sz w:val="24"/>
              </w:rPr>
              <w:t>Response</w:t>
            </w:r>
          </w:p>
        </w:tc>
      </w:tr>
      <w:tr w:rsidR="000C7B14" w14:paraId="348656FF" w14:textId="77777777" w:rsidTr="00367161">
        <w:trPr>
          <w:jc w:val="center"/>
        </w:trPr>
        <w:tc>
          <w:tcPr>
            <w:tcW w:w="9638" w:type="dxa"/>
            <w:vAlign w:val="center"/>
          </w:tcPr>
          <w:p w14:paraId="473C4A9C" w14:textId="759F5A06" w:rsidR="008F6EB4" w:rsidRDefault="000C7B14" w:rsidP="009152FA">
            <w:pPr>
              <w:spacing w:before="0" w:line="259" w:lineRule="auto"/>
              <w:rPr>
                <w:rFonts w:cs="Calibri"/>
                <w:szCs w:val="22"/>
              </w:rPr>
            </w:pPr>
            <w:r>
              <w:rPr>
                <w:rFonts w:cs="Calibri"/>
                <w:szCs w:val="22"/>
              </w:rPr>
              <w:t xml:space="preserve">The </w:t>
            </w:r>
            <w:r w:rsidR="00C81611">
              <w:rPr>
                <w:rFonts w:cs="Calibri"/>
                <w:szCs w:val="22"/>
              </w:rPr>
              <w:t xml:space="preserve">SBI </w:t>
            </w:r>
            <w:r w:rsidR="00656433">
              <w:rPr>
                <w:rFonts w:cs="Calibri"/>
                <w:szCs w:val="22"/>
              </w:rPr>
              <w:t>Tool uses multiple data sources</w:t>
            </w:r>
            <w:r w:rsidR="00B0589F">
              <w:rPr>
                <w:rFonts w:cs="Calibri"/>
                <w:szCs w:val="22"/>
              </w:rPr>
              <w:t xml:space="preserve">, including sources that identify control relationships between entities to ensure </w:t>
            </w:r>
            <w:r w:rsidR="00BA6693">
              <w:rPr>
                <w:rFonts w:cs="Calibri"/>
                <w:szCs w:val="22"/>
              </w:rPr>
              <w:t xml:space="preserve">subsidiaries of large businesses </w:t>
            </w:r>
            <w:r w:rsidR="00B0589F">
              <w:rPr>
                <w:rFonts w:cs="Calibri"/>
                <w:szCs w:val="22"/>
              </w:rPr>
              <w:t>are correctly classified.</w:t>
            </w:r>
          </w:p>
          <w:p w14:paraId="413E7DCD" w14:textId="65AFEFE2" w:rsidR="000C7B14" w:rsidRDefault="008F6EB4" w:rsidP="009152FA">
            <w:pPr>
              <w:spacing w:before="0" w:line="259" w:lineRule="auto"/>
              <w:rPr>
                <w:rFonts w:cs="Calibri"/>
                <w:szCs w:val="22"/>
              </w:rPr>
            </w:pPr>
            <w:r>
              <w:rPr>
                <w:rFonts w:cs="Calibri"/>
                <w:szCs w:val="22"/>
              </w:rPr>
              <w:t xml:space="preserve">If an entity believes the Tool has incorrectly classified a </w:t>
            </w:r>
            <w:r w:rsidR="006101AD">
              <w:rPr>
                <w:rFonts w:cs="Calibri"/>
                <w:szCs w:val="22"/>
              </w:rPr>
              <w:t xml:space="preserve">supplier, they can notify the Regulator to make a correction using new </w:t>
            </w:r>
            <w:r w:rsidR="005723FC">
              <w:rPr>
                <w:rFonts w:cs="Calibri"/>
                <w:szCs w:val="22"/>
              </w:rPr>
              <w:t xml:space="preserve">portal </w:t>
            </w:r>
            <w:r w:rsidR="006101AD">
              <w:rPr>
                <w:rFonts w:cs="Calibri"/>
                <w:szCs w:val="22"/>
              </w:rPr>
              <w:t>functionality</w:t>
            </w:r>
            <w:r w:rsidR="005723FC">
              <w:rPr>
                <w:rFonts w:cs="Calibri"/>
                <w:szCs w:val="22"/>
              </w:rPr>
              <w:t>.</w:t>
            </w:r>
          </w:p>
          <w:p w14:paraId="0EFDAA99" w14:textId="36F769EB" w:rsidR="000C7B14" w:rsidRPr="002526AA" w:rsidRDefault="00370E5D" w:rsidP="009152FA">
            <w:pPr>
              <w:spacing w:before="0" w:line="259" w:lineRule="auto"/>
              <w:rPr>
                <w:rFonts w:cstheme="minorBidi"/>
              </w:rPr>
            </w:pPr>
            <w:r w:rsidRPr="64FB9FBD">
              <w:rPr>
                <w:rFonts w:cs="Calibri"/>
              </w:rPr>
              <w:t xml:space="preserve">Consistent with the Government’s response to a recommendation of the </w:t>
            </w:r>
            <w:hyperlink r:id="rId31" w:history="1">
              <w:r w:rsidR="000C7B14" w:rsidRPr="64FB9FBD">
                <w:rPr>
                  <w:rStyle w:val="Hyperlink"/>
                  <w:rFonts w:cs="Calibri"/>
                </w:rPr>
                <w:t xml:space="preserve">Statutory Review of the </w:t>
              </w:r>
              <w:r w:rsidR="000C7B14" w:rsidRPr="64FB9FBD">
                <w:rPr>
                  <w:rStyle w:val="Hyperlink"/>
                  <w:rFonts w:cs="Calibri"/>
                  <w:i/>
                  <w:iCs/>
                </w:rPr>
                <w:t>Payment Times Reporting Act 2020</w:t>
              </w:r>
            </w:hyperlink>
            <w:r w:rsidR="42C99676" w:rsidRPr="64FB9FBD">
              <w:rPr>
                <w:rFonts w:cs="Calibri"/>
              </w:rPr>
              <w:t>,</w:t>
            </w:r>
            <w:r w:rsidR="000C7B14" w:rsidRPr="64FB9FBD">
              <w:rPr>
                <w:rFonts w:cs="Calibri"/>
              </w:rPr>
              <w:t xml:space="preserve"> </w:t>
            </w:r>
            <w:r w:rsidR="0057378C" w:rsidRPr="64FB9FBD">
              <w:rPr>
                <w:rFonts w:cs="Calibri"/>
              </w:rPr>
              <w:t xml:space="preserve">the Regulator is evaluating </w:t>
            </w:r>
            <w:r w:rsidR="000C7B14" w:rsidRPr="64FB9FBD">
              <w:rPr>
                <w:rFonts w:cs="Calibri"/>
              </w:rPr>
              <w:t>Commonwealth data sources to improve the reliability and consistency of the SBI Tool.</w:t>
            </w:r>
          </w:p>
        </w:tc>
      </w:tr>
      <w:tr w:rsidR="000C7B14" w14:paraId="60C36D5B" w14:textId="77777777" w:rsidTr="00367161">
        <w:trPr>
          <w:jc w:val="center"/>
        </w:trPr>
        <w:tc>
          <w:tcPr>
            <w:tcW w:w="9638" w:type="dxa"/>
            <w:shd w:val="clear" w:color="auto" w:fill="002C47" w:themeFill="accent1"/>
            <w:vAlign w:val="center"/>
          </w:tcPr>
          <w:p w14:paraId="0F523B8E" w14:textId="5B2C519F" w:rsidR="000C7B14" w:rsidRDefault="000C7B14" w:rsidP="00FA2BAD">
            <w:pPr>
              <w:spacing w:before="0" w:after="0" w:line="259" w:lineRule="auto"/>
              <w:rPr>
                <w:rFonts w:cs="Calibri"/>
                <w:szCs w:val="22"/>
              </w:rPr>
            </w:pPr>
            <w:r w:rsidRPr="00BF41A0">
              <w:rPr>
                <w:b/>
                <w:color w:val="FFFFFF" w:themeColor="background1"/>
                <w:sz w:val="24"/>
              </w:rPr>
              <w:t>Question</w:t>
            </w:r>
          </w:p>
        </w:tc>
      </w:tr>
      <w:tr w:rsidR="000C7B14" w14:paraId="212896D6" w14:textId="77777777" w:rsidTr="00367161">
        <w:trPr>
          <w:jc w:val="center"/>
        </w:trPr>
        <w:tc>
          <w:tcPr>
            <w:tcW w:w="9638" w:type="dxa"/>
            <w:vAlign w:val="center"/>
          </w:tcPr>
          <w:p w14:paraId="7A9AD69F" w14:textId="617BE446" w:rsidR="000C7B14" w:rsidRDefault="000C7B14" w:rsidP="00E30C3E">
            <w:pPr>
              <w:pStyle w:val="OutlineNumbered1"/>
              <w:ind w:hanging="485"/>
              <w:rPr>
                <w:rFonts w:cs="Calibri"/>
                <w:szCs w:val="22"/>
              </w:rPr>
            </w:pPr>
            <w:r>
              <w:rPr>
                <w:rFonts w:cs="Calibri"/>
                <w:szCs w:val="22"/>
              </w:rPr>
              <w:t>Will the 10k limit of ABNs be taken off the SBI tool given that requirement is now to report on a corporate level - ABN to be fed through will exceed 10k?</w:t>
            </w:r>
          </w:p>
        </w:tc>
      </w:tr>
      <w:tr w:rsidR="000C7B14" w14:paraId="0AAC4AC8" w14:textId="77777777" w:rsidTr="00367161">
        <w:trPr>
          <w:jc w:val="center"/>
        </w:trPr>
        <w:tc>
          <w:tcPr>
            <w:tcW w:w="9638" w:type="dxa"/>
            <w:shd w:val="clear" w:color="auto" w:fill="002C47" w:themeFill="accent1"/>
            <w:vAlign w:val="center"/>
          </w:tcPr>
          <w:p w14:paraId="0993EB08" w14:textId="7ADDF260" w:rsidR="000C7B14" w:rsidRDefault="00726188" w:rsidP="00FA2BAD">
            <w:pPr>
              <w:spacing w:before="0" w:after="0" w:line="259" w:lineRule="auto"/>
              <w:rPr>
                <w:rFonts w:cs="Calibri"/>
                <w:szCs w:val="22"/>
              </w:rPr>
            </w:pPr>
            <w:r>
              <w:rPr>
                <w:b/>
                <w:color w:val="FFFFFF" w:themeColor="background1"/>
                <w:sz w:val="24"/>
              </w:rPr>
              <w:lastRenderedPageBreak/>
              <w:t>Response</w:t>
            </w:r>
          </w:p>
        </w:tc>
      </w:tr>
      <w:tr w:rsidR="000C7B14" w14:paraId="5C8E162B" w14:textId="77777777" w:rsidTr="00367161">
        <w:trPr>
          <w:jc w:val="center"/>
        </w:trPr>
        <w:tc>
          <w:tcPr>
            <w:tcW w:w="9638" w:type="dxa"/>
            <w:vAlign w:val="center"/>
          </w:tcPr>
          <w:p w14:paraId="1FA6537B" w14:textId="2D375B94" w:rsidR="006D0579" w:rsidRDefault="00827BF4" w:rsidP="00BA6693">
            <w:pPr>
              <w:spacing w:before="0" w:line="259" w:lineRule="auto"/>
              <w:rPr>
                <w:rFonts w:cs="Calibri"/>
                <w:szCs w:val="22"/>
              </w:rPr>
            </w:pPr>
            <w:r>
              <w:rPr>
                <w:rFonts w:cs="Calibri"/>
                <w:szCs w:val="22"/>
              </w:rPr>
              <w:t xml:space="preserve">The SBI Tool has </w:t>
            </w:r>
            <w:r w:rsidR="001A39AC">
              <w:rPr>
                <w:rFonts w:cs="Calibri"/>
                <w:szCs w:val="22"/>
              </w:rPr>
              <w:t>limit</w:t>
            </w:r>
            <w:r w:rsidR="0057378C">
              <w:rPr>
                <w:rFonts w:cs="Calibri"/>
                <w:szCs w:val="22"/>
              </w:rPr>
              <w:t xml:space="preserve">ations </w:t>
            </w:r>
            <w:r w:rsidR="001A39AC">
              <w:rPr>
                <w:rFonts w:cs="Calibri"/>
                <w:szCs w:val="22"/>
              </w:rPr>
              <w:t xml:space="preserve">to </w:t>
            </w:r>
            <w:r w:rsidR="00BA6693">
              <w:rPr>
                <w:rFonts w:cs="Calibri"/>
                <w:szCs w:val="22"/>
              </w:rPr>
              <w:t>prevent</w:t>
            </w:r>
            <w:r w:rsidR="001A39AC">
              <w:rPr>
                <w:rFonts w:cs="Calibri"/>
                <w:szCs w:val="22"/>
              </w:rPr>
              <w:t xml:space="preserve"> </w:t>
            </w:r>
            <w:r w:rsidR="00632A29">
              <w:rPr>
                <w:rFonts w:cs="Calibri"/>
                <w:szCs w:val="22"/>
              </w:rPr>
              <w:t xml:space="preserve">the Portal </w:t>
            </w:r>
            <w:r w:rsidR="00445617">
              <w:rPr>
                <w:rFonts w:cs="Calibri"/>
                <w:szCs w:val="22"/>
              </w:rPr>
              <w:t xml:space="preserve">timing out </w:t>
            </w:r>
            <w:r w:rsidR="001C79F4">
              <w:rPr>
                <w:rFonts w:cs="Calibri"/>
                <w:szCs w:val="22"/>
              </w:rPr>
              <w:t xml:space="preserve">when performing </w:t>
            </w:r>
            <w:r w:rsidR="002A3B4E">
              <w:rPr>
                <w:rFonts w:cs="Calibri"/>
                <w:szCs w:val="22"/>
              </w:rPr>
              <w:t>queries on</w:t>
            </w:r>
            <w:r w:rsidR="00AA2F18">
              <w:rPr>
                <w:rFonts w:cs="Calibri"/>
                <w:szCs w:val="22"/>
              </w:rPr>
              <w:t xml:space="preserve"> </w:t>
            </w:r>
            <w:r w:rsidR="009D30F1">
              <w:rPr>
                <w:rFonts w:cs="Calibri"/>
                <w:szCs w:val="22"/>
              </w:rPr>
              <w:t>large numbers of ABNs</w:t>
            </w:r>
            <w:r w:rsidR="00730FE5">
              <w:rPr>
                <w:rFonts w:cs="Calibri"/>
                <w:szCs w:val="22"/>
              </w:rPr>
              <w:t>,</w:t>
            </w:r>
            <w:r w:rsidR="00776FBD">
              <w:rPr>
                <w:rFonts w:cs="Calibri"/>
                <w:szCs w:val="22"/>
              </w:rPr>
              <w:t xml:space="preserve"> necessitating</w:t>
            </w:r>
            <w:r w:rsidR="00730FE5">
              <w:rPr>
                <w:rFonts w:cs="Calibri"/>
                <w:szCs w:val="22"/>
              </w:rPr>
              <w:t xml:space="preserve"> a limit of 10,000 ABNs per enquiry</w:t>
            </w:r>
            <w:r w:rsidR="001758AF">
              <w:rPr>
                <w:rFonts w:cs="Calibri"/>
                <w:szCs w:val="22"/>
              </w:rPr>
              <w:t xml:space="preserve"> to ensure system stability</w:t>
            </w:r>
            <w:r w:rsidR="00730FE5">
              <w:rPr>
                <w:rFonts w:cs="Calibri"/>
                <w:szCs w:val="22"/>
              </w:rPr>
              <w:t>.</w:t>
            </w:r>
          </w:p>
          <w:p w14:paraId="753710D8" w14:textId="64D5589C" w:rsidR="000C7B14" w:rsidRPr="00730FE5" w:rsidRDefault="006D0579" w:rsidP="00BA6693">
            <w:pPr>
              <w:spacing w:before="0" w:line="259" w:lineRule="auto"/>
              <w:rPr>
                <w:rFonts w:cs="Calibri"/>
                <w:szCs w:val="22"/>
              </w:rPr>
            </w:pPr>
            <w:r>
              <w:rPr>
                <w:rFonts w:cs="Calibri"/>
                <w:szCs w:val="22"/>
              </w:rPr>
              <w:t xml:space="preserve">If one of these restrictions is impacting your ability to </w:t>
            </w:r>
            <w:r w:rsidR="00730FE5">
              <w:rPr>
                <w:rFonts w:cs="Calibri"/>
                <w:szCs w:val="22"/>
              </w:rPr>
              <w:t>report,</w:t>
            </w:r>
            <w:r>
              <w:rPr>
                <w:rFonts w:cs="Calibri"/>
                <w:szCs w:val="22"/>
              </w:rPr>
              <w:t xml:space="preserve"> we encourage </w:t>
            </w:r>
            <w:r w:rsidR="00730FE5">
              <w:rPr>
                <w:rFonts w:cs="Calibri"/>
                <w:szCs w:val="22"/>
              </w:rPr>
              <w:t>f</w:t>
            </w:r>
            <w:r>
              <w:rPr>
                <w:rFonts w:cs="Calibri"/>
                <w:szCs w:val="22"/>
              </w:rPr>
              <w:t xml:space="preserve">eedback </w:t>
            </w:r>
            <w:r w:rsidR="00477C72">
              <w:rPr>
                <w:rFonts w:cs="Calibri"/>
                <w:szCs w:val="22"/>
              </w:rPr>
              <w:t xml:space="preserve">on your experience </w:t>
            </w:r>
            <w:r w:rsidR="009E422E">
              <w:rPr>
                <w:rFonts w:cs="Calibri"/>
                <w:szCs w:val="22"/>
              </w:rPr>
              <w:t xml:space="preserve">so it can be considered in future </w:t>
            </w:r>
            <w:r>
              <w:rPr>
                <w:rFonts w:cs="Calibri"/>
                <w:szCs w:val="22"/>
              </w:rPr>
              <w:t>upgrades.</w:t>
            </w:r>
          </w:p>
        </w:tc>
      </w:tr>
      <w:tr w:rsidR="000C7B14" w14:paraId="30C2F87F" w14:textId="77777777" w:rsidTr="00367161">
        <w:trPr>
          <w:jc w:val="center"/>
        </w:trPr>
        <w:tc>
          <w:tcPr>
            <w:tcW w:w="9638" w:type="dxa"/>
            <w:shd w:val="clear" w:color="auto" w:fill="002C47" w:themeFill="accent1"/>
            <w:vAlign w:val="center"/>
          </w:tcPr>
          <w:p w14:paraId="00329D23" w14:textId="2EAB143C" w:rsidR="000C7B14" w:rsidRDefault="000C7B14" w:rsidP="00FA2BAD">
            <w:pPr>
              <w:spacing w:before="0" w:after="0" w:line="259" w:lineRule="auto"/>
              <w:rPr>
                <w:rFonts w:cs="Calibri"/>
                <w:szCs w:val="22"/>
              </w:rPr>
            </w:pPr>
            <w:r w:rsidRPr="00BF41A0">
              <w:rPr>
                <w:b/>
                <w:color w:val="FFFFFF" w:themeColor="background1"/>
                <w:sz w:val="24"/>
              </w:rPr>
              <w:t>Question</w:t>
            </w:r>
          </w:p>
        </w:tc>
      </w:tr>
      <w:tr w:rsidR="000C7B14" w14:paraId="7F0A0B6C" w14:textId="77777777" w:rsidTr="00367161">
        <w:trPr>
          <w:jc w:val="center"/>
        </w:trPr>
        <w:tc>
          <w:tcPr>
            <w:tcW w:w="9638" w:type="dxa"/>
            <w:vAlign w:val="center"/>
          </w:tcPr>
          <w:p w14:paraId="6F071DAB" w14:textId="2FD83821" w:rsidR="000C7B14" w:rsidRDefault="000C7B14" w:rsidP="00E30C3E">
            <w:pPr>
              <w:pStyle w:val="OutlineNumbered1"/>
              <w:ind w:hanging="485"/>
              <w:rPr>
                <w:rFonts w:cs="Calibri"/>
                <w:szCs w:val="22"/>
              </w:rPr>
            </w:pPr>
            <w:r>
              <w:t>ABN - small businesses. Do we still need to still advise and supply a stat dec to advise if we believe that a vendor isn’t a small supplier based on our expenditure with the vendor. How can we provide a full list easily to have these reviewed? Do you contact that vendor direct? </w:t>
            </w:r>
          </w:p>
        </w:tc>
      </w:tr>
      <w:tr w:rsidR="000C7B14" w14:paraId="1123C131" w14:textId="77777777" w:rsidTr="00367161">
        <w:trPr>
          <w:jc w:val="center"/>
        </w:trPr>
        <w:tc>
          <w:tcPr>
            <w:tcW w:w="9638" w:type="dxa"/>
            <w:shd w:val="clear" w:color="auto" w:fill="002C47" w:themeFill="accent1"/>
            <w:vAlign w:val="center"/>
          </w:tcPr>
          <w:p w14:paraId="297F3BBE" w14:textId="65F271F9" w:rsidR="000C7B14" w:rsidRDefault="00726188" w:rsidP="00FA2BAD">
            <w:pPr>
              <w:spacing w:before="0" w:after="0" w:line="259" w:lineRule="auto"/>
              <w:rPr>
                <w:rFonts w:cs="Calibri"/>
                <w:szCs w:val="22"/>
              </w:rPr>
            </w:pPr>
            <w:r>
              <w:rPr>
                <w:b/>
                <w:color w:val="FFFFFF" w:themeColor="background1"/>
                <w:sz w:val="24"/>
              </w:rPr>
              <w:t>Response</w:t>
            </w:r>
          </w:p>
        </w:tc>
      </w:tr>
      <w:tr w:rsidR="00BF41A0" w14:paraId="618C03D5" w14:textId="77777777" w:rsidTr="00367161">
        <w:trPr>
          <w:jc w:val="center"/>
        </w:trPr>
        <w:tc>
          <w:tcPr>
            <w:tcW w:w="9638" w:type="dxa"/>
            <w:vAlign w:val="center"/>
          </w:tcPr>
          <w:p w14:paraId="51FAE76C" w14:textId="0DBE0EE2" w:rsidR="00BF41A0" w:rsidRDefault="00BF41A0" w:rsidP="003B058A">
            <w:pPr>
              <w:spacing w:before="0" w:line="259" w:lineRule="auto"/>
              <w:rPr>
                <w:rFonts w:cs="Calibri"/>
                <w:szCs w:val="22"/>
              </w:rPr>
            </w:pPr>
            <w:r>
              <w:rPr>
                <w:rFonts w:cs="Calibri"/>
                <w:szCs w:val="22"/>
              </w:rPr>
              <w:t xml:space="preserve">If you believe the SBI Tool </w:t>
            </w:r>
            <w:r w:rsidR="007B4B25">
              <w:rPr>
                <w:rFonts w:cs="Calibri"/>
                <w:szCs w:val="22"/>
              </w:rPr>
              <w:t xml:space="preserve">has </w:t>
            </w:r>
            <w:r>
              <w:rPr>
                <w:rFonts w:cs="Calibri"/>
                <w:szCs w:val="22"/>
              </w:rPr>
              <w:t>incorrectly identifie</w:t>
            </w:r>
            <w:r w:rsidR="007B4B25">
              <w:rPr>
                <w:rFonts w:cs="Calibri"/>
                <w:szCs w:val="22"/>
              </w:rPr>
              <w:t>d</w:t>
            </w:r>
            <w:r>
              <w:rPr>
                <w:rFonts w:cs="Calibri"/>
                <w:szCs w:val="22"/>
              </w:rPr>
              <w:t xml:space="preserve"> a supplier as a small business, you can:</w:t>
            </w:r>
          </w:p>
          <w:p w14:paraId="5BA87544" w14:textId="77777777" w:rsidR="00BF41A0" w:rsidRPr="00304277" w:rsidRDefault="00BF41A0" w:rsidP="003B058A">
            <w:pPr>
              <w:pStyle w:val="Bullet"/>
              <w:rPr>
                <w:rFonts w:cstheme="minorHAnsi"/>
              </w:rPr>
            </w:pPr>
            <w:r>
              <w:t xml:space="preserve">request the supplier contact us to update its classification. The supplier will need to provide its registered business name, </w:t>
            </w:r>
            <w:proofErr w:type="gramStart"/>
            <w:r>
              <w:t>ABN</w:t>
            </w:r>
            <w:proofErr w:type="gramEnd"/>
            <w:r>
              <w:t xml:space="preserve"> and a statement that the contact person is authorised to request the classification update on behalf of the entity, or</w:t>
            </w:r>
          </w:p>
          <w:p w14:paraId="5D968C47" w14:textId="069EDFAF" w:rsidR="00BF41A0" w:rsidRPr="00304277" w:rsidRDefault="006037C4" w:rsidP="003B058A">
            <w:pPr>
              <w:pStyle w:val="Bullet"/>
              <w:rPr>
                <w:rFonts w:cstheme="minorHAnsi"/>
              </w:rPr>
            </w:pPr>
            <w:r>
              <w:t xml:space="preserve">notify the Regulator via the Portal and </w:t>
            </w:r>
            <w:r w:rsidR="00BF41A0">
              <w:t>provide documentary evidence (payment records or a statutory declaration) that you paid A$10 million or more to the supplier in a single income year.</w:t>
            </w:r>
          </w:p>
          <w:p w14:paraId="199CC6B7" w14:textId="77777777" w:rsidR="00BF41A0" w:rsidRDefault="00BF41A0" w:rsidP="003B058A">
            <w:r>
              <w:t>The Regulator is committed to updating the SBI Tool within 28 calendar days of appropriate documentary evidence being provided.</w:t>
            </w:r>
          </w:p>
          <w:p w14:paraId="393C8375" w14:textId="7136269D" w:rsidR="00BF41A0" w:rsidRPr="002526AA" w:rsidRDefault="00BF41A0" w:rsidP="003B058A">
            <w:pPr>
              <w:rPr>
                <w:rFonts w:cstheme="minorHAnsi"/>
              </w:rPr>
            </w:pPr>
            <w:r>
              <w:t xml:space="preserve">Further information can be found in </w:t>
            </w:r>
            <w:hyperlink r:id="rId32" w:history="1">
              <w:r w:rsidRPr="00BD25E6">
                <w:rPr>
                  <w:rStyle w:val="Hyperlink"/>
                </w:rPr>
                <w:t>Information sheet 6: Small Business Identification (SBI) Tool</w:t>
              </w:r>
            </w:hyperlink>
            <w:r>
              <w:t>.</w:t>
            </w:r>
          </w:p>
        </w:tc>
      </w:tr>
      <w:tr w:rsidR="00A32944" w14:paraId="6583621D" w14:textId="77777777" w:rsidTr="00367161">
        <w:trPr>
          <w:jc w:val="center"/>
        </w:trPr>
        <w:tc>
          <w:tcPr>
            <w:tcW w:w="9638" w:type="dxa"/>
            <w:shd w:val="clear" w:color="auto" w:fill="E5E9EF"/>
          </w:tcPr>
          <w:p w14:paraId="35610180" w14:textId="514DAE28" w:rsidR="00A32944" w:rsidRPr="00CB4DF4" w:rsidRDefault="00ED31FF" w:rsidP="0023518A">
            <w:pPr>
              <w:pStyle w:val="Heading3"/>
              <w:spacing w:before="0" w:after="0" w:line="259" w:lineRule="auto"/>
            </w:pPr>
            <w:bookmarkStart w:id="99" w:name="_Toc178596613"/>
            <w:r>
              <w:t xml:space="preserve">Slow </w:t>
            </w:r>
            <w:r w:rsidR="002424B9">
              <w:t xml:space="preserve">&amp; Fast </w:t>
            </w:r>
            <w:r>
              <w:t>Small Business Payer</w:t>
            </w:r>
            <w:bookmarkEnd w:id="99"/>
          </w:p>
        </w:tc>
      </w:tr>
      <w:tr w:rsidR="001B0D28" w14:paraId="6BB528C9" w14:textId="77777777" w:rsidTr="00367161">
        <w:trPr>
          <w:jc w:val="center"/>
        </w:trPr>
        <w:tc>
          <w:tcPr>
            <w:tcW w:w="9638" w:type="dxa"/>
            <w:shd w:val="clear" w:color="auto" w:fill="002C47" w:themeFill="accent1"/>
            <w:vAlign w:val="center"/>
          </w:tcPr>
          <w:p w14:paraId="517E0C92" w14:textId="1F535D14" w:rsidR="001B0D28" w:rsidRDefault="001B0D28" w:rsidP="003E4817">
            <w:pPr>
              <w:spacing w:before="0" w:after="0" w:line="259" w:lineRule="auto"/>
              <w:rPr>
                <w:rFonts w:cs="Calibri"/>
                <w:color w:val="000000"/>
                <w:szCs w:val="22"/>
              </w:rPr>
            </w:pPr>
            <w:r w:rsidRPr="00E63097">
              <w:rPr>
                <w:b/>
                <w:color w:val="FFFFFF" w:themeColor="background1"/>
                <w:sz w:val="24"/>
              </w:rPr>
              <w:t>Question</w:t>
            </w:r>
            <w:r w:rsidR="00726188">
              <w:rPr>
                <w:b/>
                <w:color w:val="FFFFFF" w:themeColor="background1"/>
                <w:sz w:val="24"/>
              </w:rPr>
              <w:t>s</w:t>
            </w:r>
          </w:p>
        </w:tc>
      </w:tr>
      <w:tr w:rsidR="001B0D28" w14:paraId="664B3653" w14:textId="77777777" w:rsidTr="00367161">
        <w:trPr>
          <w:jc w:val="center"/>
        </w:trPr>
        <w:tc>
          <w:tcPr>
            <w:tcW w:w="9638" w:type="dxa"/>
            <w:vAlign w:val="center"/>
          </w:tcPr>
          <w:p w14:paraId="2526F377" w14:textId="77777777" w:rsidR="001B0D28" w:rsidRPr="001B0D28" w:rsidRDefault="001B0D28" w:rsidP="003E3035">
            <w:pPr>
              <w:pStyle w:val="OutlineNumbered1"/>
              <w:ind w:hanging="485"/>
              <w:rPr>
                <w:color w:val="000000"/>
              </w:rPr>
            </w:pPr>
            <w:r>
              <w:t>What is the definition of Slow &amp; Fast payer?</w:t>
            </w:r>
          </w:p>
          <w:p w14:paraId="304AD1D3" w14:textId="77777777" w:rsidR="001B0D28" w:rsidRPr="001B0D28" w:rsidRDefault="001B0D28" w:rsidP="003E3035">
            <w:pPr>
              <w:pStyle w:val="OutlineNumbered1"/>
              <w:ind w:hanging="485"/>
              <w:rPr>
                <w:color w:val="000000"/>
              </w:rPr>
            </w:pPr>
            <w:r>
              <w:rPr>
                <w:rFonts w:cs="Calibri"/>
                <w:szCs w:val="22"/>
              </w:rPr>
              <w:t>Are slowest and fastest payer based on volume or dollar value? </w:t>
            </w:r>
          </w:p>
          <w:p w14:paraId="4E1037B7" w14:textId="77777777" w:rsidR="001B0D28" w:rsidRPr="001B0D28" w:rsidRDefault="001B0D28" w:rsidP="003E3035">
            <w:pPr>
              <w:pStyle w:val="OutlineNumbered1"/>
              <w:ind w:hanging="485"/>
              <w:rPr>
                <w:color w:val="000000"/>
              </w:rPr>
            </w:pPr>
            <w:r>
              <w:rPr>
                <w:rFonts w:cs="Calibri"/>
                <w:szCs w:val="22"/>
              </w:rPr>
              <w:t>Will metrics be based on &lt; 30 days or &lt; 20 days for slow/fast payers? </w:t>
            </w:r>
          </w:p>
          <w:p w14:paraId="2DDB5994" w14:textId="74A4E0A0" w:rsidR="001B0D28" w:rsidRPr="00001E50" w:rsidRDefault="001B0D28" w:rsidP="003E3035">
            <w:pPr>
              <w:pStyle w:val="OutlineNumbered1"/>
              <w:ind w:hanging="485"/>
              <w:rPr>
                <w:color w:val="000000"/>
              </w:rPr>
            </w:pPr>
            <w:r>
              <w:rPr>
                <w:rFonts w:cs="Calibri"/>
                <w:szCs w:val="22"/>
              </w:rPr>
              <w:t xml:space="preserve">Slowest 20%, is something we as an organisation can't measure, so how do we know if we are going to be targeted as a slow </w:t>
            </w:r>
            <w:r w:rsidR="008563AA">
              <w:rPr>
                <w:rFonts w:cs="Calibri"/>
                <w:szCs w:val="22"/>
              </w:rPr>
              <w:t>payer.</w:t>
            </w:r>
            <w:r>
              <w:rPr>
                <w:rFonts w:cs="Calibri"/>
                <w:szCs w:val="22"/>
              </w:rPr>
              <w:t> </w:t>
            </w:r>
          </w:p>
          <w:p w14:paraId="03837C7B" w14:textId="53084C45" w:rsidR="00001E50" w:rsidRDefault="00001E50" w:rsidP="003E3035">
            <w:pPr>
              <w:pStyle w:val="OutlineNumbered1"/>
              <w:ind w:hanging="485"/>
              <w:rPr>
                <w:color w:val="000000"/>
              </w:rPr>
            </w:pPr>
            <w:r>
              <w:t>Slower payer may be in the bottom 20% but still pay within 20 days? so they may be a fast and slow payer depending upon the spread of all payers.</w:t>
            </w:r>
          </w:p>
        </w:tc>
      </w:tr>
      <w:tr w:rsidR="001B0D28" w14:paraId="073FD01F" w14:textId="77777777" w:rsidTr="00367161">
        <w:trPr>
          <w:trHeight w:val="312"/>
          <w:jc w:val="center"/>
        </w:trPr>
        <w:tc>
          <w:tcPr>
            <w:tcW w:w="9638" w:type="dxa"/>
            <w:shd w:val="clear" w:color="auto" w:fill="002C47" w:themeFill="accent1"/>
            <w:vAlign w:val="center"/>
          </w:tcPr>
          <w:p w14:paraId="64540B3B" w14:textId="4B881467" w:rsidR="001B0D28" w:rsidRDefault="00726188" w:rsidP="00E63097">
            <w:pPr>
              <w:spacing w:before="0" w:after="0" w:line="259" w:lineRule="auto"/>
            </w:pPr>
            <w:r>
              <w:rPr>
                <w:b/>
                <w:color w:val="FFFFFF" w:themeColor="background1"/>
                <w:sz w:val="24"/>
              </w:rPr>
              <w:t>Response</w:t>
            </w:r>
          </w:p>
        </w:tc>
      </w:tr>
      <w:tr w:rsidR="001B0D28" w14:paraId="27B4CD4E" w14:textId="77777777" w:rsidTr="00367161">
        <w:trPr>
          <w:trHeight w:val="17"/>
          <w:jc w:val="center"/>
        </w:trPr>
        <w:tc>
          <w:tcPr>
            <w:tcW w:w="9638" w:type="dxa"/>
            <w:vAlign w:val="center"/>
          </w:tcPr>
          <w:p w14:paraId="2195F5B6" w14:textId="7B62B1B0" w:rsidR="00ED6F8C" w:rsidRPr="00B82A56" w:rsidRDefault="0040483A" w:rsidP="0040483A">
            <w:pPr>
              <w:spacing w:before="0" w:line="259" w:lineRule="auto"/>
              <w:rPr>
                <w:rFonts w:cs="Calibri"/>
                <w:szCs w:val="22"/>
              </w:rPr>
            </w:pPr>
            <w:r>
              <w:rPr>
                <w:rFonts w:cstheme="minorHAnsi"/>
                <w:szCs w:val="22"/>
              </w:rPr>
              <w:t xml:space="preserve">Revised guidance materials will include details </w:t>
            </w:r>
            <w:r w:rsidR="00ED6F8C" w:rsidRPr="00ED6F8C">
              <w:rPr>
                <w:rFonts w:cs="Calibri"/>
                <w:szCs w:val="22"/>
              </w:rPr>
              <w:t>on the slow and fast small business payer concepts</w:t>
            </w:r>
            <w:r w:rsidR="00001E50">
              <w:rPr>
                <w:rFonts w:cs="Calibri"/>
                <w:szCs w:val="22"/>
              </w:rPr>
              <w:t>. Information below provides a</w:t>
            </w:r>
            <w:r w:rsidR="00577065">
              <w:rPr>
                <w:rFonts w:cs="Calibri"/>
                <w:szCs w:val="22"/>
              </w:rPr>
              <w:t xml:space="preserve">n </w:t>
            </w:r>
            <w:r w:rsidR="00001E50">
              <w:rPr>
                <w:rFonts w:cs="Calibri"/>
                <w:szCs w:val="22"/>
              </w:rPr>
              <w:t>overview only.</w:t>
            </w:r>
          </w:p>
          <w:p w14:paraId="370BF69C" w14:textId="546F869C" w:rsidR="00631BA0" w:rsidRDefault="001B0D28" w:rsidP="002C23B3">
            <w:pPr>
              <w:spacing w:before="0" w:line="259" w:lineRule="auto"/>
              <w:rPr>
                <w:rFonts w:cs="Calibri"/>
                <w:szCs w:val="22"/>
              </w:rPr>
            </w:pPr>
            <w:r w:rsidRPr="00EF68B4">
              <w:rPr>
                <w:rFonts w:cs="Calibri"/>
                <w:b/>
                <w:bCs/>
                <w:szCs w:val="22"/>
              </w:rPr>
              <w:lastRenderedPageBreak/>
              <w:t>Slow Small Business Payer</w:t>
            </w:r>
            <w:r>
              <w:rPr>
                <w:rFonts w:cs="Calibri"/>
                <w:szCs w:val="22"/>
              </w:rPr>
              <w:br/>
              <w:t>A reporting entity is a slow small business payer for a reporting cycle if the</w:t>
            </w:r>
            <w:r w:rsidR="002C23B3">
              <w:rPr>
                <w:rFonts w:cs="Calibri"/>
                <w:szCs w:val="22"/>
              </w:rPr>
              <w:t xml:space="preserve">y are in the </w:t>
            </w:r>
            <w:r>
              <w:rPr>
                <w:rFonts w:cs="Calibri"/>
                <w:szCs w:val="22"/>
              </w:rPr>
              <w:t xml:space="preserve">slowest 20 per cent </w:t>
            </w:r>
            <w:r w:rsidR="00594EA9">
              <w:rPr>
                <w:rFonts w:cs="Calibri"/>
                <w:szCs w:val="22"/>
              </w:rPr>
              <w:t xml:space="preserve">of all reporting entities or reporting entities in the same </w:t>
            </w:r>
            <w:r w:rsidR="003F1DA1">
              <w:rPr>
                <w:rFonts w:cs="Calibri"/>
                <w:szCs w:val="22"/>
              </w:rPr>
              <w:t>ANZSIC Division</w:t>
            </w:r>
            <w:r w:rsidR="00594EA9">
              <w:rPr>
                <w:rFonts w:cs="Calibri"/>
                <w:szCs w:val="22"/>
              </w:rPr>
              <w:t xml:space="preserve">; </w:t>
            </w:r>
            <w:r w:rsidR="003E5126">
              <w:rPr>
                <w:rFonts w:cs="Calibri"/>
                <w:szCs w:val="22"/>
              </w:rPr>
              <w:t xml:space="preserve">see </w:t>
            </w:r>
            <w:r w:rsidR="00F01C23" w:rsidRPr="00F01C23">
              <w:rPr>
                <w:rFonts w:cs="Calibri"/>
                <w:szCs w:val="22"/>
              </w:rPr>
              <w:t xml:space="preserve">Act s </w:t>
            </w:r>
            <w:r w:rsidR="00850948" w:rsidRPr="00F01C23">
              <w:rPr>
                <w:rFonts w:cs="Calibri"/>
                <w:szCs w:val="22"/>
              </w:rPr>
              <w:t>22</w:t>
            </w:r>
            <w:proofErr w:type="gramStart"/>
            <w:r w:rsidR="00F01C23" w:rsidRPr="00F01C23">
              <w:rPr>
                <w:rFonts w:cs="Calibri"/>
                <w:szCs w:val="22"/>
              </w:rPr>
              <w:t>D(</w:t>
            </w:r>
            <w:proofErr w:type="gramEnd"/>
            <w:r w:rsidR="00F01C23" w:rsidRPr="00F01C23">
              <w:rPr>
                <w:rFonts w:cs="Calibri"/>
                <w:szCs w:val="22"/>
              </w:rPr>
              <w:t>1)</w:t>
            </w:r>
            <w:r w:rsidR="00594EA9" w:rsidRPr="00F01C23">
              <w:rPr>
                <w:rFonts w:cs="Calibri"/>
                <w:szCs w:val="22"/>
              </w:rPr>
              <w:t>.</w:t>
            </w:r>
          </w:p>
          <w:p w14:paraId="1E13486D" w14:textId="70A96A65" w:rsidR="001B0D28" w:rsidRDefault="00631BA0" w:rsidP="0040483A">
            <w:pPr>
              <w:spacing w:before="0" w:line="259" w:lineRule="auto"/>
              <w:rPr>
                <w:rFonts w:cs="Calibri"/>
                <w:szCs w:val="22"/>
              </w:rPr>
            </w:pPr>
            <w:r>
              <w:rPr>
                <w:rFonts w:cs="Calibri"/>
                <w:szCs w:val="22"/>
              </w:rPr>
              <w:t xml:space="preserve">The measure used for comparison is the </w:t>
            </w:r>
            <w:r w:rsidR="001B0D28">
              <w:rPr>
                <w:rFonts w:cs="Calibri"/>
                <w:szCs w:val="22"/>
              </w:rPr>
              <w:t>95</w:t>
            </w:r>
            <w:r w:rsidR="001B0D28" w:rsidRPr="00B3631D">
              <w:rPr>
                <w:rFonts w:cs="Calibri"/>
                <w:szCs w:val="22"/>
                <w:vertAlign w:val="superscript"/>
              </w:rPr>
              <w:t>th</w:t>
            </w:r>
            <w:r w:rsidR="001B0D28">
              <w:rPr>
                <w:rFonts w:cs="Calibri"/>
                <w:szCs w:val="22"/>
              </w:rPr>
              <w:t xml:space="preserve"> percentile payment time</w:t>
            </w:r>
            <w:r>
              <w:rPr>
                <w:rFonts w:cs="Calibri"/>
                <w:szCs w:val="22"/>
              </w:rPr>
              <w:t>, being the number of days within which 95% of small business suppliers payments</w:t>
            </w:r>
            <w:r w:rsidR="00B4501C">
              <w:rPr>
                <w:rFonts w:cs="Calibri"/>
                <w:szCs w:val="22"/>
              </w:rPr>
              <w:t xml:space="preserve"> (by number)</w:t>
            </w:r>
            <w:r>
              <w:rPr>
                <w:rFonts w:cs="Calibri"/>
                <w:szCs w:val="22"/>
              </w:rPr>
              <w:t xml:space="preserve"> are made.</w:t>
            </w:r>
          </w:p>
          <w:p w14:paraId="7050EEA7" w14:textId="76076D10" w:rsidR="001B0D28" w:rsidRDefault="00594EA9" w:rsidP="0040483A">
            <w:pPr>
              <w:spacing w:before="0" w:line="259" w:lineRule="auto"/>
              <w:rPr>
                <w:rFonts w:cs="Calibri"/>
                <w:szCs w:val="22"/>
              </w:rPr>
            </w:pPr>
            <w:r>
              <w:rPr>
                <w:rFonts w:cs="Calibri"/>
                <w:szCs w:val="22"/>
              </w:rPr>
              <w:t>A</w:t>
            </w:r>
            <w:r w:rsidR="001B0D28">
              <w:rPr>
                <w:rFonts w:cs="Calibri"/>
                <w:szCs w:val="22"/>
              </w:rPr>
              <w:t xml:space="preserve">n entity </w:t>
            </w:r>
            <w:r w:rsidR="00F74DD6">
              <w:rPr>
                <w:rFonts w:cs="Calibri"/>
                <w:szCs w:val="22"/>
              </w:rPr>
              <w:t xml:space="preserve">cannot be a slow small business </w:t>
            </w:r>
            <w:r w:rsidR="00536708">
              <w:rPr>
                <w:rFonts w:cs="Calibri"/>
                <w:szCs w:val="22"/>
              </w:rPr>
              <w:t xml:space="preserve">payer </w:t>
            </w:r>
            <w:r w:rsidR="00133508">
              <w:rPr>
                <w:rFonts w:cs="Calibri"/>
                <w:szCs w:val="22"/>
              </w:rPr>
              <w:t xml:space="preserve">if </w:t>
            </w:r>
            <w:r w:rsidR="004F2770">
              <w:rPr>
                <w:rFonts w:cs="Calibri"/>
                <w:szCs w:val="22"/>
              </w:rPr>
              <w:t>their</w:t>
            </w:r>
            <w:r w:rsidR="00133508">
              <w:rPr>
                <w:rFonts w:cs="Calibri"/>
                <w:szCs w:val="22"/>
              </w:rPr>
              <w:t xml:space="preserve"> 95</w:t>
            </w:r>
            <w:r w:rsidR="00133508" w:rsidRPr="00133508">
              <w:rPr>
                <w:rFonts w:cs="Calibri"/>
                <w:szCs w:val="22"/>
                <w:vertAlign w:val="superscript"/>
              </w:rPr>
              <w:t>th</w:t>
            </w:r>
            <w:r w:rsidR="00133508">
              <w:rPr>
                <w:rFonts w:cs="Calibri"/>
                <w:szCs w:val="22"/>
              </w:rPr>
              <w:t xml:space="preserve"> percentile payment time is </w:t>
            </w:r>
            <w:r w:rsidR="001B0D28">
              <w:rPr>
                <w:rFonts w:cs="Calibri"/>
                <w:szCs w:val="22"/>
              </w:rPr>
              <w:t>30 days or less</w:t>
            </w:r>
            <w:r w:rsidR="00246E5A">
              <w:rPr>
                <w:rFonts w:cs="Calibri"/>
                <w:szCs w:val="22"/>
              </w:rPr>
              <w:t xml:space="preserve"> (a 30-day ‘s</w:t>
            </w:r>
            <w:r w:rsidR="00673466">
              <w:rPr>
                <w:rFonts w:cs="Calibri"/>
                <w:szCs w:val="22"/>
              </w:rPr>
              <w:t>afe harbour’</w:t>
            </w:r>
            <w:r w:rsidR="00673466" w:rsidRPr="00F01C23">
              <w:rPr>
                <w:rFonts w:cs="Calibri"/>
                <w:szCs w:val="22"/>
              </w:rPr>
              <w:t>)</w:t>
            </w:r>
            <w:r w:rsidRPr="00F01C23">
              <w:rPr>
                <w:rFonts w:cs="Calibri"/>
                <w:szCs w:val="22"/>
              </w:rPr>
              <w:t xml:space="preserve">; </w:t>
            </w:r>
            <w:r w:rsidR="003E5126">
              <w:rPr>
                <w:rFonts w:cs="Calibri"/>
                <w:szCs w:val="22"/>
              </w:rPr>
              <w:t xml:space="preserve">see </w:t>
            </w:r>
            <w:r w:rsidR="00F01C23" w:rsidRPr="00F01C23">
              <w:rPr>
                <w:rFonts w:cs="Calibri"/>
                <w:szCs w:val="22"/>
              </w:rPr>
              <w:t xml:space="preserve">Act </w:t>
            </w:r>
            <w:r w:rsidRPr="00F01C23">
              <w:rPr>
                <w:rFonts w:cs="Calibri"/>
                <w:szCs w:val="22"/>
              </w:rPr>
              <w:t>s</w:t>
            </w:r>
            <w:r w:rsidR="00F01C23" w:rsidRPr="00F01C23">
              <w:rPr>
                <w:rFonts w:cs="Calibri"/>
                <w:szCs w:val="22"/>
              </w:rPr>
              <w:t xml:space="preserve"> </w:t>
            </w:r>
            <w:r w:rsidRPr="00F01C23">
              <w:rPr>
                <w:rFonts w:cs="Calibri"/>
                <w:szCs w:val="22"/>
              </w:rPr>
              <w:t>22</w:t>
            </w:r>
            <w:proofErr w:type="gramStart"/>
            <w:r w:rsidRPr="00F01C23">
              <w:rPr>
                <w:rFonts w:cs="Calibri"/>
                <w:szCs w:val="22"/>
              </w:rPr>
              <w:t>D</w:t>
            </w:r>
            <w:r w:rsidR="00850948" w:rsidRPr="00F01C23">
              <w:rPr>
                <w:rFonts w:cs="Calibri"/>
                <w:szCs w:val="22"/>
              </w:rPr>
              <w:t>(</w:t>
            </w:r>
            <w:proofErr w:type="gramEnd"/>
            <w:r w:rsidR="00850948" w:rsidRPr="00F01C23">
              <w:rPr>
                <w:rFonts w:cs="Calibri"/>
                <w:szCs w:val="22"/>
              </w:rPr>
              <w:t>4)</w:t>
            </w:r>
            <w:r w:rsidRPr="00F01C23">
              <w:rPr>
                <w:rFonts w:cs="Calibri"/>
                <w:szCs w:val="22"/>
              </w:rPr>
              <w:t>.</w:t>
            </w:r>
          </w:p>
          <w:p w14:paraId="52E51C92" w14:textId="77777777" w:rsidR="001B0D28" w:rsidRDefault="001B0D28" w:rsidP="0040483A">
            <w:pPr>
              <w:spacing w:before="0" w:line="259" w:lineRule="auto"/>
              <w:rPr>
                <w:rFonts w:cs="Calibri"/>
                <w:b/>
                <w:bCs/>
                <w:szCs w:val="22"/>
              </w:rPr>
            </w:pPr>
            <w:r w:rsidRPr="00A7434A">
              <w:rPr>
                <w:rFonts w:cs="Calibri"/>
                <w:b/>
                <w:bCs/>
                <w:szCs w:val="22"/>
              </w:rPr>
              <w:t>Fast small business payer</w:t>
            </w:r>
          </w:p>
          <w:p w14:paraId="0E929041" w14:textId="1969F9FF" w:rsidR="009F74B3" w:rsidRPr="00516E6B" w:rsidRDefault="001B0D28" w:rsidP="0040483A">
            <w:pPr>
              <w:spacing w:before="0" w:line="259" w:lineRule="auto"/>
              <w:rPr>
                <w:rFonts w:cs="Calibri"/>
                <w:szCs w:val="22"/>
              </w:rPr>
            </w:pPr>
            <w:r>
              <w:rPr>
                <w:rFonts w:cs="Calibri"/>
                <w:szCs w:val="22"/>
              </w:rPr>
              <w:t xml:space="preserve">A reporting entity is a fast small business payer if the entity </w:t>
            </w:r>
            <w:r w:rsidR="009C1ADF">
              <w:rPr>
                <w:rFonts w:cs="Calibri"/>
                <w:szCs w:val="22"/>
              </w:rPr>
              <w:t xml:space="preserve">has </w:t>
            </w:r>
            <w:r>
              <w:rPr>
                <w:rFonts w:cs="Calibri"/>
                <w:szCs w:val="22"/>
              </w:rPr>
              <w:t xml:space="preserve">2 consecutive reporting </w:t>
            </w:r>
            <w:r w:rsidR="001B6A07">
              <w:rPr>
                <w:rFonts w:cs="Calibri"/>
                <w:szCs w:val="22"/>
              </w:rPr>
              <w:t>periods</w:t>
            </w:r>
            <w:r>
              <w:rPr>
                <w:rFonts w:cs="Calibri"/>
                <w:szCs w:val="22"/>
              </w:rPr>
              <w:t xml:space="preserve"> </w:t>
            </w:r>
            <w:r w:rsidR="009C1ADF">
              <w:rPr>
                <w:rFonts w:cs="Calibri"/>
                <w:szCs w:val="22"/>
              </w:rPr>
              <w:t>with a 95</w:t>
            </w:r>
            <w:r w:rsidR="009C1ADF" w:rsidRPr="009C1ADF">
              <w:rPr>
                <w:rFonts w:cs="Calibri"/>
                <w:szCs w:val="22"/>
                <w:vertAlign w:val="superscript"/>
              </w:rPr>
              <w:t>th</w:t>
            </w:r>
            <w:r w:rsidR="009C1ADF">
              <w:rPr>
                <w:rFonts w:cs="Calibri"/>
                <w:szCs w:val="22"/>
              </w:rPr>
              <w:t xml:space="preserve"> percentile </w:t>
            </w:r>
            <w:r w:rsidR="009F74B3">
              <w:rPr>
                <w:rFonts w:cs="Calibri"/>
                <w:szCs w:val="22"/>
              </w:rPr>
              <w:t xml:space="preserve">payment time of </w:t>
            </w:r>
            <w:r>
              <w:rPr>
                <w:rFonts w:cs="Calibri"/>
                <w:szCs w:val="22"/>
              </w:rPr>
              <w:t>20 days or less.</w:t>
            </w:r>
          </w:p>
        </w:tc>
      </w:tr>
      <w:tr w:rsidR="00ED31FF" w14:paraId="610932CD" w14:textId="77777777" w:rsidTr="00367161">
        <w:trPr>
          <w:jc w:val="center"/>
        </w:trPr>
        <w:tc>
          <w:tcPr>
            <w:tcW w:w="9638" w:type="dxa"/>
            <w:shd w:val="clear" w:color="auto" w:fill="E5E9EF"/>
          </w:tcPr>
          <w:p w14:paraId="7AD88F95" w14:textId="1CCECAAD" w:rsidR="00ED31FF" w:rsidRPr="00CB4DF4" w:rsidRDefault="00ED31FF" w:rsidP="0023518A">
            <w:pPr>
              <w:pStyle w:val="Heading3"/>
              <w:spacing w:before="0" w:after="0" w:line="259" w:lineRule="auto"/>
            </w:pPr>
            <w:bookmarkStart w:id="100" w:name="_Toc178596614"/>
            <w:r>
              <w:lastRenderedPageBreak/>
              <w:t>Small Business Definition</w:t>
            </w:r>
            <w:bookmarkEnd w:id="100"/>
          </w:p>
        </w:tc>
      </w:tr>
      <w:tr w:rsidR="001F62C9" w14:paraId="28BD9A98" w14:textId="77777777" w:rsidTr="00367161">
        <w:trPr>
          <w:tblHeader/>
          <w:jc w:val="center"/>
        </w:trPr>
        <w:tc>
          <w:tcPr>
            <w:tcW w:w="9638" w:type="dxa"/>
            <w:shd w:val="clear" w:color="auto" w:fill="2C384A"/>
          </w:tcPr>
          <w:p w14:paraId="39D7D971" w14:textId="7F84C3C7" w:rsidR="001F62C9" w:rsidRPr="00EC28C4" w:rsidRDefault="001F62C9">
            <w:pPr>
              <w:spacing w:before="0" w:after="0" w:line="259" w:lineRule="auto"/>
              <w:rPr>
                <w:b/>
                <w:color w:val="FFFFFF" w:themeColor="background1"/>
                <w:sz w:val="24"/>
              </w:rPr>
            </w:pPr>
            <w:r>
              <w:rPr>
                <w:b/>
                <w:color w:val="FFFFFF" w:themeColor="background1"/>
                <w:sz w:val="24"/>
              </w:rPr>
              <w:t>Question</w:t>
            </w:r>
          </w:p>
        </w:tc>
      </w:tr>
      <w:tr w:rsidR="00E52D27" w14:paraId="21A4883F" w14:textId="77777777" w:rsidTr="00367161">
        <w:trPr>
          <w:jc w:val="center"/>
        </w:trPr>
        <w:tc>
          <w:tcPr>
            <w:tcW w:w="9638" w:type="dxa"/>
            <w:vAlign w:val="center"/>
          </w:tcPr>
          <w:p w14:paraId="071A93CB" w14:textId="58A1F617" w:rsidR="00E52D27" w:rsidRDefault="00E52D27" w:rsidP="00D34EBC">
            <w:pPr>
              <w:pStyle w:val="OutlineNumbered1"/>
              <w:ind w:hanging="485"/>
              <w:rPr>
                <w:rFonts w:cs="Calibri"/>
                <w:color w:val="000000"/>
                <w:szCs w:val="22"/>
              </w:rPr>
            </w:pPr>
            <w:r>
              <w:rPr>
                <w:rFonts w:cs="Calibri"/>
                <w:szCs w:val="22"/>
              </w:rPr>
              <w:t>How, and how frequently, will the $10M threshold for a small business be reviewed as appropriate? </w:t>
            </w:r>
          </w:p>
        </w:tc>
      </w:tr>
      <w:tr w:rsidR="00E52D27" w14:paraId="1ED53828" w14:textId="77777777" w:rsidTr="00367161">
        <w:trPr>
          <w:jc w:val="center"/>
        </w:trPr>
        <w:tc>
          <w:tcPr>
            <w:tcW w:w="9638" w:type="dxa"/>
            <w:shd w:val="clear" w:color="auto" w:fill="002C47" w:themeFill="accent1"/>
            <w:vAlign w:val="center"/>
          </w:tcPr>
          <w:p w14:paraId="67C8D661" w14:textId="5941BDF7" w:rsidR="00E52D27" w:rsidRPr="001F62C9" w:rsidRDefault="00726188" w:rsidP="001D6DF1">
            <w:pPr>
              <w:spacing w:before="0" w:after="0" w:line="259" w:lineRule="auto"/>
              <w:rPr>
                <w:b/>
                <w:color w:val="FFFFFF" w:themeColor="background1"/>
                <w:sz w:val="24"/>
              </w:rPr>
            </w:pPr>
            <w:r>
              <w:rPr>
                <w:b/>
                <w:color w:val="FFFFFF" w:themeColor="background1"/>
                <w:sz w:val="24"/>
              </w:rPr>
              <w:t>Response</w:t>
            </w:r>
          </w:p>
        </w:tc>
      </w:tr>
      <w:tr w:rsidR="00E52D27" w14:paraId="4683ACB7" w14:textId="77777777" w:rsidTr="00367161">
        <w:trPr>
          <w:jc w:val="center"/>
        </w:trPr>
        <w:tc>
          <w:tcPr>
            <w:tcW w:w="9638" w:type="dxa"/>
            <w:vAlign w:val="center"/>
          </w:tcPr>
          <w:p w14:paraId="4832581A" w14:textId="65792D30" w:rsidR="000C74B2" w:rsidRDefault="003A0134" w:rsidP="00D73954">
            <w:pPr>
              <w:spacing w:before="0" w:line="259" w:lineRule="auto"/>
              <w:rPr>
                <w:rFonts w:cs="Calibri"/>
                <w:szCs w:val="22"/>
              </w:rPr>
            </w:pPr>
            <w:r w:rsidRPr="00340B54">
              <w:rPr>
                <w:rFonts w:cs="Calibri"/>
                <w:color w:val="000000"/>
                <w:szCs w:val="22"/>
              </w:rPr>
              <w:t>The</w:t>
            </w:r>
            <w:r w:rsidR="00493002" w:rsidRPr="00340B54">
              <w:rPr>
                <w:rFonts w:cs="Calibri"/>
                <w:color w:val="000000"/>
                <w:szCs w:val="22"/>
              </w:rPr>
              <w:t xml:space="preserve"> </w:t>
            </w:r>
            <w:hyperlink r:id="rId33" w:history="1">
              <w:r w:rsidR="00493002" w:rsidRPr="00340B54">
                <w:rPr>
                  <w:rStyle w:val="Hyperlink"/>
                  <w:rFonts w:cs="Calibri"/>
                  <w:szCs w:val="22"/>
                </w:rPr>
                <w:t xml:space="preserve">Statutory Review of the </w:t>
              </w:r>
              <w:r w:rsidR="00493002" w:rsidRPr="00340B54">
                <w:rPr>
                  <w:rStyle w:val="Hyperlink"/>
                  <w:rFonts w:cs="Calibri"/>
                  <w:i/>
                  <w:iCs/>
                  <w:szCs w:val="22"/>
                </w:rPr>
                <w:t>Payment Times Reporting Act 2020</w:t>
              </w:r>
            </w:hyperlink>
            <w:r w:rsidR="00493002" w:rsidRPr="00340B54">
              <w:rPr>
                <w:rFonts w:cs="Calibri"/>
                <w:szCs w:val="22"/>
              </w:rPr>
              <w:t xml:space="preserve"> recommended</w:t>
            </w:r>
            <w:r w:rsidR="00493002">
              <w:rPr>
                <w:rFonts w:cs="Calibri"/>
                <w:szCs w:val="22"/>
              </w:rPr>
              <w:t xml:space="preserve"> </w:t>
            </w:r>
            <w:r w:rsidR="00C27739">
              <w:rPr>
                <w:rFonts w:cs="Calibri"/>
                <w:szCs w:val="22"/>
              </w:rPr>
              <w:t>exploring</w:t>
            </w:r>
            <w:r w:rsidR="00493002">
              <w:rPr>
                <w:rFonts w:cs="Calibri"/>
                <w:szCs w:val="22"/>
              </w:rPr>
              <w:t xml:space="preserve"> sources of data for the </w:t>
            </w:r>
            <w:r w:rsidR="000C74B2">
              <w:rPr>
                <w:rFonts w:cs="Calibri"/>
                <w:szCs w:val="22"/>
              </w:rPr>
              <w:t>SBI Tool</w:t>
            </w:r>
            <w:r>
              <w:rPr>
                <w:rFonts w:cs="Calibri"/>
                <w:szCs w:val="22"/>
              </w:rPr>
              <w:t xml:space="preserve"> but </w:t>
            </w:r>
            <w:r w:rsidR="000C74B2">
              <w:rPr>
                <w:rFonts w:cs="Calibri"/>
                <w:szCs w:val="22"/>
              </w:rPr>
              <w:t xml:space="preserve">did not recommend </w:t>
            </w:r>
            <w:r w:rsidR="00D73954">
              <w:rPr>
                <w:rFonts w:cs="Calibri"/>
                <w:szCs w:val="22"/>
              </w:rPr>
              <w:t xml:space="preserve">changing the </w:t>
            </w:r>
            <w:r w:rsidR="000C74B2">
              <w:rPr>
                <w:rFonts w:cs="Calibri"/>
                <w:szCs w:val="22"/>
              </w:rPr>
              <w:t xml:space="preserve">threshold for </w:t>
            </w:r>
            <w:r w:rsidR="00D73954">
              <w:rPr>
                <w:rFonts w:cs="Calibri"/>
                <w:szCs w:val="22"/>
              </w:rPr>
              <w:t xml:space="preserve">identifying </w:t>
            </w:r>
            <w:r w:rsidR="000C74B2">
              <w:rPr>
                <w:rFonts w:cs="Calibri"/>
                <w:szCs w:val="22"/>
              </w:rPr>
              <w:t>small businesses.</w:t>
            </w:r>
          </w:p>
          <w:p w14:paraId="183F1134" w14:textId="185B563C" w:rsidR="00E52D27" w:rsidRPr="002526AA" w:rsidRDefault="000C74B2" w:rsidP="00D73954">
            <w:pPr>
              <w:spacing w:before="0" w:line="259" w:lineRule="auto"/>
              <w:rPr>
                <w:rFonts w:cstheme="minorHAnsi"/>
                <w:szCs w:val="22"/>
              </w:rPr>
            </w:pPr>
            <w:r>
              <w:rPr>
                <w:rFonts w:cs="Calibri"/>
                <w:szCs w:val="22"/>
              </w:rPr>
              <w:t xml:space="preserve">The </w:t>
            </w:r>
            <w:r w:rsidR="00D73954">
              <w:rPr>
                <w:rFonts w:cs="Calibri"/>
                <w:szCs w:val="22"/>
              </w:rPr>
              <w:t xml:space="preserve">existing </w:t>
            </w:r>
            <w:r>
              <w:rPr>
                <w:rFonts w:cs="Calibri"/>
                <w:szCs w:val="22"/>
              </w:rPr>
              <w:t xml:space="preserve">value threshold aligns with </w:t>
            </w:r>
            <w:r w:rsidR="00B313A5">
              <w:rPr>
                <w:rFonts w:cs="Calibri"/>
                <w:szCs w:val="22"/>
              </w:rPr>
              <w:t xml:space="preserve">other Commonwealth agencies, including the </w:t>
            </w:r>
            <w:r w:rsidR="00E52D27">
              <w:rPr>
                <w:rFonts w:cs="Calibri"/>
                <w:color w:val="000000"/>
                <w:szCs w:val="22"/>
              </w:rPr>
              <w:t>Australian Taxation Office definition, being those businesses with an aggregate turnover of less than $10 million.</w:t>
            </w:r>
          </w:p>
        </w:tc>
      </w:tr>
      <w:tr w:rsidR="001F62C9" w14:paraId="36E76FBA" w14:textId="77777777" w:rsidTr="00367161">
        <w:trPr>
          <w:jc w:val="center"/>
        </w:trPr>
        <w:tc>
          <w:tcPr>
            <w:tcW w:w="9638" w:type="dxa"/>
            <w:shd w:val="clear" w:color="auto" w:fill="002C47" w:themeFill="accent1"/>
            <w:vAlign w:val="center"/>
          </w:tcPr>
          <w:p w14:paraId="5C7CB2E2" w14:textId="18615DFD" w:rsidR="001F62C9" w:rsidRDefault="001F62C9" w:rsidP="001D6DF1">
            <w:pPr>
              <w:spacing w:before="0" w:after="0" w:line="259" w:lineRule="auto"/>
              <w:rPr>
                <w:rFonts w:cs="Calibri"/>
                <w:color w:val="000000"/>
                <w:szCs w:val="22"/>
              </w:rPr>
            </w:pPr>
            <w:r w:rsidRPr="001F62C9">
              <w:rPr>
                <w:b/>
                <w:color w:val="FFFFFF" w:themeColor="background1"/>
                <w:sz w:val="24"/>
              </w:rPr>
              <w:t>Question</w:t>
            </w:r>
          </w:p>
        </w:tc>
      </w:tr>
      <w:tr w:rsidR="001F62C9" w14:paraId="11B3129F" w14:textId="77777777" w:rsidTr="00367161">
        <w:trPr>
          <w:jc w:val="center"/>
        </w:trPr>
        <w:tc>
          <w:tcPr>
            <w:tcW w:w="9638" w:type="dxa"/>
            <w:vAlign w:val="center"/>
          </w:tcPr>
          <w:p w14:paraId="4F3A7BFA" w14:textId="6FB749AF" w:rsidR="001F62C9" w:rsidRDefault="001F62C9" w:rsidP="00D34EBC">
            <w:pPr>
              <w:pStyle w:val="OutlineNumbered1"/>
              <w:ind w:hanging="485"/>
              <w:rPr>
                <w:rFonts w:cs="Calibri"/>
                <w:color w:val="000000"/>
                <w:szCs w:val="22"/>
              </w:rPr>
            </w:pPr>
            <w:r>
              <w:rPr>
                <w:rFonts w:cs="Calibri"/>
                <w:szCs w:val="22"/>
              </w:rPr>
              <w:t>What is deemed a small business?</w:t>
            </w:r>
          </w:p>
        </w:tc>
      </w:tr>
      <w:tr w:rsidR="001F62C9" w14:paraId="6D1E8533" w14:textId="77777777" w:rsidTr="00367161">
        <w:trPr>
          <w:jc w:val="center"/>
        </w:trPr>
        <w:tc>
          <w:tcPr>
            <w:tcW w:w="9638" w:type="dxa"/>
            <w:shd w:val="clear" w:color="auto" w:fill="002C47" w:themeFill="accent1"/>
            <w:vAlign w:val="center"/>
          </w:tcPr>
          <w:p w14:paraId="69CCB3E7" w14:textId="03F4F80D" w:rsidR="001F62C9" w:rsidRDefault="00726188" w:rsidP="001D6DF1">
            <w:pPr>
              <w:spacing w:before="0" w:after="0" w:line="259" w:lineRule="auto"/>
              <w:rPr>
                <w:rFonts w:cs="Calibri"/>
                <w:color w:val="000000"/>
                <w:szCs w:val="22"/>
              </w:rPr>
            </w:pPr>
            <w:r>
              <w:rPr>
                <w:b/>
                <w:color w:val="FFFFFF" w:themeColor="background1"/>
                <w:sz w:val="24"/>
              </w:rPr>
              <w:t>Response</w:t>
            </w:r>
          </w:p>
        </w:tc>
      </w:tr>
      <w:tr w:rsidR="001F62C9" w14:paraId="560B5DED" w14:textId="77777777" w:rsidTr="00367161">
        <w:trPr>
          <w:jc w:val="center"/>
        </w:trPr>
        <w:tc>
          <w:tcPr>
            <w:tcW w:w="9638" w:type="dxa"/>
            <w:vAlign w:val="center"/>
          </w:tcPr>
          <w:p w14:paraId="571EDCD9" w14:textId="2ABADEFF" w:rsidR="001F62C9" w:rsidRPr="002526AA" w:rsidRDefault="001F62C9" w:rsidP="001D6DF1">
            <w:pPr>
              <w:spacing w:before="0" w:after="0" w:line="259" w:lineRule="auto"/>
              <w:rPr>
                <w:rFonts w:cstheme="minorHAnsi"/>
                <w:szCs w:val="22"/>
              </w:rPr>
            </w:pPr>
            <w:r>
              <w:rPr>
                <w:rFonts w:cs="Calibri"/>
                <w:color w:val="000000"/>
                <w:szCs w:val="22"/>
              </w:rPr>
              <w:t>A small business is an entity that is described as a small business in the Payment Times Small Business Identification Tool</w:t>
            </w:r>
            <w:r w:rsidR="003A0134">
              <w:rPr>
                <w:rFonts w:cs="Calibri"/>
                <w:color w:val="000000"/>
                <w:szCs w:val="22"/>
              </w:rPr>
              <w:t xml:space="preserve">; </w:t>
            </w:r>
            <w:r w:rsidR="00F375B9">
              <w:rPr>
                <w:rFonts w:cs="Calibri"/>
                <w:color w:val="000000"/>
                <w:szCs w:val="22"/>
              </w:rPr>
              <w:t xml:space="preserve">see </w:t>
            </w:r>
            <w:r w:rsidR="00B604DA" w:rsidRPr="00B604DA">
              <w:rPr>
                <w:rFonts w:cs="Calibri"/>
                <w:color w:val="000000"/>
                <w:szCs w:val="22"/>
              </w:rPr>
              <w:t>Act s 5</w:t>
            </w:r>
            <w:r w:rsidR="003A0134" w:rsidRPr="00B604DA">
              <w:rPr>
                <w:rFonts w:cs="Calibri"/>
                <w:color w:val="000000"/>
                <w:szCs w:val="22"/>
              </w:rPr>
              <w:t>.</w:t>
            </w:r>
          </w:p>
        </w:tc>
      </w:tr>
      <w:tr w:rsidR="001F62C9" w14:paraId="3579F2A7" w14:textId="77777777" w:rsidTr="00367161">
        <w:trPr>
          <w:jc w:val="center"/>
        </w:trPr>
        <w:tc>
          <w:tcPr>
            <w:tcW w:w="9638" w:type="dxa"/>
            <w:shd w:val="clear" w:color="auto" w:fill="002C47" w:themeFill="accent1"/>
            <w:vAlign w:val="center"/>
          </w:tcPr>
          <w:p w14:paraId="12D94D5F" w14:textId="2069EFA7" w:rsidR="001F62C9" w:rsidRDefault="001F62C9" w:rsidP="001D6DF1">
            <w:pPr>
              <w:spacing w:before="0" w:after="0" w:line="259" w:lineRule="auto"/>
              <w:rPr>
                <w:rFonts w:cs="Calibri"/>
                <w:color w:val="000000"/>
                <w:szCs w:val="22"/>
              </w:rPr>
            </w:pPr>
            <w:r w:rsidRPr="001F62C9">
              <w:rPr>
                <w:b/>
                <w:color w:val="FFFFFF" w:themeColor="background1"/>
                <w:sz w:val="24"/>
              </w:rPr>
              <w:t>Question</w:t>
            </w:r>
          </w:p>
        </w:tc>
      </w:tr>
      <w:tr w:rsidR="001F62C9" w14:paraId="2D8FDAB3" w14:textId="77777777" w:rsidTr="00367161">
        <w:trPr>
          <w:jc w:val="center"/>
        </w:trPr>
        <w:tc>
          <w:tcPr>
            <w:tcW w:w="9638" w:type="dxa"/>
            <w:vAlign w:val="center"/>
          </w:tcPr>
          <w:p w14:paraId="2ACDA06A" w14:textId="563BFD01" w:rsidR="001F62C9" w:rsidRDefault="001F62C9" w:rsidP="00D34EBC">
            <w:pPr>
              <w:pStyle w:val="OutlineNumbered1"/>
              <w:ind w:hanging="485"/>
              <w:rPr>
                <w:rFonts w:cs="Calibri"/>
                <w:color w:val="000000"/>
                <w:szCs w:val="22"/>
              </w:rPr>
            </w:pPr>
            <w:r>
              <w:rPr>
                <w:rFonts w:cs="Calibri"/>
                <w:szCs w:val="22"/>
              </w:rPr>
              <w:t>Will we only need to report on small business or a both small and non-small? </w:t>
            </w:r>
          </w:p>
        </w:tc>
      </w:tr>
      <w:tr w:rsidR="001F62C9" w14:paraId="04828864" w14:textId="77777777" w:rsidTr="00367161">
        <w:trPr>
          <w:jc w:val="center"/>
        </w:trPr>
        <w:tc>
          <w:tcPr>
            <w:tcW w:w="9638" w:type="dxa"/>
            <w:shd w:val="clear" w:color="auto" w:fill="002C47" w:themeFill="accent1"/>
            <w:vAlign w:val="center"/>
          </w:tcPr>
          <w:p w14:paraId="1E1AC84A" w14:textId="1945EA0A" w:rsidR="001F62C9" w:rsidRDefault="00726188" w:rsidP="001D6DF1">
            <w:pPr>
              <w:spacing w:before="0" w:after="0" w:line="259" w:lineRule="auto"/>
              <w:rPr>
                <w:rFonts w:cs="Calibri"/>
                <w:szCs w:val="22"/>
              </w:rPr>
            </w:pPr>
            <w:r>
              <w:rPr>
                <w:b/>
                <w:color w:val="FFFFFF" w:themeColor="background1"/>
                <w:sz w:val="24"/>
              </w:rPr>
              <w:t>Response</w:t>
            </w:r>
          </w:p>
        </w:tc>
      </w:tr>
      <w:tr w:rsidR="001F62C9" w14:paraId="6C37A832" w14:textId="77777777" w:rsidTr="00367161">
        <w:trPr>
          <w:jc w:val="center"/>
        </w:trPr>
        <w:tc>
          <w:tcPr>
            <w:tcW w:w="9638" w:type="dxa"/>
            <w:vAlign w:val="center"/>
          </w:tcPr>
          <w:p w14:paraId="35EFD19D" w14:textId="77777777" w:rsidR="00C27739" w:rsidRDefault="002B5CCF" w:rsidP="007E64C8">
            <w:pPr>
              <w:spacing w:before="0" w:line="259" w:lineRule="auto"/>
              <w:rPr>
                <w:rFonts w:cs="Calibri"/>
                <w:szCs w:val="22"/>
              </w:rPr>
            </w:pPr>
            <w:r>
              <w:rPr>
                <w:rFonts w:cs="Calibri"/>
                <w:szCs w:val="22"/>
              </w:rPr>
              <w:t xml:space="preserve">Payment terms and times </w:t>
            </w:r>
            <w:r w:rsidR="00C27739">
              <w:rPr>
                <w:rFonts w:cs="Calibri"/>
                <w:szCs w:val="22"/>
              </w:rPr>
              <w:t xml:space="preserve">measures </w:t>
            </w:r>
            <w:r>
              <w:rPr>
                <w:rFonts w:cs="Calibri"/>
                <w:szCs w:val="22"/>
              </w:rPr>
              <w:t xml:space="preserve">are based on payments to Australian small business suppliers. </w:t>
            </w:r>
          </w:p>
          <w:p w14:paraId="6DAAC40C" w14:textId="25CDAEAA" w:rsidR="002B5CCF" w:rsidRDefault="002B5CCF" w:rsidP="007E64C8">
            <w:pPr>
              <w:spacing w:before="0" w:line="259" w:lineRule="auto"/>
              <w:rPr>
                <w:rFonts w:cs="Calibri"/>
                <w:szCs w:val="22"/>
              </w:rPr>
            </w:pPr>
            <w:r>
              <w:rPr>
                <w:rFonts w:cs="Calibri"/>
                <w:szCs w:val="22"/>
              </w:rPr>
              <w:t xml:space="preserve">However, </w:t>
            </w:r>
            <w:r w:rsidR="005E386D">
              <w:rPr>
                <w:rFonts w:cs="Calibri"/>
                <w:szCs w:val="22"/>
              </w:rPr>
              <w:t xml:space="preserve">the </w:t>
            </w:r>
            <w:r w:rsidR="00E103DC">
              <w:rPr>
                <w:rFonts w:cs="Calibri"/>
                <w:szCs w:val="22"/>
              </w:rPr>
              <w:t xml:space="preserve">number </w:t>
            </w:r>
            <w:r w:rsidR="005E386D">
              <w:rPr>
                <w:rFonts w:cs="Calibri"/>
                <w:szCs w:val="22"/>
              </w:rPr>
              <w:t xml:space="preserve">of </w:t>
            </w:r>
            <w:r>
              <w:rPr>
                <w:rFonts w:cs="Calibri"/>
                <w:szCs w:val="22"/>
              </w:rPr>
              <w:t xml:space="preserve">payments to non-small business may be </w:t>
            </w:r>
            <w:r w:rsidR="00350E15">
              <w:rPr>
                <w:rFonts w:cs="Calibri"/>
                <w:szCs w:val="22"/>
              </w:rPr>
              <w:t xml:space="preserve">included as part of the </w:t>
            </w:r>
            <w:r>
              <w:rPr>
                <w:rFonts w:cs="Calibri"/>
                <w:szCs w:val="22"/>
              </w:rPr>
              <w:t>d</w:t>
            </w:r>
            <w:r w:rsidR="005E386D">
              <w:rPr>
                <w:rFonts w:cs="Calibri"/>
                <w:szCs w:val="22"/>
              </w:rPr>
              <w:t xml:space="preserve">enominator for </w:t>
            </w:r>
            <w:r w:rsidR="005E386D" w:rsidRPr="00C4209F">
              <w:rPr>
                <w:rFonts w:cs="Calibri"/>
                <w:szCs w:val="22"/>
              </w:rPr>
              <w:t xml:space="preserve">certain </w:t>
            </w:r>
            <w:r w:rsidR="00434EAB" w:rsidRPr="00C4209F">
              <w:rPr>
                <w:rFonts w:cs="Calibri"/>
                <w:szCs w:val="22"/>
              </w:rPr>
              <w:t>measures</w:t>
            </w:r>
            <w:r w:rsidR="00350E15" w:rsidRPr="00C4209F">
              <w:rPr>
                <w:rFonts w:cs="Calibri"/>
                <w:szCs w:val="22"/>
              </w:rPr>
              <w:t xml:space="preserve"> </w:t>
            </w:r>
            <w:r w:rsidR="002675B7" w:rsidRPr="00C4209F">
              <w:rPr>
                <w:rFonts w:cs="Calibri"/>
                <w:szCs w:val="22"/>
              </w:rPr>
              <w:t xml:space="preserve">such as </w:t>
            </w:r>
            <w:r w:rsidR="00350E15" w:rsidRPr="00C4209F">
              <w:rPr>
                <w:rFonts w:cs="Calibri"/>
                <w:i/>
                <w:iCs/>
                <w:szCs w:val="22"/>
              </w:rPr>
              <w:t>proportion of total number of payments to small business suppliers</w:t>
            </w:r>
            <w:r w:rsidR="002675B7" w:rsidRPr="00C4209F">
              <w:rPr>
                <w:rFonts w:cs="Calibri"/>
                <w:szCs w:val="22"/>
              </w:rPr>
              <w:t xml:space="preserve">; </w:t>
            </w:r>
            <w:r w:rsidR="00F375B9">
              <w:rPr>
                <w:rFonts w:cs="Calibri"/>
                <w:szCs w:val="22"/>
              </w:rPr>
              <w:t xml:space="preserve">see </w:t>
            </w:r>
            <w:r w:rsidR="002675B7" w:rsidRPr="00C4209F">
              <w:rPr>
                <w:rFonts w:cs="Calibri"/>
                <w:szCs w:val="22"/>
              </w:rPr>
              <w:t>Rules</w:t>
            </w:r>
            <w:r w:rsidR="006C6286">
              <w:rPr>
                <w:rFonts w:cs="Calibri"/>
                <w:szCs w:val="22"/>
              </w:rPr>
              <w:t> </w:t>
            </w:r>
            <w:r w:rsidR="002675B7" w:rsidRPr="00C4209F">
              <w:rPr>
                <w:rFonts w:cs="Calibri"/>
                <w:szCs w:val="22"/>
              </w:rPr>
              <w:t>s</w:t>
            </w:r>
            <w:r w:rsidR="006C6286">
              <w:rPr>
                <w:rFonts w:cs="Calibri"/>
                <w:szCs w:val="22"/>
              </w:rPr>
              <w:t> </w:t>
            </w:r>
            <w:r w:rsidR="002675B7" w:rsidRPr="00C4209F">
              <w:rPr>
                <w:rFonts w:cs="Calibri"/>
                <w:szCs w:val="22"/>
              </w:rPr>
              <w:t>13(1)(a).</w:t>
            </w:r>
          </w:p>
          <w:p w14:paraId="5D8FAEF4" w14:textId="76BF884B" w:rsidR="001F62C9" w:rsidRPr="00A91EAA" w:rsidRDefault="007E64C8" w:rsidP="007E64C8">
            <w:pPr>
              <w:spacing w:before="0" w:line="259" w:lineRule="auto"/>
              <w:rPr>
                <w:rFonts w:cs="Calibri"/>
                <w:color w:val="000000"/>
                <w:szCs w:val="22"/>
              </w:rPr>
            </w:pPr>
            <w:r>
              <w:rPr>
                <w:rFonts w:cstheme="minorHAnsi"/>
                <w:szCs w:val="22"/>
              </w:rPr>
              <w:lastRenderedPageBreak/>
              <w:t xml:space="preserve">Revised guidance materials will </w:t>
            </w:r>
            <w:r w:rsidR="002675B7">
              <w:rPr>
                <w:rFonts w:cs="Calibri"/>
                <w:color w:val="000000"/>
                <w:szCs w:val="22"/>
              </w:rPr>
              <w:t>provide details on reporting content and calculation methodology.</w:t>
            </w:r>
            <w:r w:rsidR="001F62C9">
              <w:rPr>
                <w:rFonts w:cs="Calibri"/>
                <w:color w:val="000000"/>
                <w:szCs w:val="22"/>
              </w:rPr>
              <w:t xml:space="preserve"> </w:t>
            </w:r>
          </w:p>
        </w:tc>
      </w:tr>
      <w:tr w:rsidR="00ED31FF" w14:paraId="5ACFF1B6" w14:textId="77777777" w:rsidTr="00367161">
        <w:trPr>
          <w:jc w:val="center"/>
        </w:trPr>
        <w:tc>
          <w:tcPr>
            <w:tcW w:w="9638" w:type="dxa"/>
            <w:shd w:val="clear" w:color="auto" w:fill="E5E9EF"/>
          </w:tcPr>
          <w:p w14:paraId="4485C47E" w14:textId="6DCF993E" w:rsidR="00ED31FF" w:rsidRPr="00CB4DF4" w:rsidRDefault="00F32312" w:rsidP="0023518A">
            <w:pPr>
              <w:pStyle w:val="Heading3"/>
              <w:spacing w:before="0" w:after="0" w:line="259" w:lineRule="auto"/>
            </w:pPr>
            <w:bookmarkStart w:id="101" w:name="_Toc178596615"/>
            <w:r>
              <w:lastRenderedPageBreak/>
              <w:t>Trade Credit Arrangement Definition</w:t>
            </w:r>
            <w:bookmarkEnd w:id="101"/>
          </w:p>
        </w:tc>
      </w:tr>
      <w:tr w:rsidR="00A44F6A" w14:paraId="462F576B" w14:textId="77777777" w:rsidTr="00367161">
        <w:trPr>
          <w:tblHeader/>
          <w:jc w:val="center"/>
        </w:trPr>
        <w:tc>
          <w:tcPr>
            <w:tcW w:w="9638" w:type="dxa"/>
            <w:shd w:val="clear" w:color="auto" w:fill="2C384A"/>
          </w:tcPr>
          <w:p w14:paraId="0DD52D16" w14:textId="0BFE0AB5" w:rsidR="00A44F6A" w:rsidRPr="00EC28C4" w:rsidRDefault="00A44F6A">
            <w:pPr>
              <w:spacing w:before="0" w:after="0" w:line="259" w:lineRule="auto"/>
              <w:rPr>
                <w:b/>
                <w:color w:val="FFFFFF" w:themeColor="background1"/>
                <w:sz w:val="24"/>
              </w:rPr>
            </w:pPr>
            <w:r>
              <w:rPr>
                <w:b/>
                <w:color w:val="FFFFFF" w:themeColor="background1"/>
                <w:sz w:val="24"/>
              </w:rPr>
              <w:t>Question</w:t>
            </w:r>
          </w:p>
        </w:tc>
      </w:tr>
      <w:tr w:rsidR="00A44F6A" w14:paraId="19CC586D" w14:textId="77777777" w:rsidTr="00367161">
        <w:trPr>
          <w:jc w:val="center"/>
        </w:trPr>
        <w:tc>
          <w:tcPr>
            <w:tcW w:w="9638" w:type="dxa"/>
            <w:vAlign w:val="center"/>
          </w:tcPr>
          <w:p w14:paraId="314AB346" w14:textId="6582CEEE" w:rsidR="00A44F6A" w:rsidRDefault="00A44F6A" w:rsidP="00A44F6A">
            <w:pPr>
              <w:pStyle w:val="OutlineNumbered1"/>
              <w:ind w:hanging="485"/>
              <w:rPr>
                <w:color w:val="000000"/>
              </w:rPr>
            </w:pPr>
            <w:r>
              <w:t>If a payment is made in advance, does this reduce our payment times average? Technically, if we paid all in advance, we could have negative payment times. </w:t>
            </w:r>
          </w:p>
        </w:tc>
      </w:tr>
      <w:tr w:rsidR="00A44F6A" w14:paraId="58ABBBBB" w14:textId="77777777" w:rsidTr="00367161">
        <w:trPr>
          <w:jc w:val="center"/>
        </w:trPr>
        <w:tc>
          <w:tcPr>
            <w:tcW w:w="9638" w:type="dxa"/>
            <w:shd w:val="clear" w:color="auto" w:fill="002C47" w:themeFill="accent1"/>
            <w:vAlign w:val="center"/>
          </w:tcPr>
          <w:p w14:paraId="11AA9891" w14:textId="193844E7" w:rsidR="00A44F6A" w:rsidRDefault="00726188" w:rsidP="005F015F">
            <w:pPr>
              <w:spacing w:before="0" w:after="0" w:line="259" w:lineRule="auto"/>
              <w:rPr>
                <w:rFonts w:cs="Calibri"/>
                <w:color w:val="000000"/>
                <w:szCs w:val="22"/>
              </w:rPr>
            </w:pPr>
            <w:r>
              <w:rPr>
                <w:b/>
                <w:color w:val="FFFFFF" w:themeColor="background1"/>
                <w:sz w:val="24"/>
              </w:rPr>
              <w:t>Response</w:t>
            </w:r>
          </w:p>
        </w:tc>
      </w:tr>
      <w:tr w:rsidR="00A44F6A" w14:paraId="5989A9CD" w14:textId="77777777" w:rsidTr="00367161">
        <w:trPr>
          <w:jc w:val="center"/>
        </w:trPr>
        <w:tc>
          <w:tcPr>
            <w:tcW w:w="9638" w:type="dxa"/>
            <w:vAlign w:val="center"/>
          </w:tcPr>
          <w:p w14:paraId="37BF6F9E" w14:textId="067DD1D9" w:rsidR="00A9749F" w:rsidRDefault="00A9749F" w:rsidP="00A9749F">
            <w:pPr>
              <w:spacing w:before="0" w:line="259" w:lineRule="auto"/>
              <w:rPr>
                <w:rFonts w:cs="Calibri"/>
                <w:szCs w:val="22"/>
              </w:rPr>
            </w:pPr>
            <w:r>
              <w:rPr>
                <w:rFonts w:cs="Calibri"/>
                <w:szCs w:val="22"/>
              </w:rPr>
              <w:t xml:space="preserve">Payment times reporting </w:t>
            </w:r>
            <w:r w:rsidR="00C43C60">
              <w:rPr>
                <w:rFonts w:cs="Calibri"/>
                <w:szCs w:val="22"/>
              </w:rPr>
              <w:t xml:space="preserve">is based on </w:t>
            </w:r>
            <w:r w:rsidRPr="004E0DEC">
              <w:rPr>
                <w:rFonts w:cs="Calibri"/>
                <w:szCs w:val="22"/>
              </w:rPr>
              <w:t>trade credit arrangements</w:t>
            </w:r>
            <w:r>
              <w:rPr>
                <w:rFonts w:cs="Calibri"/>
                <w:szCs w:val="22"/>
              </w:rPr>
              <w:t xml:space="preserve"> where payment can be made, or is made, at least 1 calendar day after supply of goods or services</w:t>
            </w:r>
            <w:r w:rsidR="005F3D65">
              <w:rPr>
                <w:rFonts w:cs="Calibri"/>
                <w:szCs w:val="22"/>
              </w:rPr>
              <w:t xml:space="preserve">; </w:t>
            </w:r>
            <w:r w:rsidR="006C6286">
              <w:rPr>
                <w:rFonts w:cs="Calibri"/>
                <w:szCs w:val="22"/>
              </w:rPr>
              <w:t xml:space="preserve">see </w:t>
            </w:r>
            <w:r w:rsidR="00E57B9E">
              <w:rPr>
                <w:rFonts w:cs="Calibri"/>
                <w:szCs w:val="22"/>
              </w:rPr>
              <w:t xml:space="preserve">Rules s </w:t>
            </w:r>
            <w:r w:rsidR="002C05A5">
              <w:rPr>
                <w:rFonts w:cs="Calibri"/>
                <w:szCs w:val="22"/>
              </w:rPr>
              <w:t>9.</w:t>
            </w:r>
          </w:p>
          <w:p w14:paraId="40215369" w14:textId="3186D951" w:rsidR="00A44F6A" w:rsidRPr="002526AA" w:rsidRDefault="00A9749F" w:rsidP="005F015F">
            <w:pPr>
              <w:spacing w:before="0" w:after="0" w:line="259" w:lineRule="auto"/>
              <w:rPr>
                <w:rFonts w:cstheme="minorHAnsi"/>
                <w:szCs w:val="22"/>
              </w:rPr>
            </w:pPr>
            <w:r>
              <w:rPr>
                <w:rFonts w:cs="Calibri"/>
                <w:color w:val="000000"/>
                <w:szCs w:val="22"/>
              </w:rPr>
              <w:t xml:space="preserve">If </w:t>
            </w:r>
            <w:r w:rsidR="00A44F6A">
              <w:rPr>
                <w:rFonts w:cs="Calibri"/>
                <w:color w:val="000000"/>
                <w:szCs w:val="22"/>
              </w:rPr>
              <w:t xml:space="preserve">payment </w:t>
            </w:r>
            <w:r>
              <w:rPr>
                <w:rFonts w:cs="Calibri"/>
                <w:color w:val="000000"/>
                <w:szCs w:val="22"/>
              </w:rPr>
              <w:t xml:space="preserve">for a </w:t>
            </w:r>
            <w:r w:rsidR="00A44F6A">
              <w:rPr>
                <w:rFonts w:cs="Calibri"/>
                <w:color w:val="000000"/>
                <w:szCs w:val="22"/>
              </w:rPr>
              <w:t>trade credit arrangement is made before an invoice was issued</w:t>
            </w:r>
            <w:r w:rsidR="00FE2B32">
              <w:rPr>
                <w:rFonts w:cs="Calibri"/>
                <w:color w:val="000000"/>
                <w:szCs w:val="22"/>
              </w:rPr>
              <w:t xml:space="preserve"> (or received) the payment time </w:t>
            </w:r>
            <w:r w:rsidR="00A44F6A">
              <w:rPr>
                <w:rFonts w:cs="Calibri"/>
                <w:color w:val="000000"/>
                <w:szCs w:val="22"/>
              </w:rPr>
              <w:t>is 0 calendar days</w:t>
            </w:r>
            <w:r w:rsidR="00993E22">
              <w:rPr>
                <w:rFonts w:cs="Calibri"/>
                <w:color w:val="000000"/>
                <w:szCs w:val="22"/>
              </w:rPr>
              <w:t>;</w:t>
            </w:r>
            <w:r w:rsidR="002C05A5">
              <w:rPr>
                <w:rFonts w:cs="Calibri"/>
                <w:color w:val="000000"/>
                <w:szCs w:val="22"/>
              </w:rPr>
              <w:t xml:space="preserve"> </w:t>
            </w:r>
            <w:r w:rsidR="006C6286">
              <w:rPr>
                <w:rFonts w:cs="Calibri"/>
                <w:color w:val="000000"/>
                <w:szCs w:val="22"/>
              </w:rPr>
              <w:t xml:space="preserve">see </w:t>
            </w:r>
            <w:r w:rsidR="002C05A5" w:rsidRPr="002C05A5">
              <w:rPr>
                <w:rFonts w:cs="Calibri"/>
                <w:color w:val="000000"/>
                <w:szCs w:val="22"/>
              </w:rPr>
              <w:t xml:space="preserve">Rules s </w:t>
            </w:r>
            <w:r w:rsidR="00DE0FE8" w:rsidRPr="002C05A5">
              <w:rPr>
                <w:rFonts w:cs="Calibri"/>
                <w:color w:val="000000"/>
                <w:szCs w:val="22"/>
              </w:rPr>
              <w:t>8(2).</w:t>
            </w:r>
          </w:p>
        </w:tc>
      </w:tr>
      <w:tr w:rsidR="00A44F6A" w14:paraId="1885C2FD" w14:textId="77777777" w:rsidTr="00367161">
        <w:trPr>
          <w:jc w:val="center"/>
        </w:trPr>
        <w:tc>
          <w:tcPr>
            <w:tcW w:w="9638" w:type="dxa"/>
            <w:shd w:val="clear" w:color="auto" w:fill="002C47" w:themeFill="accent1"/>
            <w:vAlign w:val="center"/>
          </w:tcPr>
          <w:p w14:paraId="55BB9667" w14:textId="5C5A06E4" w:rsidR="00A44F6A" w:rsidRDefault="00A44F6A" w:rsidP="005F015F">
            <w:pPr>
              <w:spacing w:before="0" w:after="0" w:line="259" w:lineRule="auto"/>
              <w:rPr>
                <w:rFonts w:cs="Calibri"/>
                <w:color w:val="000000"/>
                <w:szCs w:val="22"/>
              </w:rPr>
            </w:pPr>
            <w:r w:rsidRPr="00D565A5">
              <w:rPr>
                <w:b/>
                <w:color w:val="FFFFFF" w:themeColor="background1"/>
                <w:sz w:val="24"/>
              </w:rPr>
              <w:t>Question</w:t>
            </w:r>
          </w:p>
        </w:tc>
      </w:tr>
      <w:tr w:rsidR="00A44F6A" w14:paraId="6BDDD454" w14:textId="77777777" w:rsidTr="00367161">
        <w:trPr>
          <w:jc w:val="center"/>
        </w:trPr>
        <w:tc>
          <w:tcPr>
            <w:tcW w:w="9638" w:type="dxa"/>
            <w:vAlign w:val="center"/>
          </w:tcPr>
          <w:p w14:paraId="418A25ED" w14:textId="6FB3E89D" w:rsidR="00A44F6A" w:rsidRDefault="00584D5A" w:rsidP="008E3C3F">
            <w:pPr>
              <w:pStyle w:val="OutlineNumbered1"/>
              <w:ind w:hanging="485"/>
              <w:rPr>
                <w:rFonts w:cs="Calibri"/>
                <w:color w:val="000000"/>
                <w:szCs w:val="22"/>
              </w:rPr>
            </w:pPr>
            <w:r>
              <w:rPr>
                <w:rFonts w:cs="Calibri"/>
                <w:szCs w:val="22"/>
              </w:rPr>
              <w:t>For the supplier agreement where the reporting entity is required to pay in advance prior to receiving the good and service (and this is not lease or travel expenses), will these such prepayments be automatically excluded from the reporting data? </w:t>
            </w:r>
          </w:p>
        </w:tc>
      </w:tr>
      <w:tr w:rsidR="00A44F6A" w14:paraId="787A14A0" w14:textId="77777777" w:rsidTr="00367161">
        <w:trPr>
          <w:jc w:val="center"/>
        </w:trPr>
        <w:tc>
          <w:tcPr>
            <w:tcW w:w="9638" w:type="dxa"/>
            <w:shd w:val="clear" w:color="auto" w:fill="002C47" w:themeFill="accent1"/>
            <w:vAlign w:val="center"/>
          </w:tcPr>
          <w:p w14:paraId="61A0FF96" w14:textId="1751873C" w:rsidR="00A44F6A" w:rsidRDefault="00726188" w:rsidP="005F015F">
            <w:pPr>
              <w:spacing w:before="0" w:after="0" w:line="259" w:lineRule="auto"/>
              <w:rPr>
                <w:rFonts w:cs="Calibri"/>
                <w:color w:val="000000"/>
                <w:szCs w:val="22"/>
              </w:rPr>
            </w:pPr>
            <w:r>
              <w:rPr>
                <w:b/>
                <w:color w:val="FFFFFF" w:themeColor="background1"/>
                <w:sz w:val="24"/>
              </w:rPr>
              <w:t>Response</w:t>
            </w:r>
          </w:p>
        </w:tc>
      </w:tr>
      <w:tr w:rsidR="00584D5A" w14:paraId="2FBE8BC6" w14:textId="77777777" w:rsidTr="00367161">
        <w:trPr>
          <w:jc w:val="center"/>
        </w:trPr>
        <w:tc>
          <w:tcPr>
            <w:tcW w:w="9638" w:type="dxa"/>
            <w:vAlign w:val="center"/>
          </w:tcPr>
          <w:p w14:paraId="7A1F6E1F" w14:textId="5277920B" w:rsidR="006E76D8" w:rsidRDefault="006E76D8" w:rsidP="006E76D8">
            <w:pPr>
              <w:spacing w:before="0" w:line="259" w:lineRule="auto"/>
              <w:rPr>
                <w:rFonts w:cs="Calibri"/>
                <w:szCs w:val="22"/>
              </w:rPr>
            </w:pPr>
            <w:r>
              <w:rPr>
                <w:rFonts w:cs="Calibri"/>
                <w:szCs w:val="22"/>
              </w:rPr>
              <w:t xml:space="preserve">Payment times reporting </w:t>
            </w:r>
            <w:r w:rsidR="00C43C60">
              <w:rPr>
                <w:rFonts w:cs="Calibri"/>
                <w:szCs w:val="22"/>
              </w:rPr>
              <w:t xml:space="preserve">is based on </w:t>
            </w:r>
            <w:r w:rsidRPr="004E0DEC">
              <w:rPr>
                <w:rFonts w:cs="Calibri"/>
                <w:szCs w:val="22"/>
              </w:rPr>
              <w:t>trade credit arrangements</w:t>
            </w:r>
            <w:r>
              <w:rPr>
                <w:rFonts w:cs="Calibri"/>
                <w:szCs w:val="22"/>
              </w:rPr>
              <w:t xml:space="preserve"> where payment can be made, or is made, at least 1 calendar day after supply of goods or services</w:t>
            </w:r>
            <w:r w:rsidR="005F3D65">
              <w:rPr>
                <w:rFonts w:cs="Calibri"/>
                <w:szCs w:val="22"/>
              </w:rPr>
              <w:t>;</w:t>
            </w:r>
            <w:r w:rsidR="006C6286">
              <w:rPr>
                <w:rFonts w:cs="Calibri"/>
                <w:szCs w:val="22"/>
              </w:rPr>
              <w:t xml:space="preserve"> see</w:t>
            </w:r>
            <w:r w:rsidR="002C05A5">
              <w:rPr>
                <w:rFonts w:cs="Calibri"/>
                <w:szCs w:val="22"/>
              </w:rPr>
              <w:t xml:space="preserve"> Rules s 9.</w:t>
            </w:r>
          </w:p>
          <w:p w14:paraId="1A6BAC52" w14:textId="3047242C" w:rsidR="00584D5A" w:rsidRPr="00E65067" w:rsidRDefault="00E65067" w:rsidP="005F015F">
            <w:pPr>
              <w:spacing w:before="0" w:after="0" w:line="259" w:lineRule="auto"/>
              <w:rPr>
                <w:rFonts w:cs="Calibri"/>
              </w:rPr>
            </w:pPr>
            <w:r w:rsidRPr="4BD9106A">
              <w:rPr>
                <w:rFonts w:cs="Calibri"/>
              </w:rPr>
              <w:t>Where payment must be made prior to supply</w:t>
            </w:r>
            <w:r w:rsidR="123DDF45" w:rsidRPr="4BD9106A">
              <w:rPr>
                <w:rFonts w:cs="Calibri"/>
              </w:rPr>
              <w:t>,</w:t>
            </w:r>
            <w:r w:rsidRPr="4BD9106A">
              <w:rPr>
                <w:rFonts w:cs="Calibri"/>
              </w:rPr>
              <w:t xml:space="preserve"> the payment is not </w:t>
            </w:r>
            <w:r w:rsidR="00FF155C" w:rsidRPr="4BD9106A">
              <w:rPr>
                <w:rFonts w:cs="Calibri"/>
              </w:rPr>
              <w:t xml:space="preserve">made </w:t>
            </w:r>
            <w:r w:rsidRPr="4BD9106A">
              <w:rPr>
                <w:rFonts w:cs="Calibri"/>
              </w:rPr>
              <w:t>under a trade credit arrangement and is not reportable.</w:t>
            </w:r>
          </w:p>
        </w:tc>
      </w:tr>
      <w:tr w:rsidR="00584D5A" w14:paraId="463EB252" w14:textId="77777777" w:rsidTr="00367161">
        <w:trPr>
          <w:jc w:val="center"/>
        </w:trPr>
        <w:tc>
          <w:tcPr>
            <w:tcW w:w="9638" w:type="dxa"/>
            <w:shd w:val="clear" w:color="auto" w:fill="002C47" w:themeFill="accent1"/>
            <w:vAlign w:val="center"/>
          </w:tcPr>
          <w:p w14:paraId="0934B635" w14:textId="5519516A" w:rsidR="00584D5A" w:rsidRDefault="00584D5A" w:rsidP="005F015F">
            <w:pPr>
              <w:spacing w:before="0" w:after="0" w:line="259" w:lineRule="auto"/>
              <w:rPr>
                <w:rFonts w:cs="Calibri"/>
                <w:color w:val="000000"/>
                <w:szCs w:val="22"/>
              </w:rPr>
            </w:pPr>
            <w:r w:rsidRPr="00D565A5">
              <w:rPr>
                <w:b/>
                <w:color w:val="FFFFFF" w:themeColor="background1"/>
                <w:sz w:val="24"/>
              </w:rPr>
              <w:t>Question</w:t>
            </w:r>
          </w:p>
        </w:tc>
      </w:tr>
      <w:tr w:rsidR="00584D5A" w14:paraId="2F6184FF" w14:textId="77777777" w:rsidTr="00367161">
        <w:trPr>
          <w:jc w:val="center"/>
        </w:trPr>
        <w:tc>
          <w:tcPr>
            <w:tcW w:w="9638" w:type="dxa"/>
            <w:vAlign w:val="center"/>
          </w:tcPr>
          <w:p w14:paraId="6D27EAA4" w14:textId="61BF6E08" w:rsidR="00584D5A" w:rsidRDefault="00584D5A" w:rsidP="008E3C3F">
            <w:pPr>
              <w:pStyle w:val="OutlineNumbered1"/>
              <w:ind w:hanging="485"/>
              <w:rPr>
                <w:rFonts w:cs="Calibri"/>
                <w:color w:val="000000"/>
                <w:szCs w:val="22"/>
              </w:rPr>
            </w:pPr>
            <w:r>
              <w:rPr>
                <w:rFonts w:cs="Calibri"/>
                <w:szCs w:val="22"/>
              </w:rPr>
              <w:t>Could you clarify whether payments made by another party (such as property agents) on behalf of the reporting entity is in scope? </w:t>
            </w:r>
          </w:p>
        </w:tc>
      </w:tr>
      <w:tr w:rsidR="00584D5A" w14:paraId="60C9F574" w14:textId="77777777" w:rsidTr="00367161">
        <w:trPr>
          <w:jc w:val="center"/>
        </w:trPr>
        <w:tc>
          <w:tcPr>
            <w:tcW w:w="9638" w:type="dxa"/>
            <w:shd w:val="clear" w:color="auto" w:fill="002C47" w:themeFill="accent1"/>
            <w:vAlign w:val="center"/>
          </w:tcPr>
          <w:p w14:paraId="2D102E38" w14:textId="62B03DD1" w:rsidR="00584D5A" w:rsidRDefault="00726188" w:rsidP="005F015F">
            <w:pPr>
              <w:spacing w:before="0" w:after="0" w:line="259" w:lineRule="auto"/>
              <w:rPr>
                <w:rFonts w:cs="Calibri"/>
                <w:szCs w:val="22"/>
              </w:rPr>
            </w:pPr>
            <w:r>
              <w:rPr>
                <w:b/>
                <w:color w:val="FFFFFF" w:themeColor="background1"/>
                <w:sz w:val="24"/>
              </w:rPr>
              <w:t>Response</w:t>
            </w:r>
          </w:p>
        </w:tc>
      </w:tr>
      <w:tr w:rsidR="00584D5A" w14:paraId="7CA2B6D8" w14:textId="77777777" w:rsidTr="00367161">
        <w:trPr>
          <w:jc w:val="center"/>
        </w:trPr>
        <w:tc>
          <w:tcPr>
            <w:tcW w:w="9638" w:type="dxa"/>
            <w:vAlign w:val="center"/>
          </w:tcPr>
          <w:p w14:paraId="4D4F775B" w14:textId="621DFECF" w:rsidR="00584D5A" w:rsidRPr="00C7258F" w:rsidRDefault="00584D5A" w:rsidP="005F015F">
            <w:pPr>
              <w:spacing w:before="0" w:after="0" w:line="259" w:lineRule="auto"/>
              <w:rPr>
                <w:rFonts w:cs="Calibri"/>
                <w:szCs w:val="22"/>
              </w:rPr>
            </w:pPr>
            <w:r>
              <w:rPr>
                <w:rFonts w:cs="Calibri"/>
                <w:szCs w:val="22"/>
              </w:rPr>
              <w:t xml:space="preserve">Reporting entities must report </w:t>
            </w:r>
            <w:r w:rsidR="00C7258F">
              <w:rPr>
                <w:rFonts w:cs="Calibri"/>
                <w:szCs w:val="22"/>
              </w:rPr>
              <w:t xml:space="preserve">payments </w:t>
            </w:r>
            <w:r w:rsidR="00324A58">
              <w:rPr>
                <w:rFonts w:cs="Calibri"/>
                <w:szCs w:val="22"/>
              </w:rPr>
              <w:t xml:space="preserve">they </w:t>
            </w:r>
            <w:proofErr w:type="gramStart"/>
            <w:r w:rsidR="00324A58">
              <w:rPr>
                <w:rFonts w:cs="Calibri"/>
                <w:szCs w:val="22"/>
              </w:rPr>
              <w:t>ma</w:t>
            </w:r>
            <w:r w:rsidR="00760569">
              <w:rPr>
                <w:rFonts w:cs="Calibri"/>
                <w:szCs w:val="22"/>
              </w:rPr>
              <w:t>d</w:t>
            </w:r>
            <w:r w:rsidR="00324A58">
              <w:rPr>
                <w:rFonts w:cs="Calibri"/>
                <w:szCs w:val="22"/>
              </w:rPr>
              <w:t>e</w:t>
            </w:r>
            <w:proofErr w:type="gramEnd"/>
            <w:r w:rsidR="00324A58">
              <w:rPr>
                <w:rFonts w:cs="Calibri"/>
                <w:szCs w:val="22"/>
              </w:rPr>
              <w:t xml:space="preserve"> and payments made by </w:t>
            </w:r>
            <w:r w:rsidR="009B4A92">
              <w:rPr>
                <w:rFonts w:cs="Calibri"/>
                <w:szCs w:val="22"/>
              </w:rPr>
              <w:t xml:space="preserve">controlled </w:t>
            </w:r>
            <w:r w:rsidR="00C7258F">
              <w:rPr>
                <w:rFonts w:cs="Calibri"/>
                <w:szCs w:val="22"/>
              </w:rPr>
              <w:t xml:space="preserve">entities. </w:t>
            </w:r>
            <w:r w:rsidR="005F3D65">
              <w:rPr>
                <w:rFonts w:cs="Calibri"/>
                <w:szCs w:val="22"/>
              </w:rPr>
              <w:t xml:space="preserve">Payments are not excluded because they are made on </w:t>
            </w:r>
            <w:r w:rsidR="00C7258F">
              <w:rPr>
                <w:rFonts w:cs="Calibri"/>
                <w:szCs w:val="22"/>
              </w:rPr>
              <w:t>behalf of another entity or person.</w:t>
            </w:r>
          </w:p>
        </w:tc>
      </w:tr>
      <w:tr w:rsidR="00F32312" w14:paraId="60CABB6D" w14:textId="77777777" w:rsidTr="00367161">
        <w:trPr>
          <w:jc w:val="center"/>
        </w:trPr>
        <w:tc>
          <w:tcPr>
            <w:tcW w:w="9638" w:type="dxa"/>
            <w:shd w:val="clear" w:color="auto" w:fill="E5E9EF"/>
          </w:tcPr>
          <w:p w14:paraId="5036C906" w14:textId="79FCF279" w:rsidR="00F32312" w:rsidRPr="00CB4DF4" w:rsidRDefault="00F32312" w:rsidP="0023518A">
            <w:pPr>
              <w:pStyle w:val="Heading3"/>
              <w:spacing w:before="0" w:after="0" w:line="259" w:lineRule="auto"/>
            </w:pPr>
            <w:bookmarkStart w:id="102" w:name="_Toc178596616"/>
            <w:r>
              <w:t>Transitional Arrangement</w:t>
            </w:r>
            <w:bookmarkEnd w:id="102"/>
          </w:p>
        </w:tc>
      </w:tr>
      <w:tr w:rsidR="007A31E0" w14:paraId="1D05E2BF" w14:textId="77777777" w:rsidTr="00367161">
        <w:trPr>
          <w:tblHeader/>
          <w:jc w:val="center"/>
        </w:trPr>
        <w:tc>
          <w:tcPr>
            <w:tcW w:w="9638" w:type="dxa"/>
            <w:shd w:val="clear" w:color="auto" w:fill="2C384A"/>
          </w:tcPr>
          <w:p w14:paraId="7D03FCCB" w14:textId="2FE30E89" w:rsidR="007A31E0" w:rsidRPr="00EC28C4" w:rsidRDefault="007A31E0">
            <w:pPr>
              <w:spacing w:before="0" w:after="0" w:line="259" w:lineRule="auto"/>
              <w:rPr>
                <w:b/>
                <w:color w:val="FFFFFF" w:themeColor="background1"/>
                <w:sz w:val="24"/>
              </w:rPr>
            </w:pPr>
            <w:r>
              <w:rPr>
                <w:b/>
                <w:color w:val="FFFFFF" w:themeColor="background1"/>
                <w:sz w:val="24"/>
              </w:rPr>
              <w:t>Question</w:t>
            </w:r>
          </w:p>
        </w:tc>
      </w:tr>
      <w:tr w:rsidR="008E3C3F" w14:paraId="7C593B43" w14:textId="77777777" w:rsidTr="00367161">
        <w:trPr>
          <w:jc w:val="center"/>
        </w:trPr>
        <w:tc>
          <w:tcPr>
            <w:tcW w:w="9638" w:type="dxa"/>
            <w:vAlign w:val="center"/>
          </w:tcPr>
          <w:p w14:paraId="721DCD48" w14:textId="79531AF4" w:rsidR="008E3C3F" w:rsidRDefault="008E3C3F" w:rsidP="00D40BEB">
            <w:pPr>
              <w:pStyle w:val="OutlineNumbered1"/>
              <w:ind w:hanging="485"/>
              <w:rPr>
                <w:rFonts w:cs="Calibri"/>
                <w:szCs w:val="22"/>
              </w:rPr>
            </w:pPr>
            <w:r>
              <w:rPr>
                <w:rFonts w:cs="Calibri"/>
                <w:szCs w:val="22"/>
              </w:rPr>
              <w:t>With consolidated reporting now (&amp; subsidiaries no longer required to report separately) does that automatically remove the subsidiary from being a reporting entity effective 01 July 2024? </w:t>
            </w:r>
          </w:p>
        </w:tc>
      </w:tr>
      <w:tr w:rsidR="008E3C3F" w14:paraId="1FB9865E" w14:textId="77777777" w:rsidTr="00367161">
        <w:trPr>
          <w:jc w:val="center"/>
        </w:trPr>
        <w:tc>
          <w:tcPr>
            <w:tcW w:w="9638" w:type="dxa"/>
            <w:shd w:val="clear" w:color="auto" w:fill="002C47" w:themeFill="accent1"/>
            <w:vAlign w:val="center"/>
          </w:tcPr>
          <w:p w14:paraId="0D5F652F" w14:textId="266804B6" w:rsidR="008E3C3F" w:rsidRDefault="00726188" w:rsidP="004555E0">
            <w:pPr>
              <w:spacing w:before="0" w:after="0" w:line="259" w:lineRule="auto"/>
              <w:rPr>
                <w:rFonts w:cs="Calibri"/>
                <w:szCs w:val="22"/>
              </w:rPr>
            </w:pPr>
            <w:r>
              <w:rPr>
                <w:b/>
                <w:color w:val="FFFFFF" w:themeColor="background1"/>
                <w:sz w:val="24"/>
              </w:rPr>
              <w:lastRenderedPageBreak/>
              <w:t>Response</w:t>
            </w:r>
          </w:p>
        </w:tc>
      </w:tr>
      <w:tr w:rsidR="008E3C3F" w14:paraId="402C4344" w14:textId="77777777" w:rsidTr="00367161">
        <w:trPr>
          <w:jc w:val="center"/>
        </w:trPr>
        <w:tc>
          <w:tcPr>
            <w:tcW w:w="9638" w:type="dxa"/>
            <w:vAlign w:val="center"/>
          </w:tcPr>
          <w:p w14:paraId="6775C374" w14:textId="6DE07BD3" w:rsidR="00607E12" w:rsidRDefault="00BC0F73" w:rsidP="00D148EE">
            <w:pPr>
              <w:spacing w:before="0" w:line="259" w:lineRule="auto"/>
              <w:rPr>
                <w:rFonts w:cs="Calibri"/>
                <w:szCs w:val="22"/>
              </w:rPr>
            </w:pPr>
            <w:r>
              <w:rPr>
                <w:rFonts w:cs="Calibri"/>
                <w:szCs w:val="22"/>
              </w:rPr>
              <w:t xml:space="preserve">Entities that did </w:t>
            </w:r>
            <w:r w:rsidR="008E3C3F">
              <w:rPr>
                <w:rFonts w:cs="Calibri"/>
                <w:szCs w:val="22"/>
              </w:rPr>
              <w:t xml:space="preserve">not meet the new criteria for being a reporting entity </w:t>
            </w:r>
            <w:r w:rsidR="00CF3E4C">
              <w:rPr>
                <w:rFonts w:cs="Calibri"/>
                <w:szCs w:val="22"/>
              </w:rPr>
              <w:t xml:space="preserve">under the amended </w:t>
            </w:r>
            <w:r w:rsidR="008E3C3F">
              <w:rPr>
                <w:rFonts w:cs="Calibri"/>
                <w:szCs w:val="22"/>
              </w:rPr>
              <w:t xml:space="preserve">Act </w:t>
            </w:r>
            <w:r w:rsidR="00CF3E4C">
              <w:rPr>
                <w:rFonts w:cs="Calibri"/>
                <w:szCs w:val="22"/>
              </w:rPr>
              <w:t xml:space="preserve">automatically ceased to be a reporting </w:t>
            </w:r>
            <w:r w:rsidR="008E3C3F">
              <w:rPr>
                <w:rFonts w:cs="Calibri"/>
                <w:szCs w:val="22"/>
              </w:rPr>
              <w:t>entity on 1 July 2024.</w:t>
            </w:r>
            <w:r w:rsidR="00CF3E4C">
              <w:rPr>
                <w:rFonts w:cs="Calibri"/>
                <w:szCs w:val="22"/>
              </w:rPr>
              <w:t xml:space="preserve"> </w:t>
            </w:r>
            <w:r w:rsidR="00607E12">
              <w:rPr>
                <w:rFonts w:cs="Calibri"/>
                <w:szCs w:val="22"/>
              </w:rPr>
              <w:t>This will include ‘member entities’ that are now consolidated under a controlling reporting entity.</w:t>
            </w:r>
          </w:p>
          <w:p w14:paraId="4F16FE72" w14:textId="377765B0" w:rsidR="008E3C3F" w:rsidRPr="00097D4D" w:rsidRDefault="00097D4D" w:rsidP="00D148EE">
            <w:pPr>
              <w:spacing w:before="0" w:line="259" w:lineRule="auto"/>
              <w:rPr>
                <w:rFonts w:cs="Calibri"/>
                <w:szCs w:val="22"/>
              </w:rPr>
            </w:pPr>
            <w:r>
              <w:rPr>
                <w:rFonts w:cs="Calibri"/>
                <w:szCs w:val="22"/>
              </w:rPr>
              <w:t xml:space="preserve">For more information on transitional arrangements and the exit of entities that no longer meet the reporting entity definition see </w:t>
            </w:r>
            <w:hyperlink r:id="rId34" w:history="1">
              <w:r w:rsidRPr="000358CB">
                <w:rPr>
                  <w:rStyle w:val="Hyperlink"/>
                  <w:rFonts w:cs="Calibri"/>
                  <w:szCs w:val="22"/>
                </w:rPr>
                <w:t>Information Sheet 9</w:t>
              </w:r>
              <w:r w:rsidR="003156F0" w:rsidRPr="000358CB">
                <w:rPr>
                  <w:rStyle w:val="Hyperlink"/>
                  <w:rFonts w:cs="Calibri"/>
                  <w:szCs w:val="22"/>
                </w:rPr>
                <w:t>: Transition to the new Scheme</w:t>
              </w:r>
            </w:hyperlink>
            <w:r w:rsidR="003156F0" w:rsidRPr="000358CB">
              <w:rPr>
                <w:rFonts w:cs="Calibri"/>
                <w:szCs w:val="22"/>
              </w:rPr>
              <w:t>.</w:t>
            </w:r>
          </w:p>
        </w:tc>
      </w:tr>
      <w:tr w:rsidR="008E3C3F" w14:paraId="7BE33032" w14:textId="77777777" w:rsidTr="00367161">
        <w:trPr>
          <w:jc w:val="center"/>
        </w:trPr>
        <w:tc>
          <w:tcPr>
            <w:tcW w:w="9638" w:type="dxa"/>
            <w:shd w:val="clear" w:color="auto" w:fill="002C47" w:themeFill="accent1"/>
            <w:vAlign w:val="center"/>
          </w:tcPr>
          <w:p w14:paraId="5A07E4D9" w14:textId="1546AEC6" w:rsidR="008E3C3F" w:rsidRDefault="008E3C3F" w:rsidP="004555E0">
            <w:pPr>
              <w:spacing w:before="0" w:after="0" w:line="259" w:lineRule="auto"/>
              <w:rPr>
                <w:rFonts w:cs="Calibri"/>
                <w:szCs w:val="22"/>
              </w:rPr>
            </w:pPr>
            <w:r w:rsidRPr="00D40BEB">
              <w:rPr>
                <w:b/>
                <w:color w:val="FFFFFF" w:themeColor="background1"/>
                <w:sz w:val="24"/>
              </w:rPr>
              <w:t>Question</w:t>
            </w:r>
          </w:p>
        </w:tc>
      </w:tr>
      <w:tr w:rsidR="008E3C3F" w14:paraId="6A7ECD50" w14:textId="77777777" w:rsidTr="00367161">
        <w:trPr>
          <w:jc w:val="center"/>
        </w:trPr>
        <w:tc>
          <w:tcPr>
            <w:tcW w:w="9638" w:type="dxa"/>
            <w:vAlign w:val="center"/>
          </w:tcPr>
          <w:p w14:paraId="32EDDE88" w14:textId="15EEC071" w:rsidR="008E3C3F" w:rsidRDefault="008E3C3F" w:rsidP="00D40BEB">
            <w:pPr>
              <w:pStyle w:val="OutlineNumbered1"/>
              <w:ind w:hanging="485"/>
              <w:rPr>
                <w:rFonts w:cs="Calibri"/>
                <w:szCs w:val="22"/>
              </w:rPr>
            </w:pPr>
            <w:r>
              <w:rPr>
                <w:rFonts w:cs="Calibri"/>
                <w:szCs w:val="22"/>
              </w:rPr>
              <w:t>How do we report under old scheme (April - Sep 24) if entities have been removed from the portal?</w:t>
            </w:r>
          </w:p>
        </w:tc>
      </w:tr>
      <w:tr w:rsidR="008E3C3F" w14:paraId="28242224" w14:textId="77777777" w:rsidTr="00367161">
        <w:trPr>
          <w:jc w:val="center"/>
        </w:trPr>
        <w:tc>
          <w:tcPr>
            <w:tcW w:w="9638" w:type="dxa"/>
            <w:shd w:val="clear" w:color="auto" w:fill="002C47" w:themeFill="accent1"/>
            <w:vAlign w:val="center"/>
          </w:tcPr>
          <w:p w14:paraId="4AE0AB9A" w14:textId="59772CC6" w:rsidR="008E3C3F" w:rsidRDefault="00726188" w:rsidP="004555E0">
            <w:pPr>
              <w:spacing w:before="0" w:after="0" w:line="259" w:lineRule="auto"/>
              <w:rPr>
                <w:rFonts w:cs="Calibri"/>
                <w:szCs w:val="22"/>
              </w:rPr>
            </w:pPr>
            <w:r>
              <w:rPr>
                <w:b/>
                <w:color w:val="FFFFFF" w:themeColor="background1"/>
                <w:sz w:val="24"/>
              </w:rPr>
              <w:t>Response</w:t>
            </w:r>
          </w:p>
        </w:tc>
      </w:tr>
      <w:tr w:rsidR="008E3C3F" w14:paraId="4BB98A4E" w14:textId="77777777" w:rsidTr="00367161">
        <w:trPr>
          <w:jc w:val="center"/>
        </w:trPr>
        <w:tc>
          <w:tcPr>
            <w:tcW w:w="9638" w:type="dxa"/>
            <w:vAlign w:val="center"/>
          </w:tcPr>
          <w:p w14:paraId="10E85429" w14:textId="0037D8F4" w:rsidR="00010EAD" w:rsidRDefault="008E3C3F" w:rsidP="00F14BD2">
            <w:pPr>
              <w:spacing w:before="0" w:line="259" w:lineRule="auto"/>
              <w:rPr>
                <w:rFonts w:cs="Calibri"/>
                <w:color w:val="000000"/>
                <w:szCs w:val="22"/>
              </w:rPr>
            </w:pPr>
            <w:r>
              <w:rPr>
                <w:rFonts w:cs="Calibri"/>
                <w:color w:val="000000"/>
                <w:szCs w:val="22"/>
              </w:rPr>
              <w:t>Reporting under the old Act continue</w:t>
            </w:r>
            <w:r w:rsidR="00F40CB8">
              <w:rPr>
                <w:rFonts w:cs="Calibri"/>
                <w:color w:val="000000"/>
                <w:szCs w:val="22"/>
              </w:rPr>
              <w:t>s</w:t>
            </w:r>
            <w:r>
              <w:rPr>
                <w:rFonts w:cs="Calibri"/>
                <w:color w:val="000000"/>
                <w:szCs w:val="22"/>
              </w:rPr>
              <w:t xml:space="preserve"> to apply for reporting periods that begin before 1 July 2024. </w:t>
            </w:r>
          </w:p>
          <w:p w14:paraId="36789A05" w14:textId="7A4F8471" w:rsidR="008E3C3F" w:rsidRPr="002526AA" w:rsidRDefault="00010EAD" w:rsidP="00F14BD2">
            <w:pPr>
              <w:spacing w:before="0" w:line="259" w:lineRule="auto"/>
              <w:rPr>
                <w:rFonts w:cstheme="minorHAnsi"/>
                <w:szCs w:val="22"/>
              </w:rPr>
            </w:pPr>
            <w:r>
              <w:rPr>
                <w:rFonts w:cs="Calibri"/>
                <w:color w:val="000000"/>
                <w:szCs w:val="22"/>
              </w:rPr>
              <w:t xml:space="preserve">Existing reporting entities </w:t>
            </w:r>
            <w:r w:rsidR="006A32A3">
              <w:rPr>
                <w:rFonts w:cs="Calibri"/>
                <w:color w:val="000000"/>
                <w:szCs w:val="22"/>
              </w:rPr>
              <w:t>can continue to report via the</w:t>
            </w:r>
            <w:r w:rsidR="000358CB">
              <w:rPr>
                <w:rFonts w:cs="Calibri"/>
                <w:color w:val="000000"/>
                <w:szCs w:val="22"/>
              </w:rPr>
              <w:t xml:space="preserve"> </w:t>
            </w:r>
            <w:hyperlink r:id="rId35" w:history="1">
              <w:r w:rsidR="000358CB" w:rsidRPr="0054083E">
                <w:rPr>
                  <w:rStyle w:val="Hyperlink"/>
                  <w:rFonts w:cs="Calibri"/>
                  <w:szCs w:val="22"/>
                </w:rPr>
                <w:t>Portal</w:t>
              </w:r>
            </w:hyperlink>
            <w:r w:rsidR="002516FB">
              <w:rPr>
                <w:rFonts w:cs="Calibri"/>
                <w:color w:val="000000"/>
                <w:szCs w:val="22"/>
              </w:rPr>
              <w:t>.</w:t>
            </w:r>
            <w:r w:rsidR="008E3C3F">
              <w:rPr>
                <w:rFonts w:cs="Calibri"/>
                <w:color w:val="000000"/>
                <w:szCs w:val="22"/>
              </w:rPr>
              <w:t xml:space="preserve">  </w:t>
            </w:r>
          </w:p>
        </w:tc>
      </w:tr>
      <w:tr w:rsidR="008E3C3F" w14:paraId="2DF27393" w14:textId="77777777" w:rsidTr="00367161">
        <w:trPr>
          <w:jc w:val="center"/>
        </w:trPr>
        <w:tc>
          <w:tcPr>
            <w:tcW w:w="9638" w:type="dxa"/>
            <w:shd w:val="clear" w:color="auto" w:fill="002C47" w:themeFill="accent1"/>
            <w:vAlign w:val="center"/>
          </w:tcPr>
          <w:p w14:paraId="662ED6C7" w14:textId="2636CC96" w:rsidR="008E3C3F" w:rsidRDefault="008E3C3F" w:rsidP="004555E0">
            <w:pPr>
              <w:spacing w:before="0" w:after="0" w:line="259" w:lineRule="auto"/>
              <w:rPr>
                <w:rFonts w:cs="Calibri"/>
                <w:color w:val="000000"/>
                <w:szCs w:val="22"/>
              </w:rPr>
            </w:pPr>
            <w:r w:rsidRPr="00D40BEB">
              <w:rPr>
                <w:b/>
                <w:color w:val="FFFFFF" w:themeColor="background1"/>
                <w:sz w:val="24"/>
              </w:rPr>
              <w:t>Question</w:t>
            </w:r>
            <w:r w:rsidR="00726188">
              <w:rPr>
                <w:b/>
                <w:color w:val="FFFFFF" w:themeColor="background1"/>
                <w:sz w:val="24"/>
              </w:rPr>
              <w:t>s</w:t>
            </w:r>
          </w:p>
        </w:tc>
      </w:tr>
      <w:tr w:rsidR="008E3C3F" w14:paraId="506957D0" w14:textId="77777777" w:rsidTr="00367161">
        <w:trPr>
          <w:jc w:val="center"/>
        </w:trPr>
        <w:tc>
          <w:tcPr>
            <w:tcW w:w="9638" w:type="dxa"/>
            <w:vAlign w:val="center"/>
          </w:tcPr>
          <w:p w14:paraId="276ACC27" w14:textId="77777777" w:rsidR="008E3C3F" w:rsidRPr="00422A27" w:rsidRDefault="008E3C3F" w:rsidP="00D40BEB">
            <w:pPr>
              <w:pStyle w:val="OutlineNumbered1"/>
              <w:ind w:hanging="485"/>
              <w:rPr>
                <w:rFonts w:cs="Calibri"/>
                <w:color w:val="000000"/>
                <w:szCs w:val="22"/>
              </w:rPr>
            </w:pPr>
            <w:r>
              <w:t>Is there different information that now needs to be reported from 1/7/24 and will different reports (i.e., new reports) be required to be completed and submitted at 30/6/25? </w:t>
            </w:r>
          </w:p>
          <w:p w14:paraId="370BC401" w14:textId="77777777" w:rsidR="00422A27" w:rsidRPr="00422A27" w:rsidRDefault="00422A27" w:rsidP="00D40BEB">
            <w:pPr>
              <w:pStyle w:val="OutlineNumbered1"/>
              <w:ind w:hanging="485"/>
              <w:rPr>
                <w:rFonts w:cs="Calibri"/>
                <w:color w:val="000000"/>
                <w:szCs w:val="22"/>
              </w:rPr>
            </w:pPr>
            <w:r>
              <w:t>For the period of June to December 2024, do we need to submit two reports—both the old and new versions—by June 2025? </w:t>
            </w:r>
          </w:p>
          <w:p w14:paraId="10B54871" w14:textId="77777777" w:rsidR="00422A27" w:rsidRPr="004651CB" w:rsidRDefault="00422A27" w:rsidP="00D40BEB">
            <w:pPr>
              <w:pStyle w:val="OutlineNumbered1"/>
              <w:ind w:hanging="485"/>
              <w:rPr>
                <w:rFonts w:cs="Calibri"/>
                <w:color w:val="000000"/>
                <w:szCs w:val="22"/>
              </w:rPr>
            </w:pPr>
            <w:r>
              <w:t>Per slide 8- the H2 '24 report will be due June '25. Does that mean the H1 '25 reports will still be due Sept '25? only 3 months apart?</w:t>
            </w:r>
          </w:p>
          <w:p w14:paraId="53667D50" w14:textId="77777777" w:rsidR="004651CB" w:rsidRPr="00615650" w:rsidRDefault="004651CB" w:rsidP="00D40BEB">
            <w:pPr>
              <w:pStyle w:val="OutlineNumbered1"/>
              <w:ind w:hanging="485"/>
              <w:rPr>
                <w:rFonts w:cs="Calibri"/>
                <w:color w:val="000000"/>
                <w:szCs w:val="22"/>
              </w:rPr>
            </w:pPr>
            <w:r>
              <w:t>Our period is 1 April - 30 September so is it correct we will report the old way for this period. Then start the new way for the period 1 October - 31 March, is that correct? </w:t>
            </w:r>
          </w:p>
          <w:p w14:paraId="018B19CC" w14:textId="0E1748EE" w:rsidR="00615650" w:rsidRDefault="00615650" w:rsidP="00D40BEB">
            <w:pPr>
              <w:pStyle w:val="OutlineNumbered1"/>
              <w:ind w:hanging="485"/>
              <w:rPr>
                <w:rFonts w:cs="Calibri"/>
                <w:color w:val="000000"/>
                <w:szCs w:val="22"/>
              </w:rPr>
            </w:pPr>
            <w:r>
              <w:t>Our reporting period has been April - September. so is it correct we will report the old way for this period. For 2024 if we are reporting in September, it will old way? Then start the new way for the period 1 October - 31 March, is that correct? </w:t>
            </w:r>
          </w:p>
        </w:tc>
      </w:tr>
      <w:tr w:rsidR="008E3C3F" w14:paraId="70536550" w14:textId="77777777" w:rsidTr="00367161">
        <w:trPr>
          <w:jc w:val="center"/>
        </w:trPr>
        <w:tc>
          <w:tcPr>
            <w:tcW w:w="9638" w:type="dxa"/>
            <w:shd w:val="clear" w:color="auto" w:fill="002C47" w:themeFill="accent1"/>
            <w:vAlign w:val="center"/>
          </w:tcPr>
          <w:p w14:paraId="542A2828" w14:textId="5853E9A2" w:rsidR="008E3C3F" w:rsidRDefault="00726188" w:rsidP="004555E0">
            <w:pPr>
              <w:spacing w:before="0" w:after="0" w:line="259" w:lineRule="auto"/>
              <w:rPr>
                <w:rFonts w:cs="Calibri"/>
                <w:color w:val="000000"/>
                <w:szCs w:val="22"/>
              </w:rPr>
            </w:pPr>
            <w:r>
              <w:rPr>
                <w:b/>
                <w:color w:val="FFFFFF" w:themeColor="background1"/>
                <w:sz w:val="24"/>
              </w:rPr>
              <w:t>Response</w:t>
            </w:r>
          </w:p>
        </w:tc>
      </w:tr>
      <w:tr w:rsidR="008E3C3F" w14:paraId="37B0F90E" w14:textId="77777777" w:rsidTr="00367161">
        <w:trPr>
          <w:jc w:val="center"/>
        </w:trPr>
        <w:tc>
          <w:tcPr>
            <w:tcW w:w="9638" w:type="dxa"/>
            <w:vAlign w:val="center"/>
          </w:tcPr>
          <w:p w14:paraId="171CC29E" w14:textId="77777777" w:rsidR="00E04DC6" w:rsidRDefault="00E04DC6" w:rsidP="00E04DC6">
            <w:pPr>
              <w:spacing w:before="0" w:line="259" w:lineRule="auto"/>
              <w:rPr>
                <w:rFonts w:cs="Calibri"/>
                <w:szCs w:val="22"/>
              </w:rPr>
            </w:pPr>
            <w:r>
              <w:rPr>
                <w:rFonts w:cs="Calibri"/>
                <w:szCs w:val="22"/>
              </w:rPr>
              <w:t>Reporting periods commencing before 1 July 2024 will report under the old reporting framework.</w:t>
            </w:r>
          </w:p>
          <w:p w14:paraId="48AD11D7" w14:textId="77777777" w:rsidR="009C55A9" w:rsidRDefault="006F6B31" w:rsidP="006F6B31">
            <w:pPr>
              <w:spacing w:before="0" w:line="259" w:lineRule="auto"/>
              <w:rPr>
                <w:rFonts w:cs="Calibri"/>
                <w:szCs w:val="22"/>
              </w:rPr>
            </w:pPr>
            <w:r>
              <w:rPr>
                <w:rFonts w:cs="Calibri"/>
                <w:szCs w:val="22"/>
              </w:rPr>
              <w:t>D</w:t>
            </w:r>
            <w:r w:rsidR="00F1207A">
              <w:rPr>
                <w:rFonts w:cs="Calibri"/>
                <w:szCs w:val="22"/>
              </w:rPr>
              <w:t>ifferent information needs to be reported for reporting period</w:t>
            </w:r>
            <w:r w:rsidR="00324A58">
              <w:rPr>
                <w:rFonts w:cs="Calibri"/>
                <w:szCs w:val="22"/>
              </w:rPr>
              <w:t>s</w:t>
            </w:r>
            <w:r w:rsidR="00F1207A">
              <w:rPr>
                <w:rFonts w:cs="Calibri"/>
                <w:szCs w:val="22"/>
              </w:rPr>
              <w:t xml:space="preserve"> commencing on or after 1 July 2024. </w:t>
            </w:r>
          </w:p>
          <w:p w14:paraId="2BB0C637" w14:textId="23DAE118" w:rsidR="008E3C3F" w:rsidRPr="007619B0" w:rsidRDefault="007619B0" w:rsidP="006F6B31">
            <w:pPr>
              <w:spacing w:before="0" w:line="259" w:lineRule="auto"/>
              <w:rPr>
                <w:rFonts w:cs="Calibri"/>
                <w:szCs w:val="22"/>
              </w:rPr>
            </w:pPr>
            <w:r>
              <w:rPr>
                <w:rFonts w:cs="Calibri"/>
                <w:szCs w:val="22"/>
              </w:rPr>
              <w:t xml:space="preserve">For more information on transitional arrangements and new reporting requirements see </w:t>
            </w:r>
            <w:hyperlink r:id="rId36" w:history="1">
              <w:r w:rsidR="0054083E" w:rsidRPr="000358CB">
                <w:rPr>
                  <w:rStyle w:val="Hyperlink"/>
                  <w:rFonts w:cs="Calibri"/>
                  <w:szCs w:val="22"/>
                </w:rPr>
                <w:t>Information Sheet 9: Transition to the new Scheme</w:t>
              </w:r>
            </w:hyperlink>
            <w:r w:rsidR="0054083E" w:rsidRPr="000358CB">
              <w:rPr>
                <w:rFonts w:cs="Calibri"/>
                <w:szCs w:val="22"/>
              </w:rPr>
              <w:t xml:space="preserve"> and </w:t>
            </w:r>
            <w:hyperlink r:id="rId37" w:history="1">
              <w:r w:rsidR="0054083E" w:rsidRPr="000358CB">
                <w:rPr>
                  <w:rStyle w:val="Hyperlink"/>
                  <w:rFonts w:cs="Calibri"/>
                  <w:szCs w:val="22"/>
                </w:rPr>
                <w:t>Information Sheet 10: Reforms to Payment Times Reporting</w:t>
              </w:r>
            </w:hyperlink>
            <w:r w:rsidR="0054083E" w:rsidRPr="000358CB">
              <w:rPr>
                <w:rFonts w:cs="Calibri"/>
                <w:szCs w:val="22"/>
              </w:rPr>
              <w:t>.</w:t>
            </w:r>
          </w:p>
        </w:tc>
      </w:tr>
    </w:tbl>
    <w:p w14:paraId="2D4B8A72" w14:textId="77777777" w:rsidR="003101CC" w:rsidRDefault="003101CC" w:rsidP="009C4C1E">
      <w:pPr>
        <w:spacing w:line="259" w:lineRule="auto"/>
      </w:pPr>
    </w:p>
    <w:sectPr w:rsidR="003101CC" w:rsidSect="0029371A">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440" w:right="2880" w:bottom="1440" w:left="28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748E" w14:textId="77777777" w:rsidR="00004BA9" w:rsidRDefault="00004BA9">
      <w:pPr>
        <w:spacing w:before="0" w:after="0"/>
      </w:pPr>
      <w:r>
        <w:separator/>
      </w:r>
    </w:p>
  </w:endnote>
  <w:endnote w:type="continuationSeparator" w:id="0">
    <w:p w14:paraId="750D3F74" w14:textId="77777777" w:rsidR="00004BA9" w:rsidRDefault="00004BA9">
      <w:pPr>
        <w:spacing w:before="0" w:after="0"/>
      </w:pPr>
      <w:r>
        <w:continuationSeparator/>
      </w:r>
    </w:p>
  </w:endnote>
  <w:endnote w:type="continuationNotice" w:id="1">
    <w:p w14:paraId="24F2B13D" w14:textId="77777777" w:rsidR="00004BA9" w:rsidRDefault="00004B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4" w:type="dxa"/>
      <w:tblInd w:w="-851" w:type="dxa"/>
      <w:tblLook w:val="04A0" w:firstRow="1" w:lastRow="0" w:firstColumn="1" w:lastColumn="0" w:noHBand="0" w:noVBand="1"/>
    </w:tblPr>
    <w:tblGrid>
      <w:gridCol w:w="2778"/>
      <w:gridCol w:w="5245"/>
      <w:gridCol w:w="3231"/>
    </w:tblGrid>
    <w:tr w:rsidR="00653622" w:rsidRPr="00C35086" w14:paraId="442F621A" w14:textId="77777777" w:rsidTr="775A47B9">
      <w:trPr>
        <w:trHeight w:val="574"/>
      </w:trPr>
      <w:tc>
        <w:tcPr>
          <w:tcW w:w="2778" w:type="dxa"/>
          <w:shd w:val="clear" w:color="auto" w:fill="auto"/>
          <w:vAlign w:val="center"/>
        </w:tcPr>
        <w:p w14:paraId="1A9112E1" w14:textId="58AFE296" w:rsidR="00866BDE" w:rsidRPr="00C35086" w:rsidRDefault="00866BDE" w:rsidP="00866BDE">
          <w:pPr>
            <w:pStyle w:val="HeaderOdd"/>
            <w:tabs>
              <w:tab w:val="left" w:pos="0"/>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42" behindDoc="1" locked="0" layoutInCell="1" allowOverlap="1" wp14:anchorId="68D3662B" wp14:editId="27D000C2">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116D7DCA">
                  <v:group id="Group 13" style="position:absolute;margin-left:2.65pt;margin-top:-26pt;width:14.15pt;height:14.15pt;z-index:-251658238;mso-width-relative:margin;mso-height-relative:margin" coordsize="13681,13681" coordorigin="1416" o:spid="_x0000_s1026" w14:anchorId="1F766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">
                    <o:lock v:ext="edit" aspectratio="t"/>
                    <v:oval id="Oval 14" style="position:absolute;left:1416;width:13682;height:13681;visibility:visible;mso-wrap-style:square;v-text-anchor:middle" o:spid="_x0000_s1027"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2GxAAAANsAAAAPAAAAZHJzL2Rvd25yZXYueG1sRE89b8Iw&#10;EN0r9T9YV6lbcaAV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DgbDYbEAAAA2wAAAA8A&#10;AAAAAAAAAAAAAAAABwIAAGRycy9kb3ducmV2LnhtbFBLBQYAAAAAAwADALcAAAD4AgAAAAA=&#10;"/>
                    <v:oval id="Oval 15" style="position:absolute;left:4297;width:7921;height:13681;visibility:visible;mso-wrap-style:square;v-text-anchor:middle" o:spid="_x0000_s1028"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gdxAAAANsAAAAPAAAAZHJzL2Rvd25yZXYueG1sRE89b8Iw&#10;EN0r9T9YV6lbcaAq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FdXqB3EAAAA2wAAAA8A&#10;AAAAAAAAAAAAAAAABwIAAGRycy9kb3ducmV2LnhtbFBLBQYAAAAAAwADALcAAAD4AgAAAAA=&#10;"/>
                    <v:line id="Straight Connector 16" style="position:absolute;visibility:visible;mso-wrap-style:square" o:spid="_x0000_s1029" strokecolor="#b1f0cf" strokeweight="1pt" o:connectortype="straight" from="8257,0" to="8257,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"/>
                    <v:oval id="Oval 17" style="position:absolute;left:4909;top:89;width:6697;height:13681;rotation:90;visibility:visible;mso-wrap-style:square;v-text-anchor:middle" o:spid="_x0000_s1030"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"/>
                    <w10:wrap type="tight"/>
                  </v:group>
                </w:pict>
              </mc:Fallback>
            </mc:AlternateContent>
          </w:r>
          <w:r w:rsidRPr="00C35086">
            <w:rPr>
              <w:rFonts w:asciiTheme="minorHAnsi" w:hAnsiTheme="minorHAnsi" w:cstheme="minorHAnsi"/>
              <w:bCs/>
              <w:color w:val="FFFFFF" w:themeColor="background1"/>
            </w:rPr>
            <w:t>paymenttimes.gov.au</w:t>
          </w:r>
        </w:p>
      </w:tc>
      <w:tc>
        <w:tcPr>
          <w:tcW w:w="5245" w:type="dxa"/>
          <w:shd w:val="clear" w:color="auto" w:fill="auto"/>
          <w:vAlign w:val="center"/>
        </w:tcPr>
        <w:p w14:paraId="4A8DF271" w14:textId="074BFB76" w:rsidR="00866BDE" w:rsidRPr="00C35086" w:rsidRDefault="00866BDE" w:rsidP="00653622">
          <w:pPr>
            <w:pStyle w:val="HeaderOdd"/>
            <w:tabs>
              <w:tab w:val="left" w:pos="0"/>
              <w:tab w:val="left" w:pos="2552"/>
            </w:tabs>
            <w:jc w:val="left"/>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41" behindDoc="1" locked="0" layoutInCell="1" allowOverlap="1" wp14:anchorId="4E76B162" wp14:editId="64FF237E">
                <wp:simplePos x="0" y="0"/>
                <wp:positionH relativeFrom="column">
                  <wp:posOffset>555625</wp:posOffset>
                </wp:positionH>
                <wp:positionV relativeFrom="paragraph">
                  <wp:posOffset>-352425</wp:posOffset>
                </wp:positionV>
                <wp:extent cx="194310" cy="194310"/>
                <wp:effectExtent l="0" t="0" r="0" b="0"/>
                <wp:wrapThrough wrapText="bothSides">
                  <wp:wrapPolygon edited="0">
                    <wp:start x="0" y="0"/>
                    <wp:lineTo x="0" y="19059"/>
                    <wp:lineTo x="19059" y="19059"/>
                    <wp:lineTo x="19059" y="0"/>
                    <wp:lineTo x="0" y="0"/>
                  </wp:wrapPolygon>
                </wp:wrapThrough>
                <wp:docPr id="557599047" name="Graphic 557599047"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3231" w:type="dxa"/>
          <w:shd w:val="clear" w:color="auto" w:fill="auto"/>
          <w:vAlign w:val="center"/>
        </w:tcPr>
        <w:p w14:paraId="429AB570" w14:textId="7AD5AC69" w:rsidR="00866BDE" w:rsidRPr="00C35086" w:rsidRDefault="775A47B9" w:rsidP="775A47B9">
          <w:pPr>
            <w:pStyle w:val="HeaderOdd"/>
            <w:rPr>
              <w:rFonts w:asciiTheme="minorHAnsi" w:hAnsiTheme="minorHAnsi" w:cstheme="minorBidi"/>
            </w:rPr>
          </w:pPr>
          <w:r w:rsidRPr="775A47B9">
            <w:rPr>
              <w:rFonts w:asciiTheme="minorHAnsi" w:hAnsiTheme="minorHAnsi" w:cstheme="minorBidi"/>
              <w:color w:val="FFFFFF" w:themeColor="background1"/>
            </w:rPr>
            <w:t xml:space="preserve">Page </w:t>
          </w:r>
          <w:r w:rsidR="00866BDE" w:rsidRPr="775A47B9">
            <w:rPr>
              <w:rFonts w:asciiTheme="minorHAnsi" w:hAnsiTheme="minorHAnsi" w:cstheme="minorBidi"/>
              <w:color w:val="FFFFFF" w:themeColor="background1"/>
              <w:sz w:val="24"/>
              <w:szCs w:val="24"/>
            </w:rPr>
            <w:fldChar w:fldCharType="begin"/>
          </w:r>
          <w:r w:rsidR="00866BDE" w:rsidRPr="775A47B9">
            <w:rPr>
              <w:rFonts w:asciiTheme="minorHAnsi" w:hAnsiTheme="minorHAnsi" w:cstheme="minorBidi"/>
              <w:color w:val="FFFFFF" w:themeColor="background1"/>
            </w:rPr>
            <w:instrText xml:space="preserve"> PAGE </w:instrText>
          </w:r>
          <w:r w:rsidR="00866BDE" w:rsidRPr="775A47B9">
            <w:rPr>
              <w:rFonts w:cstheme="minorBidi"/>
              <w:color w:val="FFFFFF" w:themeColor="background1"/>
              <w:sz w:val="24"/>
              <w:szCs w:val="24"/>
            </w:rPr>
            <w:fldChar w:fldCharType="separate"/>
          </w:r>
          <w:r w:rsidRPr="775A47B9">
            <w:rPr>
              <w:rFonts w:asciiTheme="minorHAnsi" w:hAnsiTheme="minorHAnsi" w:cstheme="minorBidi"/>
              <w:color w:val="FFFFFF" w:themeColor="background1"/>
              <w:sz w:val="24"/>
              <w:szCs w:val="24"/>
            </w:rPr>
            <w:t>2</w:t>
          </w:r>
          <w:r w:rsidR="00866BDE" w:rsidRPr="775A47B9">
            <w:rPr>
              <w:rFonts w:asciiTheme="minorHAnsi" w:hAnsiTheme="minorHAnsi" w:cstheme="minorBidi"/>
              <w:color w:val="FFFFFF" w:themeColor="background1"/>
              <w:sz w:val="24"/>
              <w:szCs w:val="24"/>
            </w:rPr>
            <w:fldChar w:fldCharType="end"/>
          </w:r>
          <w:r w:rsidRPr="775A47B9">
            <w:rPr>
              <w:rFonts w:asciiTheme="minorHAnsi" w:hAnsiTheme="minorHAnsi" w:cstheme="minorBidi"/>
              <w:color w:val="FFFFFF" w:themeColor="background1"/>
            </w:rPr>
            <w:t xml:space="preserve"> of </w:t>
          </w:r>
          <w:r w:rsidR="00811358">
            <w:rPr>
              <w:rFonts w:asciiTheme="minorHAnsi" w:hAnsiTheme="minorHAnsi" w:cstheme="minorBidi"/>
              <w:color w:val="FFFFFF" w:themeColor="background1"/>
            </w:rPr>
            <w:t>1</w:t>
          </w:r>
          <w:r w:rsidR="002E2DCF">
            <w:rPr>
              <w:rFonts w:asciiTheme="minorHAnsi" w:hAnsiTheme="minorHAnsi" w:cstheme="minorBidi"/>
              <w:color w:val="FFFFFF" w:themeColor="background1"/>
            </w:rPr>
            <w:t>8</w:t>
          </w:r>
          <w:r w:rsidRPr="775A47B9">
            <w:rPr>
              <w:rFonts w:asciiTheme="minorHAnsi" w:hAnsiTheme="minorHAnsi" w:cstheme="minorBidi"/>
            </w:rPr>
            <w:t xml:space="preserve"> </w:t>
          </w:r>
          <w:r w:rsidR="00866BDE" w:rsidRPr="775A47B9">
            <w:rPr>
              <w:rFonts w:asciiTheme="minorHAnsi" w:hAnsiTheme="minorHAnsi" w:cstheme="minorBidi"/>
            </w:rPr>
            <w:fldChar w:fldCharType="begin"/>
          </w:r>
          <w:r w:rsidR="00866BDE">
            <w:instrText>PAGE</w:instrText>
          </w:r>
          <w:r w:rsidR="002D1D39">
            <w:fldChar w:fldCharType="separate"/>
          </w:r>
          <w:r w:rsidR="00866BDE" w:rsidRPr="775A47B9">
            <w:rPr>
              <w:rFonts w:asciiTheme="minorHAnsi" w:hAnsiTheme="minorHAnsi" w:cstheme="minorBidi"/>
            </w:rPr>
            <w:fldChar w:fldCharType="end"/>
          </w:r>
        </w:p>
      </w:tc>
    </w:tr>
  </w:tbl>
  <w:p w14:paraId="022B6833" w14:textId="1D4ABC0C" w:rsidR="00B503CC" w:rsidRPr="00F60198" w:rsidRDefault="00653622" w:rsidP="00653622">
    <w:pPr>
      <w:pStyle w:val="FooterOdd"/>
      <w:tabs>
        <w:tab w:val="left" w:pos="690"/>
        <w:tab w:val="right" w:pos="9781"/>
      </w:tabs>
      <w:jc w:val="left"/>
    </w:pPr>
    <w:r w:rsidRPr="000E4466">
      <w:rPr>
        <w:b/>
        <w:bCs/>
        <w:noProof/>
        <w:color w:val="FFFFFF" w:themeColor="background1"/>
      </w:rPr>
      <w:drawing>
        <wp:anchor distT="0" distB="0" distL="114300" distR="114300" simplePos="0" relativeHeight="251658243" behindDoc="1" locked="0" layoutInCell="1" allowOverlap="1" wp14:anchorId="1F38BEDC" wp14:editId="49F67463">
          <wp:simplePos x="0" y="0"/>
          <wp:positionH relativeFrom="page">
            <wp:posOffset>0</wp:posOffset>
          </wp:positionH>
          <wp:positionV relativeFrom="paragraph">
            <wp:posOffset>-509905</wp:posOffset>
          </wp:positionV>
          <wp:extent cx="7591425" cy="714375"/>
          <wp:effectExtent l="0" t="0" r="9525" b="9525"/>
          <wp:wrapNone/>
          <wp:docPr id="438741824" name="Picture 43874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1425" cy="714375"/>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44182"/>
      <w:docPartObj>
        <w:docPartGallery w:val="Page Numbers (Bottom of Page)"/>
        <w:docPartUnique/>
      </w:docPartObj>
    </w:sdtPr>
    <w:sdtEndPr>
      <w:rPr>
        <w:noProof/>
      </w:rPr>
    </w:sdtEndPr>
    <w:sdtContent>
      <w:p w14:paraId="7B2CE44B" w14:textId="1ECD7472" w:rsidR="00253BB8" w:rsidRDefault="00253B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3E488" w14:textId="64A2D42D" w:rsidR="3EF6D280" w:rsidRDefault="3EF6D280" w:rsidP="003E2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DF3C" w14:textId="5FF356A9" w:rsidR="00B503CC" w:rsidRDefault="00B503CC">
    <w:pPr>
      <w:pStyle w:val="Footer"/>
      <w:jc w:val="right"/>
    </w:pPr>
    <w:r>
      <w:fldChar w:fldCharType="begin"/>
    </w:r>
    <w:r>
      <w:instrText xml:space="preserve"> PAGE   \* MERGEFORMAT </w:instrText>
    </w:r>
    <w:r>
      <w:fldChar w:fldCharType="separate"/>
    </w:r>
    <w:r>
      <w:rPr>
        <w:noProof/>
      </w:rPr>
      <w:t>2</w:t>
    </w:r>
    <w:r>
      <w:rPr>
        <w:noProof/>
      </w:rPr>
      <w:fldChar w:fldCharType="end"/>
    </w:r>
  </w:p>
  <w:p w14:paraId="7DBDD61B" w14:textId="061B1D18" w:rsidR="00B503CC" w:rsidRPr="00E77C89" w:rsidRDefault="00B503CC" w:rsidP="00EE1447">
    <w:pPr>
      <w:pStyle w:val="FooterEv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54" w:type="dxa"/>
      <w:tblInd w:w="-851" w:type="dxa"/>
      <w:tblLook w:val="04A0" w:firstRow="1" w:lastRow="0" w:firstColumn="1" w:lastColumn="0" w:noHBand="0" w:noVBand="1"/>
    </w:tblPr>
    <w:tblGrid>
      <w:gridCol w:w="2778"/>
      <w:gridCol w:w="5245"/>
      <w:gridCol w:w="3231"/>
    </w:tblGrid>
    <w:tr w:rsidR="00765413" w:rsidRPr="00C35086" w14:paraId="557E4B36" w14:textId="77777777" w:rsidTr="775A47B9">
      <w:trPr>
        <w:trHeight w:val="574"/>
      </w:trPr>
      <w:tc>
        <w:tcPr>
          <w:tcW w:w="2778" w:type="dxa"/>
          <w:shd w:val="clear" w:color="auto" w:fill="auto"/>
          <w:vAlign w:val="center"/>
        </w:tcPr>
        <w:p w14:paraId="37C7BB67" w14:textId="77777777" w:rsidR="00765413" w:rsidRPr="00C35086" w:rsidRDefault="00765413" w:rsidP="00866BDE">
          <w:pPr>
            <w:pStyle w:val="HeaderOdd"/>
            <w:tabs>
              <w:tab w:val="left" w:pos="0"/>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46" behindDoc="1" locked="0" layoutInCell="1" allowOverlap="1" wp14:anchorId="6288CD56" wp14:editId="353A375B">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8" name="Oval 18"/>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Straight Connector 45"/>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46" name="Oval 46"/>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117BD007">
                  <v:group id="Group 3" style="position:absolute;margin-left:2.65pt;margin-top:-26pt;width:14.15pt;height:14.15pt;z-index:-251658229;mso-width-relative:margin;mso-height-relative:margin" coordsize="13681,13681" coordorigin="1416" o:spid="_x0000_s1026" w14:anchorId="55138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">
                    <o:lock v:ext="edit" aspectratio="t"/>
                    <v:oval id="Oval 18" style="position:absolute;left:1416;width:13682;height:13681;visibility:visible;mso-wrap-style:square;v-text-anchor:middle" o:spid="_x0000_s1027"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"/>
                    <v:oval id="Oval 19" style="position:absolute;left:4297;width:7921;height:13681;visibility:visible;mso-wrap-style:square;v-text-anchor:middle" o:spid="_x0000_s1028"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"/>
                    <v:line id="Straight Connector 45" style="position:absolute;visibility:visible;mso-wrap-style:square" o:spid="_x0000_s1029" strokecolor="#b1f0cf" strokeweight="1pt" o:connectortype="straight" from="8257,0" to="8257,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"/>
                    <v:oval id="Oval 46" style="position:absolute;left:4909;top:89;width:6697;height:13681;rotation:90;visibility:visible;mso-wrap-style:square;v-text-anchor:middle" o:spid="_x0000_s1030"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"/>
                    <w10:wrap type="tight"/>
                  </v:group>
                </w:pict>
              </mc:Fallback>
            </mc:AlternateContent>
          </w:r>
          <w:r w:rsidRPr="00C35086">
            <w:rPr>
              <w:rFonts w:asciiTheme="minorHAnsi" w:hAnsiTheme="minorHAnsi" w:cstheme="minorHAnsi"/>
              <w:bCs/>
              <w:color w:val="FFFFFF" w:themeColor="background1"/>
            </w:rPr>
            <w:t>paymenttimes.gov.au</w:t>
          </w:r>
        </w:p>
      </w:tc>
      <w:tc>
        <w:tcPr>
          <w:tcW w:w="5245" w:type="dxa"/>
          <w:shd w:val="clear" w:color="auto" w:fill="auto"/>
          <w:vAlign w:val="center"/>
        </w:tcPr>
        <w:p w14:paraId="046D1F3C" w14:textId="77777777" w:rsidR="00765413" w:rsidRPr="00C35086" w:rsidRDefault="00765413" w:rsidP="00653622">
          <w:pPr>
            <w:pStyle w:val="HeaderOdd"/>
            <w:tabs>
              <w:tab w:val="left" w:pos="0"/>
              <w:tab w:val="left" w:pos="2552"/>
            </w:tabs>
            <w:jc w:val="left"/>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45" behindDoc="1" locked="0" layoutInCell="1" allowOverlap="1" wp14:anchorId="156A731B" wp14:editId="2FCE8C81">
                <wp:simplePos x="0" y="0"/>
                <wp:positionH relativeFrom="column">
                  <wp:posOffset>555625</wp:posOffset>
                </wp:positionH>
                <wp:positionV relativeFrom="paragraph">
                  <wp:posOffset>-352425</wp:posOffset>
                </wp:positionV>
                <wp:extent cx="194310" cy="194310"/>
                <wp:effectExtent l="0" t="0" r="0" b="0"/>
                <wp:wrapThrough wrapText="bothSides">
                  <wp:wrapPolygon edited="0">
                    <wp:start x="0" y="0"/>
                    <wp:lineTo x="0" y="19059"/>
                    <wp:lineTo x="19059" y="19059"/>
                    <wp:lineTo x="19059" y="0"/>
                    <wp:lineTo x="0" y="0"/>
                  </wp:wrapPolygon>
                </wp:wrapThrough>
                <wp:docPr id="2118158790" name="Graphic 2118158790"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3231" w:type="dxa"/>
          <w:shd w:val="clear" w:color="auto" w:fill="auto"/>
          <w:vAlign w:val="center"/>
        </w:tcPr>
        <w:p w14:paraId="6953F8D7" w14:textId="0707D880" w:rsidR="00765413" w:rsidRPr="00C35086" w:rsidRDefault="775A47B9" w:rsidP="775A47B9">
          <w:pPr>
            <w:pStyle w:val="HeaderOdd"/>
            <w:rPr>
              <w:rFonts w:asciiTheme="minorHAnsi" w:hAnsiTheme="minorHAnsi" w:cstheme="minorBidi"/>
            </w:rPr>
          </w:pPr>
          <w:r w:rsidRPr="775A47B9">
            <w:rPr>
              <w:rFonts w:asciiTheme="minorHAnsi" w:hAnsiTheme="minorHAnsi" w:cstheme="minorBidi"/>
              <w:color w:val="FFFFFF" w:themeColor="background1"/>
            </w:rPr>
            <w:t xml:space="preserve">Page </w:t>
          </w:r>
          <w:r w:rsidR="00765413" w:rsidRPr="775A47B9">
            <w:rPr>
              <w:rFonts w:asciiTheme="minorHAnsi" w:hAnsiTheme="minorHAnsi" w:cstheme="minorBidi"/>
              <w:color w:val="FFFFFF" w:themeColor="background1"/>
              <w:sz w:val="24"/>
              <w:szCs w:val="24"/>
            </w:rPr>
            <w:fldChar w:fldCharType="begin"/>
          </w:r>
          <w:r w:rsidR="00765413" w:rsidRPr="775A47B9">
            <w:rPr>
              <w:rFonts w:asciiTheme="minorHAnsi" w:hAnsiTheme="minorHAnsi" w:cstheme="minorBidi"/>
              <w:color w:val="FFFFFF" w:themeColor="background1"/>
            </w:rPr>
            <w:instrText xml:space="preserve"> PAGE </w:instrText>
          </w:r>
          <w:r w:rsidR="00765413" w:rsidRPr="775A47B9">
            <w:rPr>
              <w:rFonts w:cstheme="minorBidi"/>
              <w:color w:val="FFFFFF" w:themeColor="background1"/>
              <w:sz w:val="24"/>
              <w:szCs w:val="24"/>
            </w:rPr>
            <w:fldChar w:fldCharType="separate"/>
          </w:r>
          <w:r w:rsidRPr="775A47B9">
            <w:rPr>
              <w:rFonts w:asciiTheme="minorHAnsi" w:hAnsiTheme="minorHAnsi" w:cstheme="minorBidi"/>
              <w:color w:val="FFFFFF" w:themeColor="background1"/>
              <w:sz w:val="24"/>
              <w:szCs w:val="24"/>
            </w:rPr>
            <w:t>2</w:t>
          </w:r>
          <w:r w:rsidR="00765413" w:rsidRPr="775A47B9">
            <w:rPr>
              <w:rFonts w:asciiTheme="minorHAnsi" w:hAnsiTheme="minorHAnsi" w:cstheme="minorBidi"/>
              <w:color w:val="FFFFFF" w:themeColor="background1"/>
              <w:sz w:val="24"/>
              <w:szCs w:val="24"/>
            </w:rPr>
            <w:fldChar w:fldCharType="end"/>
          </w:r>
          <w:r w:rsidRPr="775A47B9">
            <w:rPr>
              <w:rFonts w:asciiTheme="minorHAnsi" w:hAnsiTheme="minorHAnsi" w:cstheme="minorBidi"/>
              <w:color w:val="FFFFFF" w:themeColor="background1"/>
            </w:rPr>
            <w:t xml:space="preserve"> of </w:t>
          </w:r>
          <w:r w:rsidR="007213BF">
            <w:rPr>
              <w:rFonts w:asciiTheme="minorHAnsi" w:hAnsiTheme="minorHAnsi" w:cstheme="minorBidi"/>
              <w:color w:val="FFFFFF" w:themeColor="background1"/>
            </w:rPr>
            <w:t>1</w:t>
          </w:r>
          <w:r w:rsidR="00384971">
            <w:rPr>
              <w:rFonts w:asciiTheme="minorHAnsi" w:hAnsiTheme="minorHAnsi" w:cstheme="minorBidi"/>
              <w:color w:val="FFFFFF" w:themeColor="background1"/>
            </w:rPr>
            <w:t>8</w:t>
          </w:r>
          <w:r w:rsidRPr="775A47B9">
            <w:rPr>
              <w:rFonts w:asciiTheme="minorHAnsi" w:hAnsiTheme="minorHAnsi" w:cstheme="minorBidi"/>
            </w:rPr>
            <w:t xml:space="preserve"> </w:t>
          </w:r>
          <w:r w:rsidR="00765413" w:rsidRPr="775A47B9">
            <w:rPr>
              <w:rFonts w:asciiTheme="minorHAnsi" w:hAnsiTheme="minorHAnsi" w:cstheme="minorBidi"/>
            </w:rPr>
            <w:fldChar w:fldCharType="begin"/>
          </w:r>
          <w:r w:rsidR="00765413">
            <w:instrText>PAGE</w:instrText>
          </w:r>
          <w:r w:rsidR="00765413" w:rsidRPr="775A47B9">
            <w:fldChar w:fldCharType="separate"/>
          </w:r>
          <w:r w:rsidR="00221796">
            <w:rPr>
              <w:noProof/>
            </w:rPr>
            <w:t>1</w:t>
          </w:r>
          <w:r w:rsidR="00765413" w:rsidRPr="775A47B9">
            <w:rPr>
              <w:rFonts w:asciiTheme="minorHAnsi" w:hAnsiTheme="minorHAnsi" w:cstheme="minorBidi"/>
            </w:rPr>
            <w:fldChar w:fldCharType="end"/>
          </w:r>
        </w:p>
      </w:tc>
    </w:tr>
  </w:tbl>
  <w:p w14:paraId="6918412A" w14:textId="77777777" w:rsidR="00765413" w:rsidRPr="00F60198" w:rsidRDefault="00765413" w:rsidP="00653622">
    <w:pPr>
      <w:pStyle w:val="FooterOdd"/>
      <w:tabs>
        <w:tab w:val="left" w:pos="690"/>
        <w:tab w:val="right" w:pos="9781"/>
      </w:tabs>
      <w:jc w:val="left"/>
    </w:pPr>
    <w:r w:rsidRPr="000E4466">
      <w:rPr>
        <w:b/>
        <w:bCs/>
        <w:noProof/>
        <w:color w:val="FFFFFF" w:themeColor="background1"/>
      </w:rPr>
      <w:drawing>
        <wp:anchor distT="0" distB="0" distL="114300" distR="114300" simplePos="0" relativeHeight="251658247" behindDoc="1" locked="0" layoutInCell="1" allowOverlap="1" wp14:anchorId="21F10576" wp14:editId="366B361E">
          <wp:simplePos x="0" y="0"/>
          <wp:positionH relativeFrom="page">
            <wp:posOffset>0</wp:posOffset>
          </wp:positionH>
          <wp:positionV relativeFrom="paragraph">
            <wp:posOffset>-509905</wp:posOffset>
          </wp:positionV>
          <wp:extent cx="7591425" cy="714375"/>
          <wp:effectExtent l="0" t="0" r="9525" b="9525"/>
          <wp:wrapNone/>
          <wp:docPr id="2095299455" name="Picture 209529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91425" cy="714375"/>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3EF6D280" w14:paraId="1121EEFC" w14:textId="77777777" w:rsidTr="002D1D39">
      <w:trPr>
        <w:trHeight w:val="300"/>
      </w:trPr>
      <w:tc>
        <w:tcPr>
          <w:tcW w:w="3260" w:type="dxa"/>
        </w:tcPr>
        <w:p w14:paraId="528E3D97" w14:textId="136C4DA2" w:rsidR="3EF6D280" w:rsidRDefault="3EF6D280" w:rsidP="00811358">
          <w:pPr>
            <w:pStyle w:val="Header"/>
            <w:ind w:left="-115"/>
            <w:jc w:val="left"/>
          </w:pPr>
        </w:p>
      </w:tc>
      <w:tc>
        <w:tcPr>
          <w:tcW w:w="3260" w:type="dxa"/>
        </w:tcPr>
        <w:p w14:paraId="7A8AC754" w14:textId="552621D8" w:rsidR="3EF6D280" w:rsidRDefault="3EF6D280" w:rsidP="00811358">
          <w:pPr>
            <w:pStyle w:val="Header"/>
            <w:jc w:val="center"/>
          </w:pPr>
        </w:p>
      </w:tc>
      <w:tc>
        <w:tcPr>
          <w:tcW w:w="3260" w:type="dxa"/>
        </w:tcPr>
        <w:p w14:paraId="32310788" w14:textId="754BDCC9" w:rsidR="3EF6D280" w:rsidRDefault="3EF6D280" w:rsidP="00811358">
          <w:pPr>
            <w:pStyle w:val="Header"/>
            <w:ind w:right="-115"/>
          </w:pPr>
        </w:p>
      </w:tc>
    </w:tr>
  </w:tbl>
  <w:p w14:paraId="02CF21BB" w14:textId="7BD819A7" w:rsidR="3EF6D280" w:rsidRDefault="3EF6D280" w:rsidP="002D1D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766F" w14:textId="77777777" w:rsidR="00B503CC" w:rsidRPr="00E77C89" w:rsidRDefault="00B503CC" w:rsidP="00EE1447">
    <w:pPr>
      <w:pStyle w:val="FooterEven"/>
    </w:pPr>
    <w:r>
      <w:fldChar w:fldCharType="begin"/>
    </w:r>
    <w:r>
      <w:instrText xml:space="preserve"> PAGE  \* Arabic  \* MERGEFORMAT </w:instrText>
    </w:r>
    <w:r>
      <w:fldChar w:fldCharType="separate"/>
    </w:r>
    <w: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68" w:type="dxa"/>
      <w:tblInd w:w="-2304" w:type="dxa"/>
      <w:tblLook w:val="04A0" w:firstRow="1" w:lastRow="0" w:firstColumn="1" w:lastColumn="0" w:noHBand="0" w:noVBand="1"/>
    </w:tblPr>
    <w:tblGrid>
      <w:gridCol w:w="2730"/>
      <w:gridCol w:w="5953"/>
      <w:gridCol w:w="1985"/>
    </w:tblGrid>
    <w:tr w:rsidR="00AF0C9D" w:rsidRPr="00C35086" w14:paraId="7F6BAC11" w14:textId="77777777" w:rsidTr="775A47B9">
      <w:trPr>
        <w:trHeight w:val="761"/>
      </w:trPr>
      <w:tc>
        <w:tcPr>
          <w:tcW w:w="2730" w:type="dxa"/>
          <w:shd w:val="clear" w:color="auto" w:fill="auto"/>
          <w:vAlign w:val="center"/>
        </w:tcPr>
        <w:p w14:paraId="628FA658" w14:textId="77777777" w:rsidR="00AF0C9D" w:rsidRPr="00C35086" w:rsidRDefault="00AF0C9D" w:rsidP="00866BDE">
          <w:pPr>
            <w:pStyle w:val="HeaderOdd"/>
            <w:tabs>
              <w:tab w:val="left" w:pos="0"/>
              <w:tab w:val="left" w:pos="28"/>
            </w:tabs>
            <w:jc w:val="left"/>
            <w:rPr>
              <w:rFonts w:asciiTheme="minorHAnsi" w:hAnsiTheme="minorHAnsi" w:cstheme="minorHAnsi"/>
              <w:b/>
              <w:bCs/>
            </w:rPr>
          </w:pPr>
          <w:r>
            <w:rPr>
              <w:rFonts w:cstheme="minorHAnsi"/>
              <w:b/>
              <w:bCs/>
              <w:noProof/>
              <w:color w:val="FFFFFF" w:themeColor="background1"/>
            </w:rPr>
            <mc:AlternateContent>
              <mc:Choice Requires="wpg">
                <w:drawing>
                  <wp:anchor distT="0" distB="0" distL="114300" distR="114300" simplePos="0" relativeHeight="251658249" behindDoc="1" locked="0" layoutInCell="1" allowOverlap="1" wp14:anchorId="1E4B4954" wp14:editId="4948CE04">
                    <wp:simplePos x="0" y="0"/>
                    <wp:positionH relativeFrom="column">
                      <wp:posOffset>33655</wp:posOffset>
                    </wp:positionH>
                    <wp:positionV relativeFrom="paragraph">
                      <wp:posOffset>-330200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62" name="Oval 62"/>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3"/>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8" name="Straight Connector 448"/>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449" name="Oval 449"/>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779C3B28">
                  <v:group id="Group 49" style="position:absolute;margin-left:2.65pt;margin-top:-26pt;width:14.15pt;height:14.15pt;z-index:-251658226;mso-width-relative:margin;mso-height-relative:margin" coordsize="13681,13681" coordorigin="1416" o:spid="_x0000_s1026" w14:anchorId="15494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">
                    <o:lock v:ext="edit" aspectratio="t"/>
                    <v:oval id="Oval 62" style="position:absolute;left:1416;width:13682;height:13681;visibility:visible;mso-wrap-style:square;v-text-anchor:middle" o:spid="_x0000_s1027"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"/>
                    <v:oval id="Oval 63" style="position:absolute;left:4297;width:7921;height:13681;visibility:visible;mso-wrap-style:square;v-text-anchor:middle" o:spid="_x0000_s1028"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"/>
                    <v:line id="Straight Connector 448" style="position:absolute;visibility:visible;mso-wrap-style:square" o:spid="_x0000_s1029" strokecolor="#b1f0cf" strokeweight="1pt" o:connectortype="straight" from="8257,0" to="8257,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"/>
                    <v:oval id="Oval 449" style="position:absolute;left:4909;top:89;width:6697;height:13681;rotation:90;visibility:visible;mso-wrap-style:square;v-text-anchor:middle" o:spid="_x0000_s1030" filled="f" strokecolor="#b1f0c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"/>
                    <w10:wrap type="tight"/>
                  </v:group>
                </w:pict>
              </mc:Fallback>
            </mc:AlternateContent>
          </w:r>
          <w:r w:rsidRPr="00C35086">
            <w:rPr>
              <w:rFonts w:asciiTheme="minorHAnsi" w:hAnsiTheme="minorHAnsi" w:cstheme="minorHAnsi"/>
              <w:bCs/>
              <w:color w:val="FFFFFF" w:themeColor="background1"/>
            </w:rPr>
            <w:t>paymenttimes.gov.au</w:t>
          </w:r>
        </w:p>
      </w:tc>
      <w:tc>
        <w:tcPr>
          <w:tcW w:w="5953" w:type="dxa"/>
          <w:shd w:val="clear" w:color="auto" w:fill="auto"/>
          <w:vAlign w:val="center"/>
        </w:tcPr>
        <w:p w14:paraId="3BED7422" w14:textId="2CE31379" w:rsidR="00AF0C9D" w:rsidRPr="00C35086" w:rsidRDefault="00AF0C9D" w:rsidP="00D8053A">
          <w:pPr>
            <w:pStyle w:val="HeaderOdd"/>
            <w:tabs>
              <w:tab w:val="left" w:pos="0"/>
            </w:tabs>
            <w:jc w:val="left"/>
            <w:rPr>
              <w:rFonts w:asciiTheme="minorHAnsi" w:hAnsiTheme="minorHAnsi" w:cstheme="minorHAnsi"/>
            </w:rPr>
          </w:pPr>
          <w:r w:rsidRPr="00C35086">
            <w:rPr>
              <w:rFonts w:cstheme="minorHAnsi"/>
              <w:b/>
              <w:bCs/>
              <w:noProof/>
              <w:color w:val="FFFFFF" w:themeColor="background1"/>
            </w:rPr>
            <w:drawing>
              <wp:anchor distT="0" distB="0" distL="114300" distR="114300" simplePos="0" relativeHeight="251658250" behindDoc="1" locked="0" layoutInCell="1" allowOverlap="1" wp14:anchorId="091459A1" wp14:editId="56FCBB09">
                <wp:simplePos x="0" y="0"/>
                <wp:positionH relativeFrom="column">
                  <wp:posOffset>1203325</wp:posOffset>
                </wp:positionH>
                <wp:positionV relativeFrom="paragraph">
                  <wp:posOffset>-77470</wp:posOffset>
                </wp:positionV>
                <wp:extent cx="194310" cy="194310"/>
                <wp:effectExtent l="0" t="0" r="0" b="0"/>
                <wp:wrapThrough wrapText="bothSides">
                  <wp:wrapPolygon edited="0">
                    <wp:start x="0" y="0"/>
                    <wp:lineTo x="0" y="19059"/>
                    <wp:lineTo x="19059" y="19059"/>
                    <wp:lineTo x="19059" y="0"/>
                    <wp:lineTo x="0" y="0"/>
                  </wp:wrapPolygon>
                </wp:wrapThrough>
                <wp:docPr id="437614853" name="Graphic 43761485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Cs/>
              <w:color w:val="FFFFFF" w:themeColor="background1"/>
            </w:rPr>
            <w:t>support@paymenttimes.gov.au</w:t>
          </w:r>
        </w:p>
      </w:tc>
      <w:tc>
        <w:tcPr>
          <w:tcW w:w="1985" w:type="dxa"/>
          <w:shd w:val="clear" w:color="auto" w:fill="auto"/>
          <w:vAlign w:val="center"/>
        </w:tcPr>
        <w:p w14:paraId="1F8D00FD" w14:textId="3E271BD6" w:rsidR="00AF0C9D" w:rsidRPr="00C35086" w:rsidRDefault="775A47B9" w:rsidP="775A47B9">
          <w:pPr>
            <w:pStyle w:val="HeaderOdd"/>
            <w:rPr>
              <w:rFonts w:asciiTheme="minorHAnsi" w:hAnsiTheme="minorHAnsi" w:cstheme="minorBidi"/>
            </w:rPr>
          </w:pPr>
          <w:r w:rsidRPr="775A47B9">
            <w:rPr>
              <w:rFonts w:asciiTheme="minorHAnsi" w:hAnsiTheme="minorHAnsi" w:cstheme="minorBidi"/>
              <w:color w:val="FFFFFF" w:themeColor="background1"/>
            </w:rPr>
            <w:t xml:space="preserve">Page </w:t>
          </w:r>
          <w:r w:rsidR="00AF0C9D" w:rsidRPr="775A47B9">
            <w:rPr>
              <w:rFonts w:cstheme="minorBidi"/>
              <w:color w:val="FFFFFF" w:themeColor="background1"/>
              <w:sz w:val="24"/>
              <w:szCs w:val="24"/>
            </w:rPr>
            <w:fldChar w:fldCharType="begin"/>
          </w:r>
          <w:r w:rsidR="00AF0C9D" w:rsidRPr="775A47B9">
            <w:rPr>
              <w:rFonts w:asciiTheme="minorHAnsi" w:hAnsiTheme="minorHAnsi" w:cstheme="minorBidi"/>
              <w:color w:val="FFFFFF" w:themeColor="background1"/>
            </w:rPr>
            <w:instrText xml:space="preserve"> PAGE </w:instrText>
          </w:r>
          <w:r w:rsidR="00AF0C9D" w:rsidRPr="775A47B9">
            <w:rPr>
              <w:rFonts w:cstheme="minorBidi"/>
              <w:color w:val="FFFFFF" w:themeColor="background1"/>
              <w:sz w:val="24"/>
              <w:szCs w:val="24"/>
            </w:rPr>
            <w:fldChar w:fldCharType="separate"/>
          </w:r>
          <w:r w:rsidRPr="775A47B9">
            <w:rPr>
              <w:rFonts w:cstheme="minorBidi"/>
              <w:color w:val="FFFFFF" w:themeColor="background1"/>
              <w:sz w:val="24"/>
              <w:szCs w:val="24"/>
            </w:rPr>
            <w:t>9</w:t>
          </w:r>
          <w:r w:rsidR="00AF0C9D" w:rsidRPr="775A47B9">
            <w:rPr>
              <w:rFonts w:cstheme="minorBidi"/>
              <w:color w:val="FFFFFF" w:themeColor="background1"/>
              <w:sz w:val="24"/>
              <w:szCs w:val="24"/>
            </w:rPr>
            <w:fldChar w:fldCharType="end"/>
          </w:r>
          <w:r w:rsidRPr="775A47B9">
            <w:rPr>
              <w:rFonts w:asciiTheme="minorHAnsi" w:hAnsiTheme="minorHAnsi" w:cstheme="minorBidi"/>
              <w:color w:val="FFFFFF" w:themeColor="background1"/>
            </w:rPr>
            <w:t xml:space="preserve"> of </w:t>
          </w:r>
          <w:r w:rsidR="00811358">
            <w:rPr>
              <w:rFonts w:asciiTheme="minorHAnsi" w:hAnsiTheme="minorHAnsi" w:cstheme="minorBidi"/>
              <w:color w:val="FFFFFF" w:themeColor="background1"/>
            </w:rPr>
            <w:t>1</w:t>
          </w:r>
          <w:r w:rsidR="00384971">
            <w:rPr>
              <w:rFonts w:asciiTheme="minorHAnsi" w:hAnsiTheme="minorHAnsi" w:cstheme="minorBidi"/>
              <w:color w:val="FFFFFF" w:themeColor="background1"/>
            </w:rPr>
            <w:t>8</w:t>
          </w:r>
        </w:p>
      </w:tc>
    </w:tr>
  </w:tbl>
  <w:p w14:paraId="60B5174A" w14:textId="1E6EE280" w:rsidR="00AF0C9D" w:rsidRPr="00F60198" w:rsidRDefault="00061778" w:rsidP="00F60198">
    <w:pPr>
      <w:pStyle w:val="FooterOdd"/>
    </w:pPr>
    <w:r w:rsidRPr="000E4466">
      <w:rPr>
        <w:b/>
        <w:bCs/>
        <w:noProof/>
        <w:color w:val="FFFFFF" w:themeColor="background1"/>
      </w:rPr>
      <w:drawing>
        <wp:anchor distT="0" distB="0" distL="114300" distR="114300" simplePos="0" relativeHeight="251658251" behindDoc="1" locked="0" layoutInCell="1" allowOverlap="1" wp14:anchorId="7EC9A3EC" wp14:editId="0F105AEB">
          <wp:simplePos x="0" y="0"/>
          <wp:positionH relativeFrom="page">
            <wp:align>right</wp:align>
          </wp:positionH>
          <wp:positionV relativeFrom="paragraph">
            <wp:posOffset>-597468</wp:posOffset>
          </wp:positionV>
          <wp:extent cx="7560912" cy="933450"/>
          <wp:effectExtent l="0" t="0" r="2540" b="0"/>
          <wp:wrapNone/>
          <wp:docPr id="1264987263" name="Picture 126498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0912" cy="93345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B353" w14:textId="3C213DB4" w:rsidR="00B503CC" w:rsidRDefault="00985B32" w:rsidP="007A05B8">
    <w:pPr>
      <w:pStyle w:val="Footer"/>
      <w:jc w:val="right"/>
    </w:pPr>
    <w:r>
      <w:tab/>
    </w:r>
    <w:r>
      <w:tab/>
    </w:r>
    <w:r>
      <w:tab/>
    </w:r>
    <w:r>
      <w:tab/>
    </w:r>
    <w:r>
      <w:tab/>
    </w:r>
    <w:r>
      <w:tab/>
    </w:r>
    <w:r>
      <w:tab/>
    </w:r>
    <w:r>
      <w:tab/>
    </w:r>
    <w:r w:rsidR="00D70DD2">
      <w:t>Page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FD24" w14:textId="77777777" w:rsidR="00004BA9" w:rsidRDefault="00004BA9">
      <w:pPr>
        <w:spacing w:before="0" w:after="0"/>
      </w:pPr>
      <w:r>
        <w:separator/>
      </w:r>
    </w:p>
  </w:footnote>
  <w:footnote w:type="continuationSeparator" w:id="0">
    <w:p w14:paraId="0A2EC635" w14:textId="77777777" w:rsidR="00004BA9" w:rsidRDefault="00004BA9">
      <w:pPr>
        <w:spacing w:before="0" w:after="0"/>
      </w:pPr>
      <w:r>
        <w:continuationSeparator/>
      </w:r>
    </w:p>
  </w:footnote>
  <w:footnote w:type="continuationNotice" w:id="1">
    <w:p w14:paraId="45BF20E3" w14:textId="77777777" w:rsidR="00004BA9" w:rsidRDefault="00004B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3891" w14:textId="5E240A8B" w:rsidR="00653622" w:rsidRPr="00676943" w:rsidRDefault="00653622" w:rsidP="00676943">
    <w:pPr>
      <w:pStyle w:val="Header"/>
      <w:rPr>
        <w:b/>
        <w:bCs/>
        <w:color w:val="FFFFFF" w:themeColor="background1"/>
      </w:rPr>
    </w:pPr>
    <w:r w:rsidRPr="000E4466">
      <w:rPr>
        <w:b/>
        <w:bCs/>
        <w:noProof/>
        <w:color w:val="FFFFFF" w:themeColor="background1"/>
      </w:rPr>
      <w:drawing>
        <wp:anchor distT="0" distB="0" distL="114300" distR="114300" simplePos="0" relativeHeight="251658244" behindDoc="1" locked="0" layoutInCell="1" allowOverlap="1" wp14:anchorId="2B69B332" wp14:editId="110C5891">
          <wp:simplePos x="0" y="0"/>
          <wp:positionH relativeFrom="page">
            <wp:align>right</wp:align>
          </wp:positionH>
          <wp:positionV relativeFrom="paragraph">
            <wp:posOffset>-442290</wp:posOffset>
          </wp:positionV>
          <wp:extent cx="10689946" cy="856551"/>
          <wp:effectExtent l="0" t="0" r="0" b="1270"/>
          <wp:wrapNone/>
          <wp:docPr id="2012489934" name="Picture 201248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89946" cy="856551"/>
                  </a:xfrm>
                  <a:prstGeom prst="rect">
                    <a:avLst/>
                  </a:prstGeom>
                </pic:spPr>
              </pic:pic>
            </a:graphicData>
          </a:graphic>
          <wp14:sizeRelH relativeFrom="page">
            <wp14:pctWidth>0</wp14:pctWidth>
          </wp14:sizeRelH>
          <wp14:sizeRelV relativeFrom="page">
            <wp14:pctHeight>0</wp14:pctHeight>
          </wp14:sizeRelV>
        </wp:anchor>
      </w:drawing>
    </w:r>
    <w:r>
      <w:rPr>
        <w:bCs/>
        <w:color w:val="FFFFFF" w:themeColor="background1"/>
      </w:rPr>
      <w:t xml:space="preserve">Payment Times Reporting Regulator | </w:t>
    </w:r>
    <w:r w:rsidR="00676943">
      <w:rPr>
        <w:b/>
        <w:bCs/>
        <w:color w:val="FFFFFF" w:themeColor="background1"/>
      </w:rPr>
      <w:t>September 2024 Stakeholder Liaison Forum</w:t>
    </w:r>
    <w:r w:rsidR="00003B23">
      <w:rPr>
        <w:b/>
        <w:bCs/>
        <w:color w:val="FFFFFF" w:themeColor="background1"/>
      </w:rPr>
      <w:t xml:space="preserve"> Questions</w:t>
    </w:r>
    <w:r w:rsidR="004739F2">
      <w:rPr>
        <w:b/>
        <w:bCs/>
        <w:color w:val="FFFFFF" w:themeColor="background1"/>
      </w:rPr>
      <w:t xml:space="preserve"> </w:t>
    </w:r>
  </w:p>
  <w:p w14:paraId="3EC13284" w14:textId="77777777" w:rsidR="00653622" w:rsidRDefault="0065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D032" w14:textId="446D5F2F" w:rsidR="00AB7401" w:rsidRDefault="00AB7401">
    <w:pPr>
      <w:pStyle w:val="Header"/>
    </w:pPr>
    <w:r>
      <w:rPr>
        <w:noProof/>
      </w:rPr>
      <w:drawing>
        <wp:anchor distT="0" distB="0" distL="114300" distR="114300" simplePos="0" relativeHeight="251658240" behindDoc="1" locked="0" layoutInCell="1" allowOverlap="1" wp14:anchorId="32E9766A" wp14:editId="393639F6">
          <wp:simplePos x="0" y="0"/>
          <wp:positionH relativeFrom="page">
            <wp:align>left</wp:align>
          </wp:positionH>
          <wp:positionV relativeFrom="page">
            <wp:posOffset>-257175</wp:posOffset>
          </wp:positionV>
          <wp:extent cx="7553325" cy="3076575"/>
          <wp:effectExtent l="0" t="0" r="9525" b="9525"/>
          <wp:wrapNone/>
          <wp:docPr id="1163254498" name="Picture 1163254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3325" cy="30765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7AE0" w14:textId="6BC69F5E" w:rsidR="00B503CC" w:rsidRPr="001F3912" w:rsidRDefault="002D1D39" w:rsidP="00A12F62">
    <w:pPr>
      <w:pStyle w:val="HeaderEven"/>
    </w:pPr>
    <w:r>
      <w:fldChar w:fldCharType="begin"/>
    </w:r>
    <w:r>
      <w:instrText>STYLEREF  Title  \* MERGEFORMAT</w:instrText>
    </w:r>
    <w:r>
      <w:fldChar w:fldCharType="separate"/>
    </w:r>
    <w:r w:rsidR="008E4A0E">
      <w:rPr>
        <w:noProof/>
      </w:rPr>
      <w:t>September 2024 Liaison Forum</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6811" w14:textId="61FAAE6C" w:rsidR="00082C01" w:rsidRPr="00F836F9" w:rsidRDefault="00082C01" w:rsidP="00D8053A">
    <w:pPr>
      <w:pStyle w:val="Header"/>
      <w:ind w:right="-2218"/>
    </w:pPr>
    <w:r w:rsidRPr="000E4466">
      <w:rPr>
        <w:b/>
        <w:bCs/>
        <w:noProof/>
        <w:color w:val="FFFFFF" w:themeColor="background1"/>
      </w:rPr>
      <w:drawing>
        <wp:anchor distT="0" distB="0" distL="114300" distR="114300" simplePos="0" relativeHeight="251658248" behindDoc="1" locked="0" layoutInCell="1" allowOverlap="1" wp14:anchorId="2F12422C" wp14:editId="543C8C90">
          <wp:simplePos x="0" y="0"/>
          <wp:positionH relativeFrom="page">
            <wp:align>left</wp:align>
          </wp:positionH>
          <wp:positionV relativeFrom="paragraph">
            <wp:posOffset>-440031</wp:posOffset>
          </wp:positionV>
          <wp:extent cx="7554914" cy="904775"/>
          <wp:effectExtent l="0" t="0" r="0" b="0"/>
          <wp:wrapNone/>
          <wp:docPr id="856313255" name="Picture 85631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13073" cy="911740"/>
                  </a:xfrm>
                  <a:prstGeom prst="rect">
                    <a:avLst/>
                  </a:prstGeom>
                </pic:spPr>
              </pic:pic>
            </a:graphicData>
          </a:graphic>
          <wp14:sizeRelH relativeFrom="page">
            <wp14:pctWidth>0</wp14:pctWidth>
          </wp14:sizeRelH>
          <wp14:sizeRelV relativeFrom="page">
            <wp14:pctHeight>0</wp14:pctHeight>
          </wp14:sizeRelV>
        </wp:anchor>
      </w:drawing>
    </w:r>
    <w:r>
      <w:rPr>
        <w:bCs/>
        <w:color w:val="FFFFFF" w:themeColor="background1"/>
      </w:rPr>
      <w:t xml:space="preserve">Payment Times Reporting Regulator | </w:t>
    </w:r>
    <w:r w:rsidR="00D42418">
      <w:rPr>
        <w:b/>
        <w:bCs/>
        <w:color w:val="FFFFFF" w:themeColor="background1"/>
      </w:rPr>
      <w:t>September</w:t>
    </w:r>
    <w:r w:rsidR="00676943">
      <w:rPr>
        <w:b/>
        <w:bCs/>
        <w:color w:val="FFFFFF" w:themeColor="background1"/>
      </w:rPr>
      <w:t xml:space="preserve"> 2024 Stakeholder Liaison Forum</w:t>
    </w:r>
    <w:r w:rsidR="00003B23">
      <w:rPr>
        <w:b/>
        <w:bCs/>
        <w:color w:val="FFFFFF" w:themeColor="background1"/>
      </w:rPr>
      <w:t xml:space="preserve"> Questions</w:t>
    </w:r>
  </w:p>
  <w:p w14:paraId="60378F68" w14:textId="3B53C5C9" w:rsidR="00B503CC" w:rsidRPr="00082C01" w:rsidRDefault="00B503CC" w:rsidP="00082C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B121" w14:textId="77777777" w:rsidR="00B503CC" w:rsidRDefault="00B5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6947"/>
        </w:tabs>
        <w:ind w:left="6947" w:hanging="283"/>
      </w:pPr>
      <w:rPr>
        <w:rFonts w:ascii="Times New Roman" w:hAnsi="Times New Roman" w:cs="Times New Roman" w:hint="default"/>
        <w:b w:val="0"/>
        <w:i w:val="0"/>
        <w:sz w:val="20"/>
      </w:rPr>
    </w:lvl>
    <w:lvl w:ilvl="1">
      <w:start w:val="1"/>
      <w:numFmt w:val="bullet"/>
      <w:pStyle w:val="BoxDash"/>
      <w:lvlText w:val="–"/>
      <w:lvlJc w:val="left"/>
      <w:pPr>
        <w:tabs>
          <w:tab w:val="num" w:pos="7231"/>
        </w:tabs>
        <w:ind w:left="7231" w:hanging="284"/>
      </w:pPr>
      <w:rPr>
        <w:rFonts w:hint="default"/>
        <w:b w:val="0"/>
        <w:i w:val="0"/>
      </w:rPr>
    </w:lvl>
    <w:lvl w:ilvl="2">
      <w:start w:val="1"/>
      <w:numFmt w:val="bullet"/>
      <w:pStyle w:val="BoxDoubleDot"/>
      <w:lvlText w:val=":"/>
      <w:lvlJc w:val="left"/>
      <w:pPr>
        <w:tabs>
          <w:tab w:val="num" w:pos="7514"/>
        </w:tabs>
        <w:ind w:left="7514" w:hanging="283"/>
      </w:pPr>
      <w:rPr>
        <w:rFonts w:hint="default"/>
        <w:b w:val="0"/>
        <w:i w:val="0"/>
      </w:rPr>
    </w:lvl>
    <w:lvl w:ilvl="3">
      <w:start w:val="1"/>
      <w:numFmt w:val="decimal"/>
      <w:lvlText w:val="(%4)"/>
      <w:lvlJc w:val="left"/>
      <w:pPr>
        <w:tabs>
          <w:tab w:val="num" w:pos="8104"/>
        </w:tabs>
        <w:ind w:left="8104" w:hanging="360"/>
      </w:pPr>
      <w:rPr>
        <w:rFonts w:hint="default"/>
        <w:b w:val="0"/>
        <w:i w:val="0"/>
      </w:rPr>
    </w:lvl>
    <w:lvl w:ilvl="4">
      <w:start w:val="1"/>
      <w:numFmt w:val="lowerLetter"/>
      <w:lvlText w:val="(%5)"/>
      <w:lvlJc w:val="left"/>
      <w:pPr>
        <w:tabs>
          <w:tab w:val="num" w:pos="8464"/>
        </w:tabs>
        <w:ind w:left="8464" w:hanging="360"/>
      </w:pPr>
      <w:rPr>
        <w:rFonts w:hint="default"/>
        <w:b w:val="0"/>
        <w:i w:val="0"/>
      </w:rPr>
    </w:lvl>
    <w:lvl w:ilvl="5">
      <w:start w:val="1"/>
      <w:numFmt w:val="lowerRoman"/>
      <w:lvlText w:val="(%6)"/>
      <w:lvlJc w:val="left"/>
      <w:pPr>
        <w:tabs>
          <w:tab w:val="num" w:pos="8824"/>
        </w:tabs>
        <w:ind w:left="8824" w:hanging="360"/>
      </w:pPr>
      <w:rPr>
        <w:rFonts w:hint="default"/>
        <w:b w:val="0"/>
        <w:i w:val="0"/>
      </w:rPr>
    </w:lvl>
    <w:lvl w:ilvl="6">
      <w:start w:val="1"/>
      <w:numFmt w:val="decimal"/>
      <w:lvlText w:val="%7."/>
      <w:lvlJc w:val="left"/>
      <w:pPr>
        <w:tabs>
          <w:tab w:val="num" w:pos="9184"/>
        </w:tabs>
        <w:ind w:left="9184" w:hanging="360"/>
      </w:pPr>
      <w:rPr>
        <w:rFonts w:hint="default"/>
        <w:b w:val="0"/>
        <w:i w:val="0"/>
      </w:rPr>
    </w:lvl>
    <w:lvl w:ilvl="7">
      <w:start w:val="1"/>
      <w:numFmt w:val="lowerLetter"/>
      <w:lvlText w:val="%8."/>
      <w:lvlJc w:val="left"/>
      <w:pPr>
        <w:tabs>
          <w:tab w:val="num" w:pos="9544"/>
        </w:tabs>
        <w:ind w:left="9544" w:hanging="360"/>
      </w:pPr>
      <w:rPr>
        <w:rFonts w:hint="default"/>
        <w:b w:val="0"/>
        <w:i w:val="0"/>
      </w:rPr>
    </w:lvl>
    <w:lvl w:ilvl="8">
      <w:start w:val="1"/>
      <w:numFmt w:val="lowerRoman"/>
      <w:lvlText w:val="%9."/>
      <w:lvlJc w:val="left"/>
      <w:pPr>
        <w:tabs>
          <w:tab w:val="num" w:pos="9904"/>
        </w:tabs>
        <w:ind w:left="9904"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C4E5D"/>
    <w:multiLevelType w:val="multilevel"/>
    <w:tmpl w:val="D10E9CF6"/>
    <w:numStyleLink w:val="OneLevelList"/>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12B3F"/>
    <w:multiLevelType w:val="hybridMultilevel"/>
    <w:tmpl w:val="5C88472E"/>
    <w:lvl w:ilvl="0" w:tplc="65667D4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4401EE"/>
    <w:multiLevelType w:val="hybridMultilevel"/>
    <w:tmpl w:val="E5FA4120"/>
    <w:lvl w:ilvl="0" w:tplc="AB38F328">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172988"/>
    <w:multiLevelType w:val="hybridMultilevel"/>
    <w:tmpl w:val="E932B31E"/>
    <w:lvl w:ilvl="0" w:tplc="2578E9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0D2021"/>
    <w:multiLevelType w:val="multilevel"/>
    <w:tmpl w:val="72F8140E"/>
    <w:numStyleLink w:val="OutlineList"/>
  </w:abstractNum>
  <w:abstractNum w:abstractNumId="12" w15:restartNumberingAfterBreak="0">
    <w:nsid w:val="54174729"/>
    <w:multiLevelType w:val="hybridMultilevel"/>
    <w:tmpl w:val="3E76C6B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2E10FD"/>
    <w:multiLevelType w:val="hybridMultilevel"/>
    <w:tmpl w:val="461E58FE"/>
    <w:lvl w:ilvl="0" w:tplc="E0804B1E">
      <w:numFmt w:val="bullet"/>
      <w:pStyle w:val="ListParagraph"/>
      <w:lvlText w:val=""/>
      <w:lvlJc w:val="left"/>
      <w:pPr>
        <w:ind w:left="720" w:hanging="360"/>
      </w:pPr>
      <w:rPr>
        <w:rFonts w:ascii="Symbol" w:hAnsi="Symbol" w:cstheme="minorBidi" w:hint="default"/>
        <w:color w:val="465976"/>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C44DE7"/>
    <w:multiLevelType w:val="hybridMultilevel"/>
    <w:tmpl w:val="B1440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BA2312"/>
    <w:multiLevelType w:val="hybridMultilevel"/>
    <w:tmpl w:val="1B54A8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0599228">
    <w:abstractNumId w:val="7"/>
    <w:lvlOverride w:ilvl="0">
      <w:lvl w:ilvl="0">
        <w:start w:val="1"/>
        <w:numFmt w:val="bullet"/>
        <w:lvlRestart w:val="0"/>
        <w:pStyle w:val="Bullet"/>
        <w:lvlText w:val="•"/>
        <w:lvlJc w:val="left"/>
        <w:pPr>
          <w:tabs>
            <w:tab w:val="num" w:pos="1003"/>
          </w:tabs>
          <w:ind w:left="1003" w:hanging="283"/>
        </w:pPr>
        <w:rPr>
          <w:rFonts w:ascii="Times New Roman" w:hAnsi="Times New Roman" w:cs="Times New Roman" w:hint="default"/>
          <w:b w:val="0"/>
          <w:i w:val="0"/>
        </w:rPr>
      </w:lvl>
    </w:lvlOverride>
  </w:num>
  <w:num w:numId="2" w16cid:durableId="1886408823">
    <w:abstractNumId w:val="0"/>
  </w:num>
  <w:num w:numId="3" w16cid:durableId="89618968">
    <w:abstractNumId w:val="9"/>
  </w:num>
  <w:num w:numId="4" w16cid:durableId="218327011">
    <w:abstractNumId w:val="1"/>
  </w:num>
  <w:num w:numId="5" w16cid:durableId="2102874519">
    <w:abstractNumId w:val="2"/>
  </w:num>
  <w:num w:numId="6" w16cid:durableId="1469518616">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380791213">
    <w:abstractNumId w:val="3"/>
  </w:num>
  <w:num w:numId="8" w16cid:durableId="1730836754">
    <w:abstractNumId w:val="4"/>
  </w:num>
  <w:num w:numId="9" w16cid:durableId="1691298637">
    <w:abstractNumId w:val="11"/>
  </w:num>
  <w:num w:numId="10" w16cid:durableId="675690870">
    <w:abstractNumId w:val="8"/>
  </w:num>
  <w:num w:numId="11" w16cid:durableId="1626040297">
    <w:abstractNumId w:val="13"/>
  </w:num>
  <w:num w:numId="12" w16cid:durableId="227617543">
    <w:abstractNumId w:val="7"/>
  </w:num>
  <w:num w:numId="13" w16cid:durableId="507330233">
    <w:abstractNumId w:val="12"/>
  </w:num>
  <w:num w:numId="14" w16cid:durableId="750928335">
    <w:abstractNumId w:val="11"/>
  </w:num>
  <w:num w:numId="15" w16cid:durableId="96826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35738">
    <w:abstractNumId w:val="11"/>
  </w:num>
  <w:num w:numId="17" w16cid:durableId="5238343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272107">
    <w:abstractNumId w:val="11"/>
  </w:num>
  <w:num w:numId="19" w16cid:durableId="278877150">
    <w:abstractNumId w:val="11"/>
  </w:num>
  <w:num w:numId="20" w16cid:durableId="1202785816">
    <w:abstractNumId w:val="11"/>
    <w:lvlOverride w:ilvl="0">
      <w:lvl w:ilvl="0">
        <w:start w:val="1"/>
        <w:numFmt w:val="decimal"/>
        <w:pStyle w:val="OutlineNumbered1"/>
        <w:lvlText w:val="%1."/>
        <w:lvlJc w:val="left"/>
        <w:pPr>
          <w:tabs>
            <w:tab w:val="num" w:pos="851"/>
          </w:tabs>
          <w:ind w:left="851" w:hanging="851"/>
        </w:pPr>
        <w:rPr>
          <w:rFonts w:hint="default"/>
        </w:rPr>
      </w:lvl>
    </w:lvlOverride>
  </w:num>
  <w:num w:numId="21" w16cid:durableId="1908689283">
    <w:abstractNumId w:val="11"/>
    <w:lvlOverride w:ilvl="0">
      <w:lvl w:ilvl="0">
        <w:start w:val="1"/>
        <w:numFmt w:val="decimal"/>
        <w:pStyle w:val="OutlineNumbered1"/>
        <w:lvlText w:val="%1."/>
        <w:lvlJc w:val="left"/>
        <w:pPr>
          <w:tabs>
            <w:tab w:val="num" w:pos="851"/>
          </w:tabs>
          <w:ind w:left="851" w:hanging="851"/>
        </w:pPr>
        <w:rPr>
          <w:rFonts w:hint="default"/>
        </w:rPr>
      </w:lvl>
    </w:lvlOverride>
  </w:num>
  <w:num w:numId="22" w16cid:durableId="1902861951">
    <w:abstractNumId w:val="11"/>
  </w:num>
  <w:num w:numId="23" w16cid:durableId="110707142">
    <w:abstractNumId w:val="11"/>
  </w:num>
  <w:num w:numId="24" w16cid:durableId="524368972">
    <w:abstractNumId w:val="11"/>
  </w:num>
  <w:num w:numId="25" w16cid:durableId="2115007239">
    <w:abstractNumId w:val="11"/>
  </w:num>
  <w:num w:numId="26" w16cid:durableId="1777362630">
    <w:abstractNumId w:val="11"/>
  </w:num>
  <w:num w:numId="27" w16cid:durableId="97215056">
    <w:abstractNumId w:val="11"/>
  </w:num>
  <w:num w:numId="28" w16cid:durableId="1093551085">
    <w:abstractNumId w:val="11"/>
  </w:num>
  <w:num w:numId="29" w16cid:durableId="1760176415">
    <w:abstractNumId w:val="11"/>
  </w:num>
  <w:num w:numId="30" w16cid:durableId="837770592">
    <w:abstractNumId w:val="11"/>
  </w:num>
  <w:num w:numId="31" w16cid:durableId="1903448138">
    <w:abstractNumId w:val="11"/>
  </w:num>
  <w:num w:numId="32" w16cid:durableId="635062950">
    <w:abstractNumId w:val="11"/>
  </w:num>
  <w:num w:numId="33" w16cid:durableId="963392197">
    <w:abstractNumId w:val="11"/>
  </w:num>
  <w:num w:numId="34" w16cid:durableId="452947232">
    <w:abstractNumId w:val="11"/>
  </w:num>
  <w:num w:numId="35" w16cid:durableId="2094427443">
    <w:abstractNumId w:val="11"/>
  </w:num>
  <w:num w:numId="36" w16cid:durableId="450901017">
    <w:abstractNumId w:val="11"/>
  </w:num>
  <w:num w:numId="37" w16cid:durableId="637800227">
    <w:abstractNumId w:val="11"/>
  </w:num>
  <w:num w:numId="38" w16cid:durableId="159856512">
    <w:abstractNumId w:val="14"/>
  </w:num>
  <w:num w:numId="39" w16cid:durableId="184442860">
    <w:abstractNumId w:val="11"/>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438768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8333574">
    <w:abstractNumId w:val="11"/>
    <w:lvlOverride w:ilvl="0">
      <w:lvl w:ilvl="0">
        <w:start w:val="1"/>
        <w:numFmt w:val="decimal"/>
        <w:pStyle w:val="OutlineNumbered1"/>
        <w:lvlText w:val="%1."/>
        <w:lvlJc w:val="left"/>
        <w:pPr>
          <w:tabs>
            <w:tab w:val="num" w:pos="993"/>
          </w:tabs>
          <w:ind w:left="993" w:hanging="851"/>
        </w:pPr>
        <w:rPr>
          <w:rFonts w:hint="default"/>
        </w:rPr>
      </w:lvl>
    </w:lvlOverride>
  </w:num>
  <w:num w:numId="42" w16cid:durableId="312106268">
    <w:abstractNumId w:val="5"/>
  </w:num>
  <w:num w:numId="43" w16cid:durableId="1631015437">
    <w:abstractNumId w:val="10"/>
  </w:num>
  <w:num w:numId="44" w16cid:durableId="1268346198">
    <w:abstractNumId w:val="6"/>
  </w:num>
  <w:num w:numId="45" w16cid:durableId="40916156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F3"/>
    <w:rsid w:val="000002DF"/>
    <w:rsid w:val="000005D5"/>
    <w:rsid w:val="00000A41"/>
    <w:rsid w:val="0000193E"/>
    <w:rsid w:val="00001D4B"/>
    <w:rsid w:val="00001E50"/>
    <w:rsid w:val="0000206A"/>
    <w:rsid w:val="000025B3"/>
    <w:rsid w:val="00002861"/>
    <w:rsid w:val="00003B23"/>
    <w:rsid w:val="00004BA9"/>
    <w:rsid w:val="00005319"/>
    <w:rsid w:val="00005DF9"/>
    <w:rsid w:val="000065AC"/>
    <w:rsid w:val="00006AB8"/>
    <w:rsid w:val="00007696"/>
    <w:rsid w:val="00007C97"/>
    <w:rsid w:val="00010346"/>
    <w:rsid w:val="0001078D"/>
    <w:rsid w:val="00010EAD"/>
    <w:rsid w:val="000113D4"/>
    <w:rsid w:val="00011636"/>
    <w:rsid w:val="00011725"/>
    <w:rsid w:val="000120E0"/>
    <w:rsid w:val="00012645"/>
    <w:rsid w:val="00012C62"/>
    <w:rsid w:val="0001396A"/>
    <w:rsid w:val="00014373"/>
    <w:rsid w:val="00014949"/>
    <w:rsid w:val="00014FB2"/>
    <w:rsid w:val="00015539"/>
    <w:rsid w:val="00016524"/>
    <w:rsid w:val="0001676D"/>
    <w:rsid w:val="00016BA6"/>
    <w:rsid w:val="0002018C"/>
    <w:rsid w:val="000202CF"/>
    <w:rsid w:val="00020533"/>
    <w:rsid w:val="000215D4"/>
    <w:rsid w:val="00021A07"/>
    <w:rsid w:val="00021A53"/>
    <w:rsid w:val="00022517"/>
    <w:rsid w:val="000228B7"/>
    <w:rsid w:val="0002544D"/>
    <w:rsid w:val="00025495"/>
    <w:rsid w:val="00025C7D"/>
    <w:rsid w:val="00026121"/>
    <w:rsid w:val="00026DC8"/>
    <w:rsid w:val="00030F70"/>
    <w:rsid w:val="0003172C"/>
    <w:rsid w:val="00032188"/>
    <w:rsid w:val="00032909"/>
    <w:rsid w:val="00033CFC"/>
    <w:rsid w:val="000351E1"/>
    <w:rsid w:val="000358CB"/>
    <w:rsid w:val="000368D8"/>
    <w:rsid w:val="00040DA5"/>
    <w:rsid w:val="00041456"/>
    <w:rsid w:val="0004274D"/>
    <w:rsid w:val="00042788"/>
    <w:rsid w:val="00042FE9"/>
    <w:rsid w:val="00043196"/>
    <w:rsid w:val="00043348"/>
    <w:rsid w:val="0004357B"/>
    <w:rsid w:val="000445B5"/>
    <w:rsid w:val="0004483F"/>
    <w:rsid w:val="00044991"/>
    <w:rsid w:val="000457FF"/>
    <w:rsid w:val="000468C1"/>
    <w:rsid w:val="00047712"/>
    <w:rsid w:val="00051265"/>
    <w:rsid w:val="0005138B"/>
    <w:rsid w:val="000517A7"/>
    <w:rsid w:val="00051A8C"/>
    <w:rsid w:val="000522B7"/>
    <w:rsid w:val="00054E2F"/>
    <w:rsid w:val="00054F5C"/>
    <w:rsid w:val="00055595"/>
    <w:rsid w:val="00055E02"/>
    <w:rsid w:val="00056309"/>
    <w:rsid w:val="00056880"/>
    <w:rsid w:val="000569EA"/>
    <w:rsid w:val="00057AB7"/>
    <w:rsid w:val="0006023C"/>
    <w:rsid w:val="0006024D"/>
    <w:rsid w:val="00060B3C"/>
    <w:rsid w:val="00060C02"/>
    <w:rsid w:val="00061586"/>
    <w:rsid w:val="00061778"/>
    <w:rsid w:val="00061FC6"/>
    <w:rsid w:val="000627AE"/>
    <w:rsid w:val="00062E75"/>
    <w:rsid w:val="00063399"/>
    <w:rsid w:val="000642FE"/>
    <w:rsid w:val="000659E0"/>
    <w:rsid w:val="000662E6"/>
    <w:rsid w:val="00066BC3"/>
    <w:rsid w:val="0006701F"/>
    <w:rsid w:val="000674C2"/>
    <w:rsid w:val="000675D1"/>
    <w:rsid w:val="00070203"/>
    <w:rsid w:val="000703A9"/>
    <w:rsid w:val="000708FB"/>
    <w:rsid w:val="00070977"/>
    <w:rsid w:val="00070B46"/>
    <w:rsid w:val="00070D0E"/>
    <w:rsid w:val="000717D6"/>
    <w:rsid w:val="00073521"/>
    <w:rsid w:val="00073B10"/>
    <w:rsid w:val="00073F07"/>
    <w:rsid w:val="0007450C"/>
    <w:rsid w:val="0007458F"/>
    <w:rsid w:val="000757CD"/>
    <w:rsid w:val="000775DE"/>
    <w:rsid w:val="00080066"/>
    <w:rsid w:val="000803D2"/>
    <w:rsid w:val="00080A7E"/>
    <w:rsid w:val="00080D77"/>
    <w:rsid w:val="00082437"/>
    <w:rsid w:val="00082C01"/>
    <w:rsid w:val="000849F8"/>
    <w:rsid w:val="000868BF"/>
    <w:rsid w:val="00086EF3"/>
    <w:rsid w:val="00087C5A"/>
    <w:rsid w:val="00087FAF"/>
    <w:rsid w:val="0009166C"/>
    <w:rsid w:val="000916F4"/>
    <w:rsid w:val="00092A09"/>
    <w:rsid w:val="0009352C"/>
    <w:rsid w:val="00093568"/>
    <w:rsid w:val="00095008"/>
    <w:rsid w:val="000963FC"/>
    <w:rsid w:val="00096C42"/>
    <w:rsid w:val="00097D4D"/>
    <w:rsid w:val="000A0D4B"/>
    <w:rsid w:val="000A1C68"/>
    <w:rsid w:val="000A2E44"/>
    <w:rsid w:val="000A4544"/>
    <w:rsid w:val="000A4FD6"/>
    <w:rsid w:val="000A68A0"/>
    <w:rsid w:val="000B0667"/>
    <w:rsid w:val="000B0C2D"/>
    <w:rsid w:val="000B1773"/>
    <w:rsid w:val="000B2192"/>
    <w:rsid w:val="000B34E4"/>
    <w:rsid w:val="000B361A"/>
    <w:rsid w:val="000B3BFE"/>
    <w:rsid w:val="000B4703"/>
    <w:rsid w:val="000B56F0"/>
    <w:rsid w:val="000B692E"/>
    <w:rsid w:val="000B728F"/>
    <w:rsid w:val="000B77F4"/>
    <w:rsid w:val="000C10D6"/>
    <w:rsid w:val="000C1724"/>
    <w:rsid w:val="000C1A63"/>
    <w:rsid w:val="000C1D2C"/>
    <w:rsid w:val="000C214F"/>
    <w:rsid w:val="000C225C"/>
    <w:rsid w:val="000C244B"/>
    <w:rsid w:val="000C2A83"/>
    <w:rsid w:val="000C351D"/>
    <w:rsid w:val="000C38CC"/>
    <w:rsid w:val="000C3AEA"/>
    <w:rsid w:val="000C571D"/>
    <w:rsid w:val="000C57BC"/>
    <w:rsid w:val="000C5B1F"/>
    <w:rsid w:val="000C5F40"/>
    <w:rsid w:val="000C61C7"/>
    <w:rsid w:val="000C6208"/>
    <w:rsid w:val="000C74B2"/>
    <w:rsid w:val="000C7637"/>
    <w:rsid w:val="000C7A71"/>
    <w:rsid w:val="000C7B14"/>
    <w:rsid w:val="000C7CB4"/>
    <w:rsid w:val="000C7FEC"/>
    <w:rsid w:val="000D0DE1"/>
    <w:rsid w:val="000D248B"/>
    <w:rsid w:val="000D267D"/>
    <w:rsid w:val="000D2C4B"/>
    <w:rsid w:val="000D3DC5"/>
    <w:rsid w:val="000D4676"/>
    <w:rsid w:val="000D4B95"/>
    <w:rsid w:val="000D5583"/>
    <w:rsid w:val="000D6DBE"/>
    <w:rsid w:val="000E0149"/>
    <w:rsid w:val="000E04E5"/>
    <w:rsid w:val="000E0B74"/>
    <w:rsid w:val="000E1549"/>
    <w:rsid w:val="000E2132"/>
    <w:rsid w:val="000E27D4"/>
    <w:rsid w:val="000E35CF"/>
    <w:rsid w:val="000E4C7E"/>
    <w:rsid w:val="000E535C"/>
    <w:rsid w:val="000E5571"/>
    <w:rsid w:val="000E5DCE"/>
    <w:rsid w:val="000E6049"/>
    <w:rsid w:val="000E6F0F"/>
    <w:rsid w:val="000E7736"/>
    <w:rsid w:val="000E7901"/>
    <w:rsid w:val="000F042F"/>
    <w:rsid w:val="000F07BA"/>
    <w:rsid w:val="000F0DE3"/>
    <w:rsid w:val="000F15C8"/>
    <w:rsid w:val="000F1664"/>
    <w:rsid w:val="000F1B27"/>
    <w:rsid w:val="000F2F60"/>
    <w:rsid w:val="000F3D64"/>
    <w:rsid w:val="000F3E48"/>
    <w:rsid w:val="000F48A5"/>
    <w:rsid w:val="000F5B9F"/>
    <w:rsid w:val="000F5F4A"/>
    <w:rsid w:val="000F65D8"/>
    <w:rsid w:val="000F7023"/>
    <w:rsid w:val="001003A2"/>
    <w:rsid w:val="0010145A"/>
    <w:rsid w:val="00101B45"/>
    <w:rsid w:val="00101E27"/>
    <w:rsid w:val="00102BF2"/>
    <w:rsid w:val="00102EBE"/>
    <w:rsid w:val="00103FC1"/>
    <w:rsid w:val="00104782"/>
    <w:rsid w:val="00104F7F"/>
    <w:rsid w:val="00105353"/>
    <w:rsid w:val="0010538C"/>
    <w:rsid w:val="001071C6"/>
    <w:rsid w:val="00107B07"/>
    <w:rsid w:val="00110463"/>
    <w:rsid w:val="0011193A"/>
    <w:rsid w:val="00111B10"/>
    <w:rsid w:val="00111B12"/>
    <w:rsid w:val="0011208D"/>
    <w:rsid w:val="001124E1"/>
    <w:rsid w:val="00112DED"/>
    <w:rsid w:val="00116105"/>
    <w:rsid w:val="00116972"/>
    <w:rsid w:val="00116BB9"/>
    <w:rsid w:val="00117058"/>
    <w:rsid w:val="00117566"/>
    <w:rsid w:val="00120BDF"/>
    <w:rsid w:val="00121CED"/>
    <w:rsid w:val="00121EE7"/>
    <w:rsid w:val="001240DA"/>
    <w:rsid w:val="00124B37"/>
    <w:rsid w:val="00125D7C"/>
    <w:rsid w:val="00126478"/>
    <w:rsid w:val="001301A7"/>
    <w:rsid w:val="001305D4"/>
    <w:rsid w:val="001307CD"/>
    <w:rsid w:val="001309AC"/>
    <w:rsid w:val="00131DC3"/>
    <w:rsid w:val="00133508"/>
    <w:rsid w:val="0013377D"/>
    <w:rsid w:val="00134044"/>
    <w:rsid w:val="0013556A"/>
    <w:rsid w:val="00135E27"/>
    <w:rsid w:val="00135E4C"/>
    <w:rsid w:val="00136384"/>
    <w:rsid w:val="00137113"/>
    <w:rsid w:val="001373F5"/>
    <w:rsid w:val="00137489"/>
    <w:rsid w:val="00140084"/>
    <w:rsid w:val="00141786"/>
    <w:rsid w:val="00141FCB"/>
    <w:rsid w:val="001426FB"/>
    <w:rsid w:val="001431E0"/>
    <w:rsid w:val="00143477"/>
    <w:rsid w:val="00145BBD"/>
    <w:rsid w:val="001467E9"/>
    <w:rsid w:val="00146C2A"/>
    <w:rsid w:val="00147DE2"/>
    <w:rsid w:val="00147F99"/>
    <w:rsid w:val="001502F3"/>
    <w:rsid w:val="00150423"/>
    <w:rsid w:val="0015123C"/>
    <w:rsid w:val="00151462"/>
    <w:rsid w:val="00151758"/>
    <w:rsid w:val="00151FDA"/>
    <w:rsid w:val="001524CE"/>
    <w:rsid w:val="00155076"/>
    <w:rsid w:val="00155D4B"/>
    <w:rsid w:val="00155DD2"/>
    <w:rsid w:val="001560B4"/>
    <w:rsid w:val="001564A4"/>
    <w:rsid w:val="00156FBC"/>
    <w:rsid w:val="00157395"/>
    <w:rsid w:val="001574C0"/>
    <w:rsid w:val="00157C74"/>
    <w:rsid w:val="00160104"/>
    <w:rsid w:val="0016035F"/>
    <w:rsid w:val="001606CF"/>
    <w:rsid w:val="0016128D"/>
    <w:rsid w:val="00161409"/>
    <w:rsid w:val="001625FE"/>
    <w:rsid w:val="00163F50"/>
    <w:rsid w:val="0016570F"/>
    <w:rsid w:val="00167AFE"/>
    <w:rsid w:val="0017089D"/>
    <w:rsid w:val="001716C8"/>
    <w:rsid w:val="001721D6"/>
    <w:rsid w:val="00175121"/>
    <w:rsid w:val="001758AF"/>
    <w:rsid w:val="00175CAB"/>
    <w:rsid w:val="00176367"/>
    <w:rsid w:val="0017774E"/>
    <w:rsid w:val="00177FA8"/>
    <w:rsid w:val="0018061C"/>
    <w:rsid w:val="00180905"/>
    <w:rsid w:val="00181A28"/>
    <w:rsid w:val="00182169"/>
    <w:rsid w:val="00182343"/>
    <w:rsid w:val="001847D0"/>
    <w:rsid w:val="00184ADB"/>
    <w:rsid w:val="0018632D"/>
    <w:rsid w:val="00186DE7"/>
    <w:rsid w:val="0018781E"/>
    <w:rsid w:val="00187A4C"/>
    <w:rsid w:val="00187E2A"/>
    <w:rsid w:val="0019101A"/>
    <w:rsid w:val="00191B9C"/>
    <w:rsid w:val="001929E9"/>
    <w:rsid w:val="00192A57"/>
    <w:rsid w:val="0019338D"/>
    <w:rsid w:val="001939F2"/>
    <w:rsid w:val="00194A03"/>
    <w:rsid w:val="00194ECA"/>
    <w:rsid w:val="00196D59"/>
    <w:rsid w:val="001972D2"/>
    <w:rsid w:val="00197CEF"/>
    <w:rsid w:val="001A0BF7"/>
    <w:rsid w:val="001A14AC"/>
    <w:rsid w:val="001A3114"/>
    <w:rsid w:val="001A3157"/>
    <w:rsid w:val="001A39AC"/>
    <w:rsid w:val="001A4074"/>
    <w:rsid w:val="001A54DC"/>
    <w:rsid w:val="001A56A7"/>
    <w:rsid w:val="001A5AAC"/>
    <w:rsid w:val="001A65F0"/>
    <w:rsid w:val="001A6712"/>
    <w:rsid w:val="001A7663"/>
    <w:rsid w:val="001B0CBD"/>
    <w:rsid w:val="001B0D28"/>
    <w:rsid w:val="001B136C"/>
    <w:rsid w:val="001B22D0"/>
    <w:rsid w:val="001B2BC3"/>
    <w:rsid w:val="001B2D87"/>
    <w:rsid w:val="001B4ABE"/>
    <w:rsid w:val="001B4D2D"/>
    <w:rsid w:val="001B5CD7"/>
    <w:rsid w:val="001B6A07"/>
    <w:rsid w:val="001B6D0D"/>
    <w:rsid w:val="001C0B91"/>
    <w:rsid w:val="001C0D5E"/>
    <w:rsid w:val="001C1DE0"/>
    <w:rsid w:val="001C205A"/>
    <w:rsid w:val="001C2315"/>
    <w:rsid w:val="001C249B"/>
    <w:rsid w:val="001C358D"/>
    <w:rsid w:val="001C370D"/>
    <w:rsid w:val="001C46B5"/>
    <w:rsid w:val="001C4F91"/>
    <w:rsid w:val="001C61DE"/>
    <w:rsid w:val="001C6B9E"/>
    <w:rsid w:val="001C79F4"/>
    <w:rsid w:val="001D23ED"/>
    <w:rsid w:val="001D51D0"/>
    <w:rsid w:val="001D5274"/>
    <w:rsid w:val="001D53F5"/>
    <w:rsid w:val="001D58F6"/>
    <w:rsid w:val="001D6964"/>
    <w:rsid w:val="001D6DF1"/>
    <w:rsid w:val="001D7E28"/>
    <w:rsid w:val="001E167B"/>
    <w:rsid w:val="001E1DEB"/>
    <w:rsid w:val="001E2418"/>
    <w:rsid w:val="001E28E4"/>
    <w:rsid w:val="001E313E"/>
    <w:rsid w:val="001E35AE"/>
    <w:rsid w:val="001E41BC"/>
    <w:rsid w:val="001E685B"/>
    <w:rsid w:val="001E69C2"/>
    <w:rsid w:val="001E7E8A"/>
    <w:rsid w:val="001F06B9"/>
    <w:rsid w:val="001F0C96"/>
    <w:rsid w:val="001F1B27"/>
    <w:rsid w:val="001F3AE1"/>
    <w:rsid w:val="001F51E2"/>
    <w:rsid w:val="001F572B"/>
    <w:rsid w:val="001F62C9"/>
    <w:rsid w:val="001F6614"/>
    <w:rsid w:val="001F77A1"/>
    <w:rsid w:val="00200CFF"/>
    <w:rsid w:val="00202DED"/>
    <w:rsid w:val="00202EE4"/>
    <w:rsid w:val="00202F82"/>
    <w:rsid w:val="0020311D"/>
    <w:rsid w:val="00204B00"/>
    <w:rsid w:val="00205241"/>
    <w:rsid w:val="00205612"/>
    <w:rsid w:val="002060AB"/>
    <w:rsid w:val="00206922"/>
    <w:rsid w:val="00211C05"/>
    <w:rsid w:val="00212784"/>
    <w:rsid w:val="00213BB4"/>
    <w:rsid w:val="002157BB"/>
    <w:rsid w:val="00215943"/>
    <w:rsid w:val="00216180"/>
    <w:rsid w:val="00216549"/>
    <w:rsid w:val="002167D1"/>
    <w:rsid w:val="00216B37"/>
    <w:rsid w:val="00216FE0"/>
    <w:rsid w:val="002200B5"/>
    <w:rsid w:val="00221796"/>
    <w:rsid w:val="00221B30"/>
    <w:rsid w:val="00221C0F"/>
    <w:rsid w:val="00221EC0"/>
    <w:rsid w:val="00222098"/>
    <w:rsid w:val="0022324F"/>
    <w:rsid w:val="0022326C"/>
    <w:rsid w:val="00223634"/>
    <w:rsid w:val="00224D83"/>
    <w:rsid w:val="00225873"/>
    <w:rsid w:val="00225CA4"/>
    <w:rsid w:val="00225DBC"/>
    <w:rsid w:val="00227211"/>
    <w:rsid w:val="0022799E"/>
    <w:rsid w:val="0023084E"/>
    <w:rsid w:val="00231049"/>
    <w:rsid w:val="002314D2"/>
    <w:rsid w:val="002323F9"/>
    <w:rsid w:val="002326A2"/>
    <w:rsid w:val="0023305C"/>
    <w:rsid w:val="00233247"/>
    <w:rsid w:val="00233635"/>
    <w:rsid w:val="00233D22"/>
    <w:rsid w:val="002345E8"/>
    <w:rsid w:val="00234DF7"/>
    <w:rsid w:val="0023518A"/>
    <w:rsid w:val="00235B4D"/>
    <w:rsid w:val="002363EB"/>
    <w:rsid w:val="002364B1"/>
    <w:rsid w:val="002379D8"/>
    <w:rsid w:val="002379D9"/>
    <w:rsid w:val="00237DE9"/>
    <w:rsid w:val="00237FD5"/>
    <w:rsid w:val="002401B1"/>
    <w:rsid w:val="00240492"/>
    <w:rsid w:val="002406EE"/>
    <w:rsid w:val="00240D67"/>
    <w:rsid w:val="00240F0E"/>
    <w:rsid w:val="00241881"/>
    <w:rsid w:val="002419BB"/>
    <w:rsid w:val="00242243"/>
    <w:rsid w:val="002424B9"/>
    <w:rsid w:val="0024294C"/>
    <w:rsid w:val="00243B9D"/>
    <w:rsid w:val="00243EEF"/>
    <w:rsid w:val="002442AD"/>
    <w:rsid w:val="00244C5E"/>
    <w:rsid w:val="00245423"/>
    <w:rsid w:val="00245808"/>
    <w:rsid w:val="00245913"/>
    <w:rsid w:val="00246243"/>
    <w:rsid w:val="0024695F"/>
    <w:rsid w:val="002469E6"/>
    <w:rsid w:val="00246E5A"/>
    <w:rsid w:val="002506ED"/>
    <w:rsid w:val="0025155F"/>
    <w:rsid w:val="002516FB"/>
    <w:rsid w:val="00252323"/>
    <w:rsid w:val="002526AA"/>
    <w:rsid w:val="00252917"/>
    <w:rsid w:val="0025329A"/>
    <w:rsid w:val="002534B0"/>
    <w:rsid w:val="00253AFB"/>
    <w:rsid w:val="00253BB8"/>
    <w:rsid w:val="00254696"/>
    <w:rsid w:val="002559B4"/>
    <w:rsid w:val="0025652F"/>
    <w:rsid w:val="00256F5B"/>
    <w:rsid w:val="00257783"/>
    <w:rsid w:val="00257EBA"/>
    <w:rsid w:val="002604F7"/>
    <w:rsid w:val="002610F1"/>
    <w:rsid w:val="00262270"/>
    <w:rsid w:val="0026287B"/>
    <w:rsid w:val="00263B6C"/>
    <w:rsid w:val="00264E7B"/>
    <w:rsid w:val="00266337"/>
    <w:rsid w:val="00266905"/>
    <w:rsid w:val="002675B7"/>
    <w:rsid w:val="002678DF"/>
    <w:rsid w:val="002709EA"/>
    <w:rsid w:val="002714F1"/>
    <w:rsid w:val="002726DC"/>
    <w:rsid w:val="00272700"/>
    <w:rsid w:val="002728BA"/>
    <w:rsid w:val="00272939"/>
    <w:rsid w:val="002741E6"/>
    <w:rsid w:val="00274E44"/>
    <w:rsid w:val="0027590B"/>
    <w:rsid w:val="00275DDB"/>
    <w:rsid w:val="002769C8"/>
    <w:rsid w:val="00276B06"/>
    <w:rsid w:val="002771F2"/>
    <w:rsid w:val="00277B9C"/>
    <w:rsid w:val="00280D14"/>
    <w:rsid w:val="00281120"/>
    <w:rsid w:val="00281293"/>
    <w:rsid w:val="00283064"/>
    <w:rsid w:val="002834F8"/>
    <w:rsid w:val="00283810"/>
    <w:rsid w:val="00284AE1"/>
    <w:rsid w:val="002851A0"/>
    <w:rsid w:val="0028592C"/>
    <w:rsid w:val="00285969"/>
    <w:rsid w:val="00287227"/>
    <w:rsid w:val="002878F5"/>
    <w:rsid w:val="002911DF"/>
    <w:rsid w:val="002911EE"/>
    <w:rsid w:val="00291CA1"/>
    <w:rsid w:val="00292ACF"/>
    <w:rsid w:val="00292CA1"/>
    <w:rsid w:val="002934EB"/>
    <w:rsid w:val="002936E1"/>
    <w:rsid w:val="0029371A"/>
    <w:rsid w:val="002938E4"/>
    <w:rsid w:val="002959D6"/>
    <w:rsid w:val="00296BF3"/>
    <w:rsid w:val="00297A1D"/>
    <w:rsid w:val="00297F64"/>
    <w:rsid w:val="002A139F"/>
    <w:rsid w:val="002A203C"/>
    <w:rsid w:val="002A2D8D"/>
    <w:rsid w:val="002A3ADD"/>
    <w:rsid w:val="002A3B4E"/>
    <w:rsid w:val="002A4671"/>
    <w:rsid w:val="002A74EF"/>
    <w:rsid w:val="002A7690"/>
    <w:rsid w:val="002B08A1"/>
    <w:rsid w:val="002B1522"/>
    <w:rsid w:val="002B3436"/>
    <w:rsid w:val="002B3829"/>
    <w:rsid w:val="002B3E7B"/>
    <w:rsid w:val="002B41A3"/>
    <w:rsid w:val="002B4387"/>
    <w:rsid w:val="002B519B"/>
    <w:rsid w:val="002B5BDE"/>
    <w:rsid w:val="002B5CCF"/>
    <w:rsid w:val="002B773D"/>
    <w:rsid w:val="002B7F10"/>
    <w:rsid w:val="002C05A5"/>
    <w:rsid w:val="002C106E"/>
    <w:rsid w:val="002C18E6"/>
    <w:rsid w:val="002C22EF"/>
    <w:rsid w:val="002C23B3"/>
    <w:rsid w:val="002C2566"/>
    <w:rsid w:val="002C2A30"/>
    <w:rsid w:val="002C2BA5"/>
    <w:rsid w:val="002C37CB"/>
    <w:rsid w:val="002C4128"/>
    <w:rsid w:val="002C58FC"/>
    <w:rsid w:val="002C5F08"/>
    <w:rsid w:val="002C6073"/>
    <w:rsid w:val="002C636F"/>
    <w:rsid w:val="002C6589"/>
    <w:rsid w:val="002C67DE"/>
    <w:rsid w:val="002C7892"/>
    <w:rsid w:val="002C7AFE"/>
    <w:rsid w:val="002C7EBA"/>
    <w:rsid w:val="002D0A4E"/>
    <w:rsid w:val="002D0C40"/>
    <w:rsid w:val="002D1D39"/>
    <w:rsid w:val="002D2629"/>
    <w:rsid w:val="002D32EF"/>
    <w:rsid w:val="002D33C1"/>
    <w:rsid w:val="002D4500"/>
    <w:rsid w:val="002D481B"/>
    <w:rsid w:val="002D5FE4"/>
    <w:rsid w:val="002D6A79"/>
    <w:rsid w:val="002D6FD7"/>
    <w:rsid w:val="002E030F"/>
    <w:rsid w:val="002E08FC"/>
    <w:rsid w:val="002E090F"/>
    <w:rsid w:val="002E0A06"/>
    <w:rsid w:val="002E1222"/>
    <w:rsid w:val="002E2DCF"/>
    <w:rsid w:val="002E406F"/>
    <w:rsid w:val="002E454C"/>
    <w:rsid w:val="002E4AB7"/>
    <w:rsid w:val="002E6296"/>
    <w:rsid w:val="002E6E64"/>
    <w:rsid w:val="002E7863"/>
    <w:rsid w:val="002F0843"/>
    <w:rsid w:val="002F1D65"/>
    <w:rsid w:val="002F3345"/>
    <w:rsid w:val="002F38AC"/>
    <w:rsid w:val="002F417B"/>
    <w:rsid w:val="002F48B0"/>
    <w:rsid w:val="002F617F"/>
    <w:rsid w:val="002F69F7"/>
    <w:rsid w:val="00300109"/>
    <w:rsid w:val="0030103F"/>
    <w:rsid w:val="00301755"/>
    <w:rsid w:val="00301B23"/>
    <w:rsid w:val="00303E0D"/>
    <w:rsid w:val="003040B8"/>
    <w:rsid w:val="00304277"/>
    <w:rsid w:val="00305A61"/>
    <w:rsid w:val="0030665E"/>
    <w:rsid w:val="00306894"/>
    <w:rsid w:val="00307E50"/>
    <w:rsid w:val="003100B7"/>
    <w:rsid w:val="003101CC"/>
    <w:rsid w:val="003115CD"/>
    <w:rsid w:val="003122F4"/>
    <w:rsid w:val="00312542"/>
    <w:rsid w:val="003126C8"/>
    <w:rsid w:val="00313088"/>
    <w:rsid w:val="00313927"/>
    <w:rsid w:val="00313CC6"/>
    <w:rsid w:val="00314675"/>
    <w:rsid w:val="0031474D"/>
    <w:rsid w:val="00314868"/>
    <w:rsid w:val="00314A14"/>
    <w:rsid w:val="003156F0"/>
    <w:rsid w:val="0031591A"/>
    <w:rsid w:val="00315C2A"/>
    <w:rsid w:val="00315FDF"/>
    <w:rsid w:val="0031741D"/>
    <w:rsid w:val="003176A5"/>
    <w:rsid w:val="00317B91"/>
    <w:rsid w:val="00317DE5"/>
    <w:rsid w:val="003205F0"/>
    <w:rsid w:val="00321185"/>
    <w:rsid w:val="003211AE"/>
    <w:rsid w:val="003212F8"/>
    <w:rsid w:val="00321CCD"/>
    <w:rsid w:val="0032293C"/>
    <w:rsid w:val="00322AD6"/>
    <w:rsid w:val="00323972"/>
    <w:rsid w:val="00323D0E"/>
    <w:rsid w:val="00324997"/>
    <w:rsid w:val="00324A58"/>
    <w:rsid w:val="003256C3"/>
    <w:rsid w:val="003268D5"/>
    <w:rsid w:val="00327010"/>
    <w:rsid w:val="00330693"/>
    <w:rsid w:val="00331679"/>
    <w:rsid w:val="00331DE5"/>
    <w:rsid w:val="003324C6"/>
    <w:rsid w:val="00332C58"/>
    <w:rsid w:val="00336AC9"/>
    <w:rsid w:val="00336C01"/>
    <w:rsid w:val="00336E16"/>
    <w:rsid w:val="00337214"/>
    <w:rsid w:val="00340647"/>
    <w:rsid w:val="00340975"/>
    <w:rsid w:val="00340B54"/>
    <w:rsid w:val="00340D48"/>
    <w:rsid w:val="003416AF"/>
    <w:rsid w:val="003426BB"/>
    <w:rsid w:val="003439D9"/>
    <w:rsid w:val="0034415B"/>
    <w:rsid w:val="003443B1"/>
    <w:rsid w:val="003443CC"/>
    <w:rsid w:val="003444A7"/>
    <w:rsid w:val="0034463A"/>
    <w:rsid w:val="003448F6"/>
    <w:rsid w:val="00344DEA"/>
    <w:rsid w:val="0034678F"/>
    <w:rsid w:val="00346876"/>
    <w:rsid w:val="003474C3"/>
    <w:rsid w:val="00350759"/>
    <w:rsid w:val="00350AF9"/>
    <w:rsid w:val="00350B64"/>
    <w:rsid w:val="00350E15"/>
    <w:rsid w:val="0035128C"/>
    <w:rsid w:val="00352101"/>
    <w:rsid w:val="00352412"/>
    <w:rsid w:val="00352E53"/>
    <w:rsid w:val="00354865"/>
    <w:rsid w:val="00354D27"/>
    <w:rsid w:val="00354F2E"/>
    <w:rsid w:val="0035533B"/>
    <w:rsid w:val="0035534E"/>
    <w:rsid w:val="00355E37"/>
    <w:rsid w:val="00355EA5"/>
    <w:rsid w:val="00356376"/>
    <w:rsid w:val="00356BA5"/>
    <w:rsid w:val="0035738A"/>
    <w:rsid w:val="0035785A"/>
    <w:rsid w:val="00360505"/>
    <w:rsid w:val="003607A4"/>
    <w:rsid w:val="003607C8"/>
    <w:rsid w:val="0036082C"/>
    <w:rsid w:val="0036119D"/>
    <w:rsid w:val="003616F5"/>
    <w:rsid w:val="00362413"/>
    <w:rsid w:val="00365845"/>
    <w:rsid w:val="00367161"/>
    <w:rsid w:val="00370487"/>
    <w:rsid w:val="00370E5D"/>
    <w:rsid w:val="0037227F"/>
    <w:rsid w:val="00372286"/>
    <w:rsid w:val="0037384F"/>
    <w:rsid w:val="00375298"/>
    <w:rsid w:val="00375D3C"/>
    <w:rsid w:val="00375E97"/>
    <w:rsid w:val="00376B2C"/>
    <w:rsid w:val="0037758E"/>
    <w:rsid w:val="003777FF"/>
    <w:rsid w:val="003805F5"/>
    <w:rsid w:val="00381092"/>
    <w:rsid w:val="00381A28"/>
    <w:rsid w:val="003821CF"/>
    <w:rsid w:val="00382BCB"/>
    <w:rsid w:val="00384698"/>
    <w:rsid w:val="003846B3"/>
    <w:rsid w:val="00384971"/>
    <w:rsid w:val="003858A6"/>
    <w:rsid w:val="00385E30"/>
    <w:rsid w:val="0038689F"/>
    <w:rsid w:val="00386B77"/>
    <w:rsid w:val="0038751C"/>
    <w:rsid w:val="00391BF9"/>
    <w:rsid w:val="00391F8D"/>
    <w:rsid w:val="0039205D"/>
    <w:rsid w:val="00392DCC"/>
    <w:rsid w:val="00393091"/>
    <w:rsid w:val="0039441C"/>
    <w:rsid w:val="003947E7"/>
    <w:rsid w:val="00397D3B"/>
    <w:rsid w:val="003A0134"/>
    <w:rsid w:val="003A081A"/>
    <w:rsid w:val="003A141A"/>
    <w:rsid w:val="003A14B3"/>
    <w:rsid w:val="003A1E19"/>
    <w:rsid w:val="003A2113"/>
    <w:rsid w:val="003A2743"/>
    <w:rsid w:val="003A3B61"/>
    <w:rsid w:val="003A3B9F"/>
    <w:rsid w:val="003A400C"/>
    <w:rsid w:val="003A5B36"/>
    <w:rsid w:val="003A5E6D"/>
    <w:rsid w:val="003A65A0"/>
    <w:rsid w:val="003A66DF"/>
    <w:rsid w:val="003A7084"/>
    <w:rsid w:val="003A7746"/>
    <w:rsid w:val="003B0560"/>
    <w:rsid w:val="003B058A"/>
    <w:rsid w:val="003B1485"/>
    <w:rsid w:val="003B236B"/>
    <w:rsid w:val="003B2B4A"/>
    <w:rsid w:val="003B4F81"/>
    <w:rsid w:val="003B566E"/>
    <w:rsid w:val="003B5791"/>
    <w:rsid w:val="003B6A9F"/>
    <w:rsid w:val="003B6AE7"/>
    <w:rsid w:val="003B7033"/>
    <w:rsid w:val="003B7475"/>
    <w:rsid w:val="003C0321"/>
    <w:rsid w:val="003C097C"/>
    <w:rsid w:val="003C0BAC"/>
    <w:rsid w:val="003C14E9"/>
    <w:rsid w:val="003C1923"/>
    <w:rsid w:val="003C1B70"/>
    <w:rsid w:val="003C24B4"/>
    <w:rsid w:val="003C3041"/>
    <w:rsid w:val="003C42F8"/>
    <w:rsid w:val="003C4801"/>
    <w:rsid w:val="003C4DE1"/>
    <w:rsid w:val="003C5C79"/>
    <w:rsid w:val="003C63A6"/>
    <w:rsid w:val="003C6678"/>
    <w:rsid w:val="003C6883"/>
    <w:rsid w:val="003C6929"/>
    <w:rsid w:val="003C7164"/>
    <w:rsid w:val="003D065B"/>
    <w:rsid w:val="003D0F77"/>
    <w:rsid w:val="003D1E3A"/>
    <w:rsid w:val="003D205A"/>
    <w:rsid w:val="003D2453"/>
    <w:rsid w:val="003D41B2"/>
    <w:rsid w:val="003D4295"/>
    <w:rsid w:val="003D46AC"/>
    <w:rsid w:val="003D5524"/>
    <w:rsid w:val="003D5597"/>
    <w:rsid w:val="003D6D83"/>
    <w:rsid w:val="003E0C2C"/>
    <w:rsid w:val="003E1530"/>
    <w:rsid w:val="003E1A16"/>
    <w:rsid w:val="003E20D6"/>
    <w:rsid w:val="003E225A"/>
    <w:rsid w:val="003E2710"/>
    <w:rsid w:val="003E2F8D"/>
    <w:rsid w:val="003E3035"/>
    <w:rsid w:val="003E36BC"/>
    <w:rsid w:val="003E38F4"/>
    <w:rsid w:val="003E440F"/>
    <w:rsid w:val="003E4817"/>
    <w:rsid w:val="003E4D87"/>
    <w:rsid w:val="003E4DF4"/>
    <w:rsid w:val="003E4FD9"/>
    <w:rsid w:val="003E5126"/>
    <w:rsid w:val="003E6FE5"/>
    <w:rsid w:val="003E707F"/>
    <w:rsid w:val="003E70C7"/>
    <w:rsid w:val="003E7E96"/>
    <w:rsid w:val="003F137E"/>
    <w:rsid w:val="003F1654"/>
    <w:rsid w:val="003F1AEE"/>
    <w:rsid w:val="003F1DA1"/>
    <w:rsid w:val="003F22D2"/>
    <w:rsid w:val="003F2CA0"/>
    <w:rsid w:val="003F3400"/>
    <w:rsid w:val="003F384A"/>
    <w:rsid w:val="003F3ADE"/>
    <w:rsid w:val="003F4F34"/>
    <w:rsid w:val="003F56D8"/>
    <w:rsid w:val="003F6AB2"/>
    <w:rsid w:val="003F7646"/>
    <w:rsid w:val="003F7F7A"/>
    <w:rsid w:val="00400B2C"/>
    <w:rsid w:val="00400C14"/>
    <w:rsid w:val="00400D26"/>
    <w:rsid w:val="00401082"/>
    <w:rsid w:val="00402186"/>
    <w:rsid w:val="00402B2D"/>
    <w:rsid w:val="00402EDF"/>
    <w:rsid w:val="0040451C"/>
    <w:rsid w:val="004045E8"/>
    <w:rsid w:val="0040483A"/>
    <w:rsid w:val="0040514F"/>
    <w:rsid w:val="00406294"/>
    <w:rsid w:val="00407025"/>
    <w:rsid w:val="00407F3A"/>
    <w:rsid w:val="004105F4"/>
    <w:rsid w:val="004123CB"/>
    <w:rsid w:val="0041276D"/>
    <w:rsid w:val="00412E00"/>
    <w:rsid w:val="004136FC"/>
    <w:rsid w:val="00413CE4"/>
    <w:rsid w:val="00414A33"/>
    <w:rsid w:val="00414B4F"/>
    <w:rsid w:val="004152C6"/>
    <w:rsid w:val="0041539A"/>
    <w:rsid w:val="00416762"/>
    <w:rsid w:val="00416A41"/>
    <w:rsid w:val="00416E55"/>
    <w:rsid w:val="00417617"/>
    <w:rsid w:val="004176F8"/>
    <w:rsid w:val="004204D9"/>
    <w:rsid w:val="00420C83"/>
    <w:rsid w:val="00422310"/>
    <w:rsid w:val="00422A27"/>
    <w:rsid w:val="004250C1"/>
    <w:rsid w:val="0042518A"/>
    <w:rsid w:val="004256A1"/>
    <w:rsid w:val="00426B2E"/>
    <w:rsid w:val="004274BD"/>
    <w:rsid w:val="004276A0"/>
    <w:rsid w:val="00427935"/>
    <w:rsid w:val="00427A12"/>
    <w:rsid w:val="00430CE3"/>
    <w:rsid w:val="00430E6E"/>
    <w:rsid w:val="00431C07"/>
    <w:rsid w:val="0043374F"/>
    <w:rsid w:val="00433822"/>
    <w:rsid w:val="00433D7E"/>
    <w:rsid w:val="00433DA3"/>
    <w:rsid w:val="00434EAB"/>
    <w:rsid w:val="004365F7"/>
    <w:rsid w:val="00436839"/>
    <w:rsid w:val="00440DF6"/>
    <w:rsid w:val="004412E0"/>
    <w:rsid w:val="0044144B"/>
    <w:rsid w:val="00444CBA"/>
    <w:rsid w:val="00444D06"/>
    <w:rsid w:val="00445208"/>
    <w:rsid w:val="00445265"/>
    <w:rsid w:val="00445614"/>
    <w:rsid w:val="00445617"/>
    <w:rsid w:val="00445AA4"/>
    <w:rsid w:val="004464A9"/>
    <w:rsid w:val="00446D4C"/>
    <w:rsid w:val="00447133"/>
    <w:rsid w:val="00447654"/>
    <w:rsid w:val="0044788C"/>
    <w:rsid w:val="00450CBC"/>
    <w:rsid w:val="0045102C"/>
    <w:rsid w:val="00452BFF"/>
    <w:rsid w:val="0045315B"/>
    <w:rsid w:val="00454158"/>
    <w:rsid w:val="004545D9"/>
    <w:rsid w:val="00454BDE"/>
    <w:rsid w:val="00454EA0"/>
    <w:rsid w:val="004555E0"/>
    <w:rsid w:val="004559CE"/>
    <w:rsid w:val="00455C49"/>
    <w:rsid w:val="00456BC7"/>
    <w:rsid w:val="00457CFC"/>
    <w:rsid w:val="00460E1A"/>
    <w:rsid w:val="00462D3F"/>
    <w:rsid w:val="00463DF8"/>
    <w:rsid w:val="0046419C"/>
    <w:rsid w:val="00464D63"/>
    <w:rsid w:val="004651CB"/>
    <w:rsid w:val="00465C12"/>
    <w:rsid w:val="004669AA"/>
    <w:rsid w:val="00466FE5"/>
    <w:rsid w:val="004702D5"/>
    <w:rsid w:val="00470D96"/>
    <w:rsid w:val="00471079"/>
    <w:rsid w:val="004739F2"/>
    <w:rsid w:val="0047423F"/>
    <w:rsid w:val="0047465A"/>
    <w:rsid w:val="00474754"/>
    <w:rsid w:val="00475085"/>
    <w:rsid w:val="00476207"/>
    <w:rsid w:val="00476B55"/>
    <w:rsid w:val="00476CF6"/>
    <w:rsid w:val="00477AA8"/>
    <w:rsid w:val="00477C72"/>
    <w:rsid w:val="00477DFF"/>
    <w:rsid w:val="00477EAE"/>
    <w:rsid w:val="00480823"/>
    <w:rsid w:val="00480C8E"/>
    <w:rsid w:val="00481522"/>
    <w:rsid w:val="00481581"/>
    <w:rsid w:val="0048213F"/>
    <w:rsid w:val="0048294D"/>
    <w:rsid w:val="0048332D"/>
    <w:rsid w:val="004840AF"/>
    <w:rsid w:val="00484A77"/>
    <w:rsid w:val="00484D0F"/>
    <w:rsid w:val="00487ACF"/>
    <w:rsid w:val="00487EE6"/>
    <w:rsid w:val="00490416"/>
    <w:rsid w:val="00491666"/>
    <w:rsid w:val="00492FCB"/>
    <w:rsid w:val="00493002"/>
    <w:rsid w:val="00494D9C"/>
    <w:rsid w:val="00495256"/>
    <w:rsid w:val="004954E2"/>
    <w:rsid w:val="004956BB"/>
    <w:rsid w:val="00496310"/>
    <w:rsid w:val="00497C52"/>
    <w:rsid w:val="00497E8F"/>
    <w:rsid w:val="004A09D4"/>
    <w:rsid w:val="004A0C57"/>
    <w:rsid w:val="004A0F11"/>
    <w:rsid w:val="004A2EA5"/>
    <w:rsid w:val="004A2FB2"/>
    <w:rsid w:val="004A34ED"/>
    <w:rsid w:val="004A37AF"/>
    <w:rsid w:val="004A3DFA"/>
    <w:rsid w:val="004A3EAA"/>
    <w:rsid w:val="004A4466"/>
    <w:rsid w:val="004A61AF"/>
    <w:rsid w:val="004A6E62"/>
    <w:rsid w:val="004A71C6"/>
    <w:rsid w:val="004A7D97"/>
    <w:rsid w:val="004B0D80"/>
    <w:rsid w:val="004B1566"/>
    <w:rsid w:val="004B31CF"/>
    <w:rsid w:val="004B3C92"/>
    <w:rsid w:val="004B5133"/>
    <w:rsid w:val="004B650B"/>
    <w:rsid w:val="004B67BF"/>
    <w:rsid w:val="004B6FD6"/>
    <w:rsid w:val="004C0EAA"/>
    <w:rsid w:val="004C30A2"/>
    <w:rsid w:val="004C358D"/>
    <w:rsid w:val="004C41B6"/>
    <w:rsid w:val="004C5130"/>
    <w:rsid w:val="004D016C"/>
    <w:rsid w:val="004D0589"/>
    <w:rsid w:val="004D0F8D"/>
    <w:rsid w:val="004D2239"/>
    <w:rsid w:val="004D25E8"/>
    <w:rsid w:val="004D2F51"/>
    <w:rsid w:val="004D3AE9"/>
    <w:rsid w:val="004D46C0"/>
    <w:rsid w:val="004D5099"/>
    <w:rsid w:val="004D5E9C"/>
    <w:rsid w:val="004D6E37"/>
    <w:rsid w:val="004D7945"/>
    <w:rsid w:val="004E00EA"/>
    <w:rsid w:val="004E0DEC"/>
    <w:rsid w:val="004E3898"/>
    <w:rsid w:val="004E4736"/>
    <w:rsid w:val="004E59A0"/>
    <w:rsid w:val="004E6829"/>
    <w:rsid w:val="004E7974"/>
    <w:rsid w:val="004F01CE"/>
    <w:rsid w:val="004F1399"/>
    <w:rsid w:val="004F2770"/>
    <w:rsid w:val="004F27DF"/>
    <w:rsid w:val="004F36A0"/>
    <w:rsid w:val="004F36A4"/>
    <w:rsid w:val="004F3C06"/>
    <w:rsid w:val="004F4B92"/>
    <w:rsid w:val="004F5C51"/>
    <w:rsid w:val="004F63A9"/>
    <w:rsid w:val="004F6E2B"/>
    <w:rsid w:val="004F6EC1"/>
    <w:rsid w:val="004F75DE"/>
    <w:rsid w:val="005013DE"/>
    <w:rsid w:val="005014E0"/>
    <w:rsid w:val="00502077"/>
    <w:rsid w:val="00502532"/>
    <w:rsid w:val="00502E7C"/>
    <w:rsid w:val="005046BC"/>
    <w:rsid w:val="00504D7A"/>
    <w:rsid w:val="005069A5"/>
    <w:rsid w:val="0050766F"/>
    <w:rsid w:val="00511147"/>
    <w:rsid w:val="00511275"/>
    <w:rsid w:val="00511DFC"/>
    <w:rsid w:val="005127B5"/>
    <w:rsid w:val="0051333A"/>
    <w:rsid w:val="005133CE"/>
    <w:rsid w:val="005139B0"/>
    <w:rsid w:val="00514880"/>
    <w:rsid w:val="00514D37"/>
    <w:rsid w:val="005153F1"/>
    <w:rsid w:val="0051570D"/>
    <w:rsid w:val="00516785"/>
    <w:rsid w:val="00516929"/>
    <w:rsid w:val="00516E6B"/>
    <w:rsid w:val="00517398"/>
    <w:rsid w:val="00517BA6"/>
    <w:rsid w:val="00521014"/>
    <w:rsid w:val="00521B1B"/>
    <w:rsid w:val="00523860"/>
    <w:rsid w:val="0052419D"/>
    <w:rsid w:val="0052473E"/>
    <w:rsid w:val="00525B3A"/>
    <w:rsid w:val="00525D4C"/>
    <w:rsid w:val="00526E73"/>
    <w:rsid w:val="00527BA1"/>
    <w:rsid w:val="005301F8"/>
    <w:rsid w:val="00530834"/>
    <w:rsid w:val="00530B8F"/>
    <w:rsid w:val="005312FC"/>
    <w:rsid w:val="00531E15"/>
    <w:rsid w:val="005323CE"/>
    <w:rsid w:val="005328AA"/>
    <w:rsid w:val="00533105"/>
    <w:rsid w:val="0053569E"/>
    <w:rsid w:val="00535ECD"/>
    <w:rsid w:val="0053603D"/>
    <w:rsid w:val="00536708"/>
    <w:rsid w:val="0053694A"/>
    <w:rsid w:val="00536C44"/>
    <w:rsid w:val="0053742A"/>
    <w:rsid w:val="0053754E"/>
    <w:rsid w:val="00537C85"/>
    <w:rsid w:val="00537FAC"/>
    <w:rsid w:val="005405E9"/>
    <w:rsid w:val="0054083E"/>
    <w:rsid w:val="0054154A"/>
    <w:rsid w:val="00541A55"/>
    <w:rsid w:val="00541D29"/>
    <w:rsid w:val="005420C7"/>
    <w:rsid w:val="005424F1"/>
    <w:rsid w:val="00542819"/>
    <w:rsid w:val="0054303D"/>
    <w:rsid w:val="005431B7"/>
    <w:rsid w:val="00543DED"/>
    <w:rsid w:val="005459AE"/>
    <w:rsid w:val="00545BE9"/>
    <w:rsid w:val="0055028F"/>
    <w:rsid w:val="005502CF"/>
    <w:rsid w:val="0055050F"/>
    <w:rsid w:val="0055062B"/>
    <w:rsid w:val="00550CA4"/>
    <w:rsid w:val="00551B11"/>
    <w:rsid w:val="00552B7F"/>
    <w:rsid w:val="00555116"/>
    <w:rsid w:val="0055531B"/>
    <w:rsid w:val="005553F9"/>
    <w:rsid w:val="0055555A"/>
    <w:rsid w:val="0055793B"/>
    <w:rsid w:val="00560C4B"/>
    <w:rsid w:val="00562F17"/>
    <w:rsid w:val="005634F8"/>
    <w:rsid w:val="00564A5C"/>
    <w:rsid w:val="00564A61"/>
    <w:rsid w:val="00565738"/>
    <w:rsid w:val="0056582C"/>
    <w:rsid w:val="005661FB"/>
    <w:rsid w:val="0056641A"/>
    <w:rsid w:val="00566757"/>
    <w:rsid w:val="00567D89"/>
    <w:rsid w:val="005700AE"/>
    <w:rsid w:val="005703B4"/>
    <w:rsid w:val="00571767"/>
    <w:rsid w:val="00571A82"/>
    <w:rsid w:val="005723FC"/>
    <w:rsid w:val="00572B4B"/>
    <w:rsid w:val="0057378C"/>
    <w:rsid w:val="005737F3"/>
    <w:rsid w:val="0057475C"/>
    <w:rsid w:val="00575786"/>
    <w:rsid w:val="00577065"/>
    <w:rsid w:val="0057787E"/>
    <w:rsid w:val="00577953"/>
    <w:rsid w:val="005806DD"/>
    <w:rsid w:val="00582D42"/>
    <w:rsid w:val="00582E41"/>
    <w:rsid w:val="00584692"/>
    <w:rsid w:val="00584D5A"/>
    <w:rsid w:val="005868DE"/>
    <w:rsid w:val="00586CA1"/>
    <w:rsid w:val="00586DC1"/>
    <w:rsid w:val="005877AC"/>
    <w:rsid w:val="005908DE"/>
    <w:rsid w:val="005911BA"/>
    <w:rsid w:val="005914F1"/>
    <w:rsid w:val="00591609"/>
    <w:rsid w:val="00592A72"/>
    <w:rsid w:val="00593A1C"/>
    <w:rsid w:val="0059442E"/>
    <w:rsid w:val="00594EA9"/>
    <w:rsid w:val="00594F97"/>
    <w:rsid w:val="005951A6"/>
    <w:rsid w:val="005960D7"/>
    <w:rsid w:val="005966B7"/>
    <w:rsid w:val="00597401"/>
    <w:rsid w:val="005A052F"/>
    <w:rsid w:val="005A1B18"/>
    <w:rsid w:val="005A207D"/>
    <w:rsid w:val="005A47BD"/>
    <w:rsid w:val="005A4EB9"/>
    <w:rsid w:val="005A5A90"/>
    <w:rsid w:val="005A662B"/>
    <w:rsid w:val="005A66F7"/>
    <w:rsid w:val="005A772C"/>
    <w:rsid w:val="005B12FF"/>
    <w:rsid w:val="005B1AA5"/>
    <w:rsid w:val="005B317D"/>
    <w:rsid w:val="005B33ED"/>
    <w:rsid w:val="005B5387"/>
    <w:rsid w:val="005B57E3"/>
    <w:rsid w:val="005B5E2A"/>
    <w:rsid w:val="005B79A7"/>
    <w:rsid w:val="005C02A4"/>
    <w:rsid w:val="005C0673"/>
    <w:rsid w:val="005C142C"/>
    <w:rsid w:val="005C14D1"/>
    <w:rsid w:val="005C20D2"/>
    <w:rsid w:val="005C2A0C"/>
    <w:rsid w:val="005C2F7B"/>
    <w:rsid w:val="005C3122"/>
    <w:rsid w:val="005C32FE"/>
    <w:rsid w:val="005C34C7"/>
    <w:rsid w:val="005C503A"/>
    <w:rsid w:val="005C517D"/>
    <w:rsid w:val="005C5704"/>
    <w:rsid w:val="005C5A4F"/>
    <w:rsid w:val="005C626F"/>
    <w:rsid w:val="005C6F29"/>
    <w:rsid w:val="005D024A"/>
    <w:rsid w:val="005D0D2F"/>
    <w:rsid w:val="005D15C5"/>
    <w:rsid w:val="005D1ACA"/>
    <w:rsid w:val="005D2925"/>
    <w:rsid w:val="005D40CC"/>
    <w:rsid w:val="005D487B"/>
    <w:rsid w:val="005D4EEA"/>
    <w:rsid w:val="005D4FD4"/>
    <w:rsid w:val="005D544E"/>
    <w:rsid w:val="005D5658"/>
    <w:rsid w:val="005D6318"/>
    <w:rsid w:val="005D65DB"/>
    <w:rsid w:val="005D6D64"/>
    <w:rsid w:val="005D6F97"/>
    <w:rsid w:val="005D7584"/>
    <w:rsid w:val="005D75B2"/>
    <w:rsid w:val="005D7DF8"/>
    <w:rsid w:val="005E06C2"/>
    <w:rsid w:val="005E08EC"/>
    <w:rsid w:val="005E1543"/>
    <w:rsid w:val="005E319A"/>
    <w:rsid w:val="005E386D"/>
    <w:rsid w:val="005E4F27"/>
    <w:rsid w:val="005E57A9"/>
    <w:rsid w:val="005E5CFB"/>
    <w:rsid w:val="005E6754"/>
    <w:rsid w:val="005F015F"/>
    <w:rsid w:val="005F0C95"/>
    <w:rsid w:val="005F36C1"/>
    <w:rsid w:val="005F3D65"/>
    <w:rsid w:val="005F3E12"/>
    <w:rsid w:val="005F4161"/>
    <w:rsid w:val="005F4BFD"/>
    <w:rsid w:val="005F57ED"/>
    <w:rsid w:val="005F6494"/>
    <w:rsid w:val="005F6E11"/>
    <w:rsid w:val="0060164E"/>
    <w:rsid w:val="00601650"/>
    <w:rsid w:val="0060206D"/>
    <w:rsid w:val="006037C4"/>
    <w:rsid w:val="006039BF"/>
    <w:rsid w:val="00603DA1"/>
    <w:rsid w:val="00604E2E"/>
    <w:rsid w:val="00604EEF"/>
    <w:rsid w:val="00605AFD"/>
    <w:rsid w:val="00606826"/>
    <w:rsid w:val="006074DF"/>
    <w:rsid w:val="00607B39"/>
    <w:rsid w:val="00607E12"/>
    <w:rsid w:val="006101AD"/>
    <w:rsid w:val="00610DD9"/>
    <w:rsid w:val="00611E87"/>
    <w:rsid w:val="006123D4"/>
    <w:rsid w:val="006138F4"/>
    <w:rsid w:val="00613A0B"/>
    <w:rsid w:val="0061445B"/>
    <w:rsid w:val="0061447E"/>
    <w:rsid w:val="00615650"/>
    <w:rsid w:val="00616160"/>
    <w:rsid w:val="006161B5"/>
    <w:rsid w:val="006170E3"/>
    <w:rsid w:val="0061755F"/>
    <w:rsid w:val="0062011B"/>
    <w:rsid w:val="00620412"/>
    <w:rsid w:val="00622C53"/>
    <w:rsid w:val="00624246"/>
    <w:rsid w:val="0062438E"/>
    <w:rsid w:val="00624AA7"/>
    <w:rsid w:val="00624C4B"/>
    <w:rsid w:val="00624C58"/>
    <w:rsid w:val="00625362"/>
    <w:rsid w:val="00626C83"/>
    <w:rsid w:val="00627B00"/>
    <w:rsid w:val="006301F4"/>
    <w:rsid w:val="00630E70"/>
    <w:rsid w:val="00631400"/>
    <w:rsid w:val="006314FB"/>
    <w:rsid w:val="00631B32"/>
    <w:rsid w:val="00631BA0"/>
    <w:rsid w:val="00632A29"/>
    <w:rsid w:val="00632C8F"/>
    <w:rsid w:val="00633FF4"/>
    <w:rsid w:val="006370E9"/>
    <w:rsid w:val="00637880"/>
    <w:rsid w:val="006400BE"/>
    <w:rsid w:val="00640AB8"/>
    <w:rsid w:val="00640D80"/>
    <w:rsid w:val="006424F0"/>
    <w:rsid w:val="00642678"/>
    <w:rsid w:val="00642B08"/>
    <w:rsid w:val="00643721"/>
    <w:rsid w:val="00643BEC"/>
    <w:rsid w:val="00645410"/>
    <w:rsid w:val="00645986"/>
    <w:rsid w:val="00646CBA"/>
    <w:rsid w:val="00647E50"/>
    <w:rsid w:val="00647EA2"/>
    <w:rsid w:val="0065114C"/>
    <w:rsid w:val="006511A6"/>
    <w:rsid w:val="0065122A"/>
    <w:rsid w:val="00651277"/>
    <w:rsid w:val="00651F88"/>
    <w:rsid w:val="00652EF1"/>
    <w:rsid w:val="00653622"/>
    <w:rsid w:val="006537C3"/>
    <w:rsid w:val="006545A0"/>
    <w:rsid w:val="00655886"/>
    <w:rsid w:val="00656433"/>
    <w:rsid w:val="006564D3"/>
    <w:rsid w:val="0065654D"/>
    <w:rsid w:val="00660AC2"/>
    <w:rsid w:val="0066126A"/>
    <w:rsid w:val="00665304"/>
    <w:rsid w:val="006659C3"/>
    <w:rsid w:val="0066646A"/>
    <w:rsid w:val="006675B1"/>
    <w:rsid w:val="006678C1"/>
    <w:rsid w:val="00667F18"/>
    <w:rsid w:val="00671868"/>
    <w:rsid w:val="00672CDA"/>
    <w:rsid w:val="006730F1"/>
    <w:rsid w:val="00673466"/>
    <w:rsid w:val="00673BFF"/>
    <w:rsid w:val="006745A8"/>
    <w:rsid w:val="00676107"/>
    <w:rsid w:val="0067622C"/>
    <w:rsid w:val="00676943"/>
    <w:rsid w:val="00676C17"/>
    <w:rsid w:val="00677096"/>
    <w:rsid w:val="00677254"/>
    <w:rsid w:val="0067791F"/>
    <w:rsid w:val="00677B0A"/>
    <w:rsid w:val="00681404"/>
    <w:rsid w:val="0068177B"/>
    <w:rsid w:val="00682270"/>
    <w:rsid w:val="00682C33"/>
    <w:rsid w:val="00683423"/>
    <w:rsid w:val="006839F0"/>
    <w:rsid w:val="006842E8"/>
    <w:rsid w:val="00684659"/>
    <w:rsid w:val="00684759"/>
    <w:rsid w:val="00684C2E"/>
    <w:rsid w:val="00684E98"/>
    <w:rsid w:val="00685557"/>
    <w:rsid w:val="00685999"/>
    <w:rsid w:val="00685CF7"/>
    <w:rsid w:val="00686165"/>
    <w:rsid w:val="00686346"/>
    <w:rsid w:val="00687037"/>
    <w:rsid w:val="00687BD3"/>
    <w:rsid w:val="0069040F"/>
    <w:rsid w:val="00690994"/>
    <w:rsid w:val="00691CB5"/>
    <w:rsid w:val="006923DF"/>
    <w:rsid w:val="006928AB"/>
    <w:rsid w:val="00693349"/>
    <w:rsid w:val="006948E3"/>
    <w:rsid w:val="0069567D"/>
    <w:rsid w:val="00695F80"/>
    <w:rsid w:val="006966C1"/>
    <w:rsid w:val="006968A8"/>
    <w:rsid w:val="0069695F"/>
    <w:rsid w:val="0069742F"/>
    <w:rsid w:val="0069752B"/>
    <w:rsid w:val="00697C78"/>
    <w:rsid w:val="006A0863"/>
    <w:rsid w:val="006A1BFD"/>
    <w:rsid w:val="006A1C3F"/>
    <w:rsid w:val="006A2EE8"/>
    <w:rsid w:val="006A32A3"/>
    <w:rsid w:val="006A37F5"/>
    <w:rsid w:val="006A3A38"/>
    <w:rsid w:val="006A3D63"/>
    <w:rsid w:val="006A44A2"/>
    <w:rsid w:val="006A46B2"/>
    <w:rsid w:val="006A52CD"/>
    <w:rsid w:val="006A52FA"/>
    <w:rsid w:val="006A73D1"/>
    <w:rsid w:val="006A7D7F"/>
    <w:rsid w:val="006B04D1"/>
    <w:rsid w:val="006B11FB"/>
    <w:rsid w:val="006B267D"/>
    <w:rsid w:val="006B31EE"/>
    <w:rsid w:val="006B3614"/>
    <w:rsid w:val="006B38FF"/>
    <w:rsid w:val="006B3DDB"/>
    <w:rsid w:val="006B54FA"/>
    <w:rsid w:val="006B6708"/>
    <w:rsid w:val="006B7776"/>
    <w:rsid w:val="006C00A9"/>
    <w:rsid w:val="006C0DF3"/>
    <w:rsid w:val="006C10D1"/>
    <w:rsid w:val="006C1892"/>
    <w:rsid w:val="006C1903"/>
    <w:rsid w:val="006C277B"/>
    <w:rsid w:val="006C284A"/>
    <w:rsid w:val="006C2CB5"/>
    <w:rsid w:val="006C38F5"/>
    <w:rsid w:val="006C3CEF"/>
    <w:rsid w:val="006C3F68"/>
    <w:rsid w:val="006C41C1"/>
    <w:rsid w:val="006C4DC0"/>
    <w:rsid w:val="006C5749"/>
    <w:rsid w:val="006C5B73"/>
    <w:rsid w:val="006C6286"/>
    <w:rsid w:val="006C645D"/>
    <w:rsid w:val="006C776E"/>
    <w:rsid w:val="006C77FF"/>
    <w:rsid w:val="006C7C5B"/>
    <w:rsid w:val="006D0579"/>
    <w:rsid w:val="006D0A54"/>
    <w:rsid w:val="006D12E1"/>
    <w:rsid w:val="006D25E3"/>
    <w:rsid w:val="006D4B8E"/>
    <w:rsid w:val="006D4C5C"/>
    <w:rsid w:val="006D5332"/>
    <w:rsid w:val="006D684B"/>
    <w:rsid w:val="006D73F7"/>
    <w:rsid w:val="006D7434"/>
    <w:rsid w:val="006E041C"/>
    <w:rsid w:val="006E0450"/>
    <w:rsid w:val="006E1813"/>
    <w:rsid w:val="006E1FD9"/>
    <w:rsid w:val="006E2D2A"/>
    <w:rsid w:val="006E34D6"/>
    <w:rsid w:val="006E3CC3"/>
    <w:rsid w:val="006E45F6"/>
    <w:rsid w:val="006E4C40"/>
    <w:rsid w:val="006E4D03"/>
    <w:rsid w:val="006E5038"/>
    <w:rsid w:val="006E67FC"/>
    <w:rsid w:val="006E6C74"/>
    <w:rsid w:val="006E70AF"/>
    <w:rsid w:val="006E76D8"/>
    <w:rsid w:val="006E7D23"/>
    <w:rsid w:val="006F0149"/>
    <w:rsid w:val="006F0FD8"/>
    <w:rsid w:val="006F1F0A"/>
    <w:rsid w:val="006F28F4"/>
    <w:rsid w:val="006F2C6D"/>
    <w:rsid w:val="006F34D4"/>
    <w:rsid w:val="006F3C03"/>
    <w:rsid w:val="006F6AA3"/>
    <w:rsid w:val="006F6B31"/>
    <w:rsid w:val="00700CD8"/>
    <w:rsid w:val="007014A2"/>
    <w:rsid w:val="00701C10"/>
    <w:rsid w:val="00701D7B"/>
    <w:rsid w:val="00702428"/>
    <w:rsid w:val="0070258C"/>
    <w:rsid w:val="00702FEF"/>
    <w:rsid w:val="0070342A"/>
    <w:rsid w:val="007035BA"/>
    <w:rsid w:val="00703D64"/>
    <w:rsid w:val="00704BB2"/>
    <w:rsid w:val="00706E8E"/>
    <w:rsid w:val="007070F0"/>
    <w:rsid w:val="0071045F"/>
    <w:rsid w:val="00711CFE"/>
    <w:rsid w:val="007120AD"/>
    <w:rsid w:val="007136A4"/>
    <w:rsid w:val="007141D9"/>
    <w:rsid w:val="007142C6"/>
    <w:rsid w:val="00714B91"/>
    <w:rsid w:val="00715CF9"/>
    <w:rsid w:val="007167F4"/>
    <w:rsid w:val="00716E64"/>
    <w:rsid w:val="00717B3E"/>
    <w:rsid w:val="007213BF"/>
    <w:rsid w:val="007219ED"/>
    <w:rsid w:val="00722B53"/>
    <w:rsid w:val="0072325E"/>
    <w:rsid w:val="00723877"/>
    <w:rsid w:val="00723BC1"/>
    <w:rsid w:val="00724140"/>
    <w:rsid w:val="00725102"/>
    <w:rsid w:val="00726188"/>
    <w:rsid w:val="00726F2B"/>
    <w:rsid w:val="00730FE5"/>
    <w:rsid w:val="007331C0"/>
    <w:rsid w:val="00733E11"/>
    <w:rsid w:val="007341F1"/>
    <w:rsid w:val="007343F5"/>
    <w:rsid w:val="00734963"/>
    <w:rsid w:val="0073625F"/>
    <w:rsid w:val="00736327"/>
    <w:rsid w:val="0073725E"/>
    <w:rsid w:val="0074071A"/>
    <w:rsid w:val="00740A31"/>
    <w:rsid w:val="007416D9"/>
    <w:rsid w:val="00741FD0"/>
    <w:rsid w:val="00742319"/>
    <w:rsid w:val="007424E2"/>
    <w:rsid w:val="00743D52"/>
    <w:rsid w:val="00744296"/>
    <w:rsid w:val="00745DD2"/>
    <w:rsid w:val="00747587"/>
    <w:rsid w:val="007504AF"/>
    <w:rsid w:val="007505E9"/>
    <w:rsid w:val="007509DD"/>
    <w:rsid w:val="0075172F"/>
    <w:rsid w:val="00751A17"/>
    <w:rsid w:val="00751B2D"/>
    <w:rsid w:val="007520C8"/>
    <w:rsid w:val="00752272"/>
    <w:rsid w:val="0075230C"/>
    <w:rsid w:val="00752CBE"/>
    <w:rsid w:val="00757C44"/>
    <w:rsid w:val="00757E8F"/>
    <w:rsid w:val="00760569"/>
    <w:rsid w:val="00760F28"/>
    <w:rsid w:val="007619B0"/>
    <w:rsid w:val="0076200D"/>
    <w:rsid w:val="0076342C"/>
    <w:rsid w:val="00763474"/>
    <w:rsid w:val="0076508F"/>
    <w:rsid w:val="007651E2"/>
    <w:rsid w:val="00765413"/>
    <w:rsid w:val="0076594C"/>
    <w:rsid w:val="00766C21"/>
    <w:rsid w:val="00767074"/>
    <w:rsid w:val="00771148"/>
    <w:rsid w:val="00771D75"/>
    <w:rsid w:val="0077228E"/>
    <w:rsid w:val="007731D3"/>
    <w:rsid w:val="00773964"/>
    <w:rsid w:val="00775441"/>
    <w:rsid w:val="00775641"/>
    <w:rsid w:val="007767E2"/>
    <w:rsid w:val="00776FBD"/>
    <w:rsid w:val="007810C7"/>
    <w:rsid w:val="00781724"/>
    <w:rsid w:val="00781836"/>
    <w:rsid w:val="00782DB8"/>
    <w:rsid w:val="00782DEE"/>
    <w:rsid w:val="00783928"/>
    <w:rsid w:val="00783C4F"/>
    <w:rsid w:val="00784C0A"/>
    <w:rsid w:val="0078674A"/>
    <w:rsid w:val="00787DDE"/>
    <w:rsid w:val="00787EF3"/>
    <w:rsid w:val="00790428"/>
    <w:rsid w:val="007909E3"/>
    <w:rsid w:val="00792A75"/>
    <w:rsid w:val="00792DFA"/>
    <w:rsid w:val="007933D8"/>
    <w:rsid w:val="00793EA5"/>
    <w:rsid w:val="00794020"/>
    <w:rsid w:val="00794841"/>
    <w:rsid w:val="00794B28"/>
    <w:rsid w:val="00794B40"/>
    <w:rsid w:val="00795090"/>
    <w:rsid w:val="00795E6E"/>
    <w:rsid w:val="00796455"/>
    <w:rsid w:val="00796815"/>
    <w:rsid w:val="007A05B8"/>
    <w:rsid w:val="007A082B"/>
    <w:rsid w:val="007A089A"/>
    <w:rsid w:val="007A0942"/>
    <w:rsid w:val="007A1079"/>
    <w:rsid w:val="007A1A1B"/>
    <w:rsid w:val="007A24B5"/>
    <w:rsid w:val="007A30CD"/>
    <w:rsid w:val="007A31E0"/>
    <w:rsid w:val="007A367F"/>
    <w:rsid w:val="007A3AD7"/>
    <w:rsid w:val="007A5F09"/>
    <w:rsid w:val="007A67B0"/>
    <w:rsid w:val="007A6858"/>
    <w:rsid w:val="007B0753"/>
    <w:rsid w:val="007B10D7"/>
    <w:rsid w:val="007B1582"/>
    <w:rsid w:val="007B1C8D"/>
    <w:rsid w:val="007B24A6"/>
    <w:rsid w:val="007B2677"/>
    <w:rsid w:val="007B2CF3"/>
    <w:rsid w:val="007B36DB"/>
    <w:rsid w:val="007B3978"/>
    <w:rsid w:val="007B3CED"/>
    <w:rsid w:val="007B3FD8"/>
    <w:rsid w:val="007B4A2C"/>
    <w:rsid w:val="007B4B25"/>
    <w:rsid w:val="007B5267"/>
    <w:rsid w:val="007B54F9"/>
    <w:rsid w:val="007B5EAB"/>
    <w:rsid w:val="007B63F2"/>
    <w:rsid w:val="007B66F8"/>
    <w:rsid w:val="007B67A3"/>
    <w:rsid w:val="007B76AB"/>
    <w:rsid w:val="007B77A2"/>
    <w:rsid w:val="007B7A67"/>
    <w:rsid w:val="007B7D4C"/>
    <w:rsid w:val="007C0788"/>
    <w:rsid w:val="007C17A6"/>
    <w:rsid w:val="007C1D0E"/>
    <w:rsid w:val="007C410B"/>
    <w:rsid w:val="007C4633"/>
    <w:rsid w:val="007C47A1"/>
    <w:rsid w:val="007C4AAF"/>
    <w:rsid w:val="007C4DB3"/>
    <w:rsid w:val="007C52DE"/>
    <w:rsid w:val="007C5EB0"/>
    <w:rsid w:val="007C6392"/>
    <w:rsid w:val="007C6544"/>
    <w:rsid w:val="007C6591"/>
    <w:rsid w:val="007C66A0"/>
    <w:rsid w:val="007C6D4E"/>
    <w:rsid w:val="007C7D11"/>
    <w:rsid w:val="007C7E41"/>
    <w:rsid w:val="007D1516"/>
    <w:rsid w:val="007D1F36"/>
    <w:rsid w:val="007D1FF0"/>
    <w:rsid w:val="007D225C"/>
    <w:rsid w:val="007D2B85"/>
    <w:rsid w:val="007D4E38"/>
    <w:rsid w:val="007D50F6"/>
    <w:rsid w:val="007D592B"/>
    <w:rsid w:val="007D5AA6"/>
    <w:rsid w:val="007D6654"/>
    <w:rsid w:val="007D6D71"/>
    <w:rsid w:val="007D6F99"/>
    <w:rsid w:val="007D763F"/>
    <w:rsid w:val="007D7A91"/>
    <w:rsid w:val="007E0796"/>
    <w:rsid w:val="007E267F"/>
    <w:rsid w:val="007E2688"/>
    <w:rsid w:val="007E4890"/>
    <w:rsid w:val="007E5055"/>
    <w:rsid w:val="007E5DE0"/>
    <w:rsid w:val="007E6456"/>
    <w:rsid w:val="007E64C8"/>
    <w:rsid w:val="007E764D"/>
    <w:rsid w:val="007E7B4B"/>
    <w:rsid w:val="007F002E"/>
    <w:rsid w:val="007F0587"/>
    <w:rsid w:val="007F1B50"/>
    <w:rsid w:val="007F27E9"/>
    <w:rsid w:val="007F3418"/>
    <w:rsid w:val="007F4389"/>
    <w:rsid w:val="007F487D"/>
    <w:rsid w:val="007F4BA9"/>
    <w:rsid w:val="007F529E"/>
    <w:rsid w:val="007F578F"/>
    <w:rsid w:val="007F6869"/>
    <w:rsid w:val="007F6BA3"/>
    <w:rsid w:val="007F708A"/>
    <w:rsid w:val="007F772C"/>
    <w:rsid w:val="00800326"/>
    <w:rsid w:val="0080085C"/>
    <w:rsid w:val="008022DD"/>
    <w:rsid w:val="0080270E"/>
    <w:rsid w:val="00803491"/>
    <w:rsid w:val="00803A25"/>
    <w:rsid w:val="00804C31"/>
    <w:rsid w:val="0080544F"/>
    <w:rsid w:val="00806F0A"/>
    <w:rsid w:val="0080769B"/>
    <w:rsid w:val="00811358"/>
    <w:rsid w:val="00811943"/>
    <w:rsid w:val="008131BE"/>
    <w:rsid w:val="00813384"/>
    <w:rsid w:val="008175FA"/>
    <w:rsid w:val="00817DCD"/>
    <w:rsid w:val="00817FE8"/>
    <w:rsid w:val="00820841"/>
    <w:rsid w:val="00820FD7"/>
    <w:rsid w:val="00823593"/>
    <w:rsid w:val="00824972"/>
    <w:rsid w:val="00825060"/>
    <w:rsid w:val="0082537A"/>
    <w:rsid w:val="008258DB"/>
    <w:rsid w:val="00825B22"/>
    <w:rsid w:val="00825C3A"/>
    <w:rsid w:val="008263AD"/>
    <w:rsid w:val="008263EC"/>
    <w:rsid w:val="00826804"/>
    <w:rsid w:val="00827545"/>
    <w:rsid w:val="00827A8A"/>
    <w:rsid w:val="00827BF4"/>
    <w:rsid w:val="00827DFA"/>
    <w:rsid w:val="008311B8"/>
    <w:rsid w:val="00831715"/>
    <w:rsid w:val="00831A6C"/>
    <w:rsid w:val="00832594"/>
    <w:rsid w:val="00832B1A"/>
    <w:rsid w:val="00832F18"/>
    <w:rsid w:val="0083311B"/>
    <w:rsid w:val="00833D7F"/>
    <w:rsid w:val="00833FB6"/>
    <w:rsid w:val="00834243"/>
    <w:rsid w:val="00834897"/>
    <w:rsid w:val="00835E69"/>
    <w:rsid w:val="008363D8"/>
    <w:rsid w:val="0083710D"/>
    <w:rsid w:val="0083755E"/>
    <w:rsid w:val="008443A4"/>
    <w:rsid w:val="00844737"/>
    <w:rsid w:val="00844738"/>
    <w:rsid w:val="00844C68"/>
    <w:rsid w:val="008451C3"/>
    <w:rsid w:val="008455A8"/>
    <w:rsid w:val="00846988"/>
    <w:rsid w:val="00846CC3"/>
    <w:rsid w:val="0084701D"/>
    <w:rsid w:val="00850631"/>
    <w:rsid w:val="008507C1"/>
    <w:rsid w:val="00850948"/>
    <w:rsid w:val="008527A7"/>
    <w:rsid w:val="00853409"/>
    <w:rsid w:val="00853B83"/>
    <w:rsid w:val="008550DC"/>
    <w:rsid w:val="008555F6"/>
    <w:rsid w:val="00855B54"/>
    <w:rsid w:val="008563AA"/>
    <w:rsid w:val="00856586"/>
    <w:rsid w:val="00856712"/>
    <w:rsid w:val="00857969"/>
    <w:rsid w:val="0085DB63"/>
    <w:rsid w:val="008605BF"/>
    <w:rsid w:val="00860922"/>
    <w:rsid w:val="008610A3"/>
    <w:rsid w:val="0086121F"/>
    <w:rsid w:val="008613DC"/>
    <w:rsid w:val="0086196D"/>
    <w:rsid w:val="0086208F"/>
    <w:rsid w:val="00862A99"/>
    <w:rsid w:val="00863983"/>
    <w:rsid w:val="00864E71"/>
    <w:rsid w:val="008653A9"/>
    <w:rsid w:val="008667C8"/>
    <w:rsid w:val="00866BDE"/>
    <w:rsid w:val="0086742C"/>
    <w:rsid w:val="008674DB"/>
    <w:rsid w:val="00867E4B"/>
    <w:rsid w:val="008708B7"/>
    <w:rsid w:val="00871938"/>
    <w:rsid w:val="00871AF7"/>
    <w:rsid w:val="00872BD1"/>
    <w:rsid w:val="00874716"/>
    <w:rsid w:val="00874BCA"/>
    <w:rsid w:val="00874D39"/>
    <w:rsid w:val="00876FCF"/>
    <w:rsid w:val="008770C2"/>
    <w:rsid w:val="00877FB0"/>
    <w:rsid w:val="008801F9"/>
    <w:rsid w:val="00880577"/>
    <w:rsid w:val="008812F4"/>
    <w:rsid w:val="008813E2"/>
    <w:rsid w:val="00881833"/>
    <w:rsid w:val="008818EF"/>
    <w:rsid w:val="00881C20"/>
    <w:rsid w:val="00882CC4"/>
    <w:rsid w:val="00883EF3"/>
    <w:rsid w:val="008844AC"/>
    <w:rsid w:val="00884763"/>
    <w:rsid w:val="008848B3"/>
    <w:rsid w:val="00885562"/>
    <w:rsid w:val="00886443"/>
    <w:rsid w:val="00890676"/>
    <w:rsid w:val="00890C39"/>
    <w:rsid w:val="00890FBF"/>
    <w:rsid w:val="0089201F"/>
    <w:rsid w:val="008930A2"/>
    <w:rsid w:val="00893867"/>
    <w:rsid w:val="00894DF0"/>
    <w:rsid w:val="00896E5D"/>
    <w:rsid w:val="0089743B"/>
    <w:rsid w:val="008979F8"/>
    <w:rsid w:val="00897CE5"/>
    <w:rsid w:val="008A004C"/>
    <w:rsid w:val="008A1267"/>
    <w:rsid w:val="008A189F"/>
    <w:rsid w:val="008A19A5"/>
    <w:rsid w:val="008A218F"/>
    <w:rsid w:val="008A2D19"/>
    <w:rsid w:val="008A2FCB"/>
    <w:rsid w:val="008A32B7"/>
    <w:rsid w:val="008A4D54"/>
    <w:rsid w:val="008A54C3"/>
    <w:rsid w:val="008A612D"/>
    <w:rsid w:val="008A68E9"/>
    <w:rsid w:val="008A733C"/>
    <w:rsid w:val="008B0085"/>
    <w:rsid w:val="008B02D3"/>
    <w:rsid w:val="008B2270"/>
    <w:rsid w:val="008B3060"/>
    <w:rsid w:val="008B5787"/>
    <w:rsid w:val="008B5ECC"/>
    <w:rsid w:val="008B62EC"/>
    <w:rsid w:val="008B65CD"/>
    <w:rsid w:val="008B6C65"/>
    <w:rsid w:val="008C0029"/>
    <w:rsid w:val="008C061C"/>
    <w:rsid w:val="008C0970"/>
    <w:rsid w:val="008C1D42"/>
    <w:rsid w:val="008C282D"/>
    <w:rsid w:val="008C3505"/>
    <w:rsid w:val="008C522C"/>
    <w:rsid w:val="008C5ABB"/>
    <w:rsid w:val="008C7F71"/>
    <w:rsid w:val="008D2FB2"/>
    <w:rsid w:val="008D339F"/>
    <w:rsid w:val="008D47EE"/>
    <w:rsid w:val="008D4F14"/>
    <w:rsid w:val="008D6C93"/>
    <w:rsid w:val="008D718A"/>
    <w:rsid w:val="008D776A"/>
    <w:rsid w:val="008D7C2E"/>
    <w:rsid w:val="008E1DDC"/>
    <w:rsid w:val="008E1E12"/>
    <w:rsid w:val="008E2537"/>
    <w:rsid w:val="008E3C3F"/>
    <w:rsid w:val="008E4A0E"/>
    <w:rsid w:val="008E4E40"/>
    <w:rsid w:val="008E4FE9"/>
    <w:rsid w:val="008E538C"/>
    <w:rsid w:val="008E58A6"/>
    <w:rsid w:val="008E58B9"/>
    <w:rsid w:val="008E5E32"/>
    <w:rsid w:val="008E6292"/>
    <w:rsid w:val="008E6C09"/>
    <w:rsid w:val="008E6EB2"/>
    <w:rsid w:val="008E7E81"/>
    <w:rsid w:val="008F1138"/>
    <w:rsid w:val="008F1912"/>
    <w:rsid w:val="008F1FA0"/>
    <w:rsid w:val="008F2345"/>
    <w:rsid w:val="008F23EB"/>
    <w:rsid w:val="008F2475"/>
    <w:rsid w:val="008F66AD"/>
    <w:rsid w:val="008F6EB4"/>
    <w:rsid w:val="008F74AD"/>
    <w:rsid w:val="008F7D0B"/>
    <w:rsid w:val="008F7F4C"/>
    <w:rsid w:val="00902215"/>
    <w:rsid w:val="0090305C"/>
    <w:rsid w:val="009039CD"/>
    <w:rsid w:val="00903B4B"/>
    <w:rsid w:val="00904288"/>
    <w:rsid w:val="00905C6A"/>
    <w:rsid w:val="00906635"/>
    <w:rsid w:val="00906B59"/>
    <w:rsid w:val="00907901"/>
    <w:rsid w:val="00907FF7"/>
    <w:rsid w:val="00910B14"/>
    <w:rsid w:val="0091107A"/>
    <w:rsid w:val="00913EEC"/>
    <w:rsid w:val="009142F0"/>
    <w:rsid w:val="00914728"/>
    <w:rsid w:val="00914A84"/>
    <w:rsid w:val="00914DCA"/>
    <w:rsid w:val="00914EDB"/>
    <w:rsid w:val="00914EEB"/>
    <w:rsid w:val="009152FA"/>
    <w:rsid w:val="009153D5"/>
    <w:rsid w:val="00915C1A"/>
    <w:rsid w:val="009170CE"/>
    <w:rsid w:val="009179B8"/>
    <w:rsid w:val="00917BA4"/>
    <w:rsid w:val="00917D6B"/>
    <w:rsid w:val="00917E28"/>
    <w:rsid w:val="00917F63"/>
    <w:rsid w:val="00920C98"/>
    <w:rsid w:val="009213B2"/>
    <w:rsid w:val="00921B98"/>
    <w:rsid w:val="0092268C"/>
    <w:rsid w:val="00924853"/>
    <w:rsid w:val="009253D5"/>
    <w:rsid w:val="00925AA5"/>
    <w:rsid w:val="00925C77"/>
    <w:rsid w:val="0092775E"/>
    <w:rsid w:val="0093040E"/>
    <w:rsid w:val="0093058E"/>
    <w:rsid w:val="009314E2"/>
    <w:rsid w:val="009325B4"/>
    <w:rsid w:val="009326EA"/>
    <w:rsid w:val="00933948"/>
    <w:rsid w:val="00934407"/>
    <w:rsid w:val="0093540D"/>
    <w:rsid w:val="009356D9"/>
    <w:rsid w:val="0093673D"/>
    <w:rsid w:val="0094019D"/>
    <w:rsid w:val="00941141"/>
    <w:rsid w:val="00941349"/>
    <w:rsid w:val="00942C11"/>
    <w:rsid w:val="00942D61"/>
    <w:rsid w:val="009431FA"/>
    <w:rsid w:val="009433DF"/>
    <w:rsid w:val="0094351F"/>
    <w:rsid w:val="00944ABD"/>
    <w:rsid w:val="00945200"/>
    <w:rsid w:val="0094561E"/>
    <w:rsid w:val="00945729"/>
    <w:rsid w:val="00946BC7"/>
    <w:rsid w:val="0094779F"/>
    <w:rsid w:val="0095161F"/>
    <w:rsid w:val="00952268"/>
    <w:rsid w:val="00952BD8"/>
    <w:rsid w:val="00952E14"/>
    <w:rsid w:val="009531DE"/>
    <w:rsid w:val="00953DBC"/>
    <w:rsid w:val="00954671"/>
    <w:rsid w:val="009547F8"/>
    <w:rsid w:val="009556E2"/>
    <w:rsid w:val="00955F32"/>
    <w:rsid w:val="0095615A"/>
    <w:rsid w:val="00956DF1"/>
    <w:rsid w:val="009570D7"/>
    <w:rsid w:val="00957968"/>
    <w:rsid w:val="00961F55"/>
    <w:rsid w:val="009660A9"/>
    <w:rsid w:val="009669A9"/>
    <w:rsid w:val="00971CAD"/>
    <w:rsid w:val="0097225C"/>
    <w:rsid w:val="009729D4"/>
    <w:rsid w:val="00973307"/>
    <w:rsid w:val="0097434C"/>
    <w:rsid w:val="009749AB"/>
    <w:rsid w:val="00975556"/>
    <w:rsid w:val="00976B05"/>
    <w:rsid w:val="00976FBD"/>
    <w:rsid w:val="00977162"/>
    <w:rsid w:val="009772E8"/>
    <w:rsid w:val="00980759"/>
    <w:rsid w:val="0098099C"/>
    <w:rsid w:val="009817B0"/>
    <w:rsid w:val="00981C38"/>
    <w:rsid w:val="00982165"/>
    <w:rsid w:val="009821CE"/>
    <w:rsid w:val="009833DE"/>
    <w:rsid w:val="00984174"/>
    <w:rsid w:val="00985B32"/>
    <w:rsid w:val="00985E0A"/>
    <w:rsid w:val="00987092"/>
    <w:rsid w:val="0098711D"/>
    <w:rsid w:val="00987D13"/>
    <w:rsid w:val="00987F13"/>
    <w:rsid w:val="0099120C"/>
    <w:rsid w:val="009914F4"/>
    <w:rsid w:val="00992939"/>
    <w:rsid w:val="00993530"/>
    <w:rsid w:val="00993716"/>
    <w:rsid w:val="00993E22"/>
    <w:rsid w:val="009943FC"/>
    <w:rsid w:val="00994881"/>
    <w:rsid w:val="00997123"/>
    <w:rsid w:val="009A0628"/>
    <w:rsid w:val="009A068D"/>
    <w:rsid w:val="009A1A71"/>
    <w:rsid w:val="009A1F2A"/>
    <w:rsid w:val="009A277C"/>
    <w:rsid w:val="009A2A89"/>
    <w:rsid w:val="009A3749"/>
    <w:rsid w:val="009A445F"/>
    <w:rsid w:val="009A4754"/>
    <w:rsid w:val="009A486E"/>
    <w:rsid w:val="009A5B84"/>
    <w:rsid w:val="009A619A"/>
    <w:rsid w:val="009A658F"/>
    <w:rsid w:val="009A665C"/>
    <w:rsid w:val="009B0F59"/>
    <w:rsid w:val="009B293C"/>
    <w:rsid w:val="009B33A3"/>
    <w:rsid w:val="009B3AB6"/>
    <w:rsid w:val="009B4027"/>
    <w:rsid w:val="009B4082"/>
    <w:rsid w:val="009B4A92"/>
    <w:rsid w:val="009B4F9C"/>
    <w:rsid w:val="009B6246"/>
    <w:rsid w:val="009B6AD1"/>
    <w:rsid w:val="009C14D9"/>
    <w:rsid w:val="009C1ADF"/>
    <w:rsid w:val="009C33CC"/>
    <w:rsid w:val="009C3A1A"/>
    <w:rsid w:val="009C4C1E"/>
    <w:rsid w:val="009C4E54"/>
    <w:rsid w:val="009C55A9"/>
    <w:rsid w:val="009C5C81"/>
    <w:rsid w:val="009C7636"/>
    <w:rsid w:val="009C7699"/>
    <w:rsid w:val="009C78BA"/>
    <w:rsid w:val="009C7C25"/>
    <w:rsid w:val="009C7C42"/>
    <w:rsid w:val="009D06E0"/>
    <w:rsid w:val="009D119C"/>
    <w:rsid w:val="009D1EE8"/>
    <w:rsid w:val="009D2109"/>
    <w:rsid w:val="009D30F1"/>
    <w:rsid w:val="009D36CB"/>
    <w:rsid w:val="009D426D"/>
    <w:rsid w:val="009D5831"/>
    <w:rsid w:val="009D58CA"/>
    <w:rsid w:val="009D5CAB"/>
    <w:rsid w:val="009E171B"/>
    <w:rsid w:val="009E17F3"/>
    <w:rsid w:val="009E26D4"/>
    <w:rsid w:val="009E37DD"/>
    <w:rsid w:val="009E3966"/>
    <w:rsid w:val="009E3A53"/>
    <w:rsid w:val="009E422E"/>
    <w:rsid w:val="009E490D"/>
    <w:rsid w:val="009E4A97"/>
    <w:rsid w:val="009E528C"/>
    <w:rsid w:val="009E5607"/>
    <w:rsid w:val="009E582F"/>
    <w:rsid w:val="009E5926"/>
    <w:rsid w:val="009E614F"/>
    <w:rsid w:val="009E7D23"/>
    <w:rsid w:val="009F0AE1"/>
    <w:rsid w:val="009F0C67"/>
    <w:rsid w:val="009F0DC2"/>
    <w:rsid w:val="009F15C9"/>
    <w:rsid w:val="009F3F67"/>
    <w:rsid w:val="009F4A30"/>
    <w:rsid w:val="009F4C4F"/>
    <w:rsid w:val="009F4EAE"/>
    <w:rsid w:val="009F5134"/>
    <w:rsid w:val="009F57FF"/>
    <w:rsid w:val="009F60A0"/>
    <w:rsid w:val="009F611D"/>
    <w:rsid w:val="009F6E6C"/>
    <w:rsid w:val="009F74B3"/>
    <w:rsid w:val="009F762C"/>
    <w:rsid w:val="00A00DF3"/>
    <w:rsid w:val="00A010C8"/>
    <w:rsid w:val="00A015E8"/>
    <w:rsid w:val="00A04295"/>
    <w:rsid w:val="00A0462A"/>
    <w:rsid w:val="00A04C96"/>
    <w:rsid w:val="00A04D36"/>
    <w:rsid w:val="00A04F2A"/>
    <w:rsid w:val="00A065B5"/>
    <w:rsid w:val="00A07D47"/>
    <w:rsid w:val="00A12DA5"/>
    <w:rsid w:val="00A12F62"/>
    <w:rsid w:val="00A132E6"/>
    <w:rsid w:val="00A13CAD"/>
    <w:rsid w:val="00A13E80"/>
    <w:rsid w:val="00A144FE"/>
    <w:rsid w:val="00A14F90"/>
    <w:rsid w:val="00A14FE9"/>
    <w:rsid w:val="00A16C10"/>
    <w:rsid w:val="00A16E7B"/>
    <w:rsid w:val="00A17180"/>
    <w:rsid w:val="00A1759C"/>
    <w:rsid w:val="00A17A28"/>
    <w:rsid w:val="00A21348"/>
    <w:rsid w:val="00A21938"/>
    <w:rsid w:val="00A2268D"/>
    <w:rsid w:val="00A25FC9"/>
    <w:rsid w:val="00A2688C"/>
    <w:rsid w:val="00A26A3C"/>
    <w:rsid w:val="00A26F38"/>
    <w:rsid w:val="00A275E1"/>
    <w:rsid w:val="00A278F5"/>
    <w:rsid w:val="00A30E8E"/>
    <w:rsid w:val="00A3131C"/>
    <w:rsid w:val="00A315E1"/>
    <w:rsid w:val="00A32349"/>
    <w:rsid w:val="00A32944"/>
    <w:rsid w:val="00A32D4B"/>
    <w:rsid w:val="00A33BF2"/>
    <w:rsid w:val="00A34D08"/>
    <w:rsid w:val="00A35AA2"/>
    <w:rsid w:val="00A35DFA"/>
    <w:rsid w:val="00A35F0E"/>
    <w:rsid w:val="00A36191"/>
    <w:rsid w:val="00A36669"/>
    <w:rsid w:val="00A3688B"/>
    <w:rsid w:val="00A369D5"/>
    <w:rsid w:val="00A37322"/>
    <w:rsid w:val="00A3749B"/>
    <w:rsid w:val="00A3775A"/>
    <w:rsid w:val="00A37D87"/>
    <w:rsid w:val="00A40A31"/>
    <w:rsid w:val="00A40F66"/>
    <w:rsid w:val="00A41DA5"/>
    <w:rsid w:val="00A42F9A"/>
    <w:rsid w:val="00A43059"/>
    <w:rsid w:val="00A43217"/>
    <w:rsid w:val="00A43C37"/>
    <w:rsid w:val="00A43DD3"/>
    <w:rsid w:val="00A44B6A"/>
    <w:rsid w:val="00A44E7F"/>
    <w:rsid w:val="00A44F6A"/>
    <w:rsid w:val="00A4500C"/>
    <w:rsid w:val="00A4572F"/>
    <w:rsid w:val="00A45CCF"/>
    <w:rsid w:val="00A46C0C"/>
    <w:rsid w:val="00A47559"/>
    <w:rsid w:val="00A47675"/>
    <w:rsid w:val="00A47A6D"/>
    <w:rsid w:val="00A47EC2"/>
    <w:rsid w:val="00A50D88"/>
    <w:rsid w:val="00A522E4"/>
    <w:rsid w:val="00A53BB9"/>
    <w:rsid w:val="00A54D4D"/>
    <w:rsid w:val="00A55F16"/>
    <w:rsid w:val="00A56923"/>
    <w:rsid w:val="00A56D7F"/>
    <w:rsid w:val="00A57A76"/>
    <w:rsid w:val="00A60DDC"/>
    <w:rsid w:val="00A61E7F"/>
    <w:rsid w:val="00A62204"/>
    <w:rsid w:val="00A62552"/>
    <w:rsid w:val="00A62D26"/>
    <w:rsid w:val="00A62E42"/>
    <w:rsid w:val="00A64264"/>
    <w:rsid w:val="00A64A71"/>
    <w:rsid w:val="00A65375"/>
    <w:rsid w:val="00A65C5E"/>
    <w:rsid w:val="00A66973"/>
    <w:rsid w:val="00A66B39"/>
    <w:rsid w:val="00A66B4E"/>
    <w:rsid w:val="00A71031"/>
    <w:rsid w:val="00A7131B"/>
    <w:rsid w:val="00A71515"/>
    <w:rsid w:val="00A72960"/>
    <w:rsid w:val="00A729ED"/>
    <w:rsid w:val="00A72D8F"/>
    <w:rsid w:val="00A7434A"/>
    <w:rsid w:val="00A76950"/>
    <w:rsid w:val="00A810E9"/>
    <w:rsid w:val="00A81409"/>
    <w:rsid w:val="00A81CF8"/>
    <w:rsid w:val="00A82471"/>
    <w:rsid w:val="00A8271F"/>
    <w:rsid w:val="00A83092"/>
    <w:rsid w:val="00A835C9"/>
    <w:rsid w:val="00A83DA2"/>
    <w:rsid w:val="00A83DEA"/>
    <w:rsid w:val="00A84112"/>
    <w:rsid w:val="00A851AE"/>
    <w:rsid w:val="00A86077"/>
    <w:rsid w:val="00A86DCF"/>
    <w:rsid w:val="00A87A65"/>
    <w:rsid w:val="00A87DB4"/>
    <w:rsid w:val="00A900BF"/>
    <w:rsid w:val="00A9070D"/>
    <w:rsid w:val="00A90D33"/>
    <w:rsid w:val="00A91255"/>
    <w:rsid w:val="00A91EAA"/>
    <w:rsid w:val="00A92464"/>
    <w:rsid w:val="00A9273C"/>
    <w:rsid w:val="00A929D7"/>
    <w:rsid w:val="00A93401"/>
    <w:rsid w:val="00A94BC7"/>
    <w:rsid w:val="00A95A2C"/>
    <w:rsid w:val="00A963DA"/>
    <w:rsid w:val="00A9736E"/>
    <w:rsid w:val="00A9749F"/>
    <w:rsid w:val="00AA0995"/>
    <w:rsid w:val="00AA0DDB"/>
    <w:rsid w:val="00AA2F18"/>
    <w:rsid w:val="00AA3171"/>
    <w:rsid w:val="00AA437F"/>
    <w:rsid w:val="00AA4660"/>
    <w:rsid w:val="00AA4BCE"/>
    <w:rsid w:val="00AA52CB"/>
    <w:rsid w:val="00AA5EC3"/>
    <w:rsid w:val="00AA5FA9"/>
    <w:rsid w:val="00AA649D"/>
    <w:rsid w:val="00AA64F6"/>
    <w:rsid w:val="00AA6929"/>
    <w:rsid w:val="00AA7202"/>
    <w:rsid w:val="00AB0146"/>
    <w:rsid w:val="00AB0427"/>
    <w:rsid w:val="00AB10E6"/>
    <w:rsid w:val="00AB15B0"/>
    <w:rsid w:val="00AB1BAB"/>
    <w:rsid w:val="00AB1E85"/>
    <w:rsid w:val="00AB37CF"/>
    <w:rsid w:val="00AB4217"/>
    <w:rsid w:val="00AB44FA"/>
    <w:rsid w:val="00AB5501"/>
    <w:rsid w:val="00AB6699"/>
    <w:rsid w:val="00AB6CCB"/>
    <w:rsid w:val="00AB7401"/>
    <w:rsid w:val="00AC1565"/>
    <w:rsid w:val="00AC1BDB"/>
    <w:rsid w:val="00AC21EE"/>
    <w:rsid w:val="00AC3196"/>
    <w:rsid w:val="00AC32E7"/>
    <w:rsid w:val="00AC51D7"/>
    <w:rsid w:val="00AC5221"/>
    <w:rsid w:val="00AC52F2"/>
    <w:rsid w:val="00AC57F8"/>
    <w:rsid w:val="00AC6229"/>
    <w:rsid w:val="00AC685A"/>
    <w:rsid w:val="00AC6EDE"/>
    <w:rsid w:val="00AC7637"/>
    <w:rsid w:val="00AC76E2"/>
    <w:rsid w:val="00AC7E5C"/>
    <w:rsid w:val="00AC7F79"/>
    <w:rsid w:val="00AD0A1B"/>
    <w:rsid w:val="00AD236C"/>
    <w:rsid w:val="00AD2B30"/>
    <w:rsid w:val="00AD2BE6"/>
    <w:rsid w:val="00AD34A7"/>
    <w:rsid w:val="00AD35B1"/>
    <w:rsid w:val="00AD47D3"/>
    <w:rsid w:val="00AD5BE2"/>
    <w:rsid w:val="00AD75E6"/>
    <w:rsid w:val="00AD7EA7"/>
    <w:rsid w:val="00AE0080"/>
    <w:rsid w:val="00AE0BA3"/>
    <w:rsid w:val="00AE0F42"/>
    <w:rsid w:val="00AE2F90"/>
    <w:rsid w:val="00AE34C6"/>
    <w:rsid w:val="00AE39EF"/>
    <w:rsid w:val="00AE5452"/>
    <w:rsid w:val="00AE5E3E"/>
    <w:rsid w:val="00AE6130"/>
    <w:rsid w:val="00AE7987"/>
    <w:rsid w:val="00AF0069"/>
    <w:rsid w:val="00AF0C9D"/>
    <w:rsid w:val="00AF185C"/>
    <w:rsid w:val="00AF1D19"/>
    <w:rsid w:val="00AF2C35"/>
    <w:rsid w:val="00AF3064"/>
    <w:rsid w:val="00AF4AF4"/>
    <w:rsid w:val="00AF4D81"/>
    <w:rsid w:val="00AF534C"/>
    <w:rsid w:val="00AF5E9C"/>
    <w:rsid w:val="00AF7B50"/>
    <w:rsid w:val="00AF7D1D"/>
    <w:rsid w:val="00B00D11"/>
    <w:rsid w:val="00B01044"/>
    <w:rsid w:val="00B01EB5"/>
    <w:rsid w:val="00B01FB9"/>
    <w:rsid w:val="00B02436"/>
    <w:rsid w:val="00B02977"/>
    <w:rsid w:val="00B03DD6"/>
    <w:rsid w:val="00B0467A"/>
    <w:rsid w:val="00B04BA7"/>
    <w:rsid w:val="00B05057"/>
    <w:rsid w:val="00B0589F"/>
    <w:rsid w:val="00B05AFB"/>
    <w:rsid w:val="00B0694A"/>
    <w:rsid w:val="00B06D9E"/>
    <w:rsid w:val="00B06F64"/>
    <w:rsid w:val="00B10ACC"/>
    <w:rsid w:val="00B12F64"/>
    <w:rsid w:val="00B157AF"/>
    <w:rsid w:val="00B167E0"/>
    <w:rsid w:val="00B17C01"/>
    <w:rsid w:val="00B17FA8"/>
    <w:rsid w:val="00B208F4"/>
    <w:rsid w:val="00B20FA1"/>
    <w:rsid w:val="00B211F1"/>
    <w:rsid w:val="00B21387"/>
    <w:rsid w:val="00B213C3"/>
    <w:rsid w:val="00B223B4"/>
    <w:rsid w:val="00B22E1B"/>
    <w:rsid w:val="00B24C4A"/>
    <w:rsid w:val="00B2553A"/>
    <w:rsid w:val="00B274BF"/>
    <w:rsid w:val="00B27738"/>
    <w:rsid w:val="00B27A4C"/>
    <w:rsid w:val="00B27CF7"/>
    <w:rsid w:val="00B300C2"/>
    <w:rsid w:val="00B300DA"/>
    <w:rsid w:val="00B30C12"/>
    <w:rsid w:val="00B313A5"/>
    <w:rsid w:val="00B318B0"/>
    <w:rsid w:val="00B31EC7"/>
    <w:rsid w:val="00B3201A"/>
    <w:rsid w:val="00B34408"/>
    <w:rsid w:val="00B3485A"/>
    <w:rsid w:val="00B35409"/>
    <w:rsid w:val="00B3583B"/>
    <w:rsid w:val="00B36132"/>
    <w:rsid w:val="00B3631D"/>
    <w:rsid w:val="00B37003"/>
    <w:rsid w:val="00B37350"/>
    <w:rsid w:val="00B37A8F"/>
    <w:rsid w:val="00B37AF2"/>
    <w:rsid w:val="00B404EE"/>
    <w:rsid w:val="00B413DD"/>
    <w:rsid w:val="00B42329"/>
    <w:rsid w:val="00B424F7"/>
    <w:rsid w:val="00B42AA7"/>
    <w:rsid w:val="00B43281"/>
    <w:rsid w:val="00B4376E"/>
    <w:rsid w:val="00B4415B"/>
    <w:rsid w:val="00B443AD"/>
    <w:rsid w:val="00B4501C"/>
    <w:rsid w:val="00B4574A"/>
    <w:rsid w:val="00B45A99"/>
    <w:rsid w:val="00B45FB2"/>
    <w:rsid w:val="00B464B0"/>
    <w:rsid w:val="00B4663C"/>
    <w:rsid w:val="00B467F7"/>
    <w:rsid w:val="00B46C82"/>
    <w:rsid w:val="00B503CC"/>
    <w:rsid w:val="00B51E41"/>
    <w:rsid w:val="00B51F6C"/>
    <w:rsid w:val="00B53122"/>
    <w:rsid w:val="00B539F8"/>
    <w:rsid w:val="00B54E12"/>
    <w:rsid w:val="00B54E7B"/>
    <w:rsid w:val="00B557D9"/>
    <w:rsid w:val="00B56507"/>
    <w:rsid w:val="00B56CDF"/>
    <w:rsid w:val="00B56F0B"/>
    <w:rsid w:val="00B57AEC"/>
    <w:rsid w:val="00B57B9B"/>
    <w:rsid w:val="00B604DA"/>
    <w:rsid w:val="00B60D99"/>
    <w:rsid w:val="00B6266B"/>
    <w:rsid w:val="00B65173"/>
    <w:rsid w:val="00B65347"/>
    <w:rsid w:val="00B653F3"/>
    <w:rsid w:val="00B654E9"/>
    <w:rsid w:val="00B65DE1"/>
    <w:rsid w:val="00B714CF"/>
    <w:rsid w:val="00B725C5"/>
    <w:rsid w:val="00B739DD"/>
    <w:rsid w:val="00B73CDA"/>
    <w:rsid w:val="00B75F41"/>
    <w:rsid w:val="00B7700D"/>
    <w:rsid w:val="00B774CD"/>
    <w:rsid w:val="00B80488"/>
    <w:rsid w:val="00B82A56"/>
    <w:rsid w:val="00B844F5"/>
    <w:rsid w:val="00B847A9"/>
    <w:rsid w:val="00B84DAE"/>
    <w:rsid w:val="00B84E19"/>
    <w:rsid w:val="00B8592B"/>
    <w:rsid w:val="00B860E9"/>
    <w:rsid w:val="00B865FE"/>
    <w:rsid w:val="00B86AAC"/>
    <w:rsid w:val="00B86AEA"/>
    <w:rsid w:val="00B86B0B"/>
    <w:rsid w:val="00B87366"/>
    <w:rsid w:val="00B87766"/>
    <w:rsid w:val="00B87927"/>
    <w:rsid w:val="00B91B26"/>
    <w:rsid w:val="00B92867"/>
    <w:rsid w:val="00B952F3"/>
    <w:rsid w:val="00B95678"/>
    <w:rsid w:val="00B958A0"/>
    <w:rsid w:val="00B96288"/>
    <w:rsid w:val="00B965C5"/>
    <w:rsid w:val="00B96863"/>
    <w:rsid w:val="00B96E5F"/>
    <w:rsid w:val="00B96F9E"/>
    <w:rsid w:val="00B97507"/>
    <w:rsid w:val="00BA07A4"/>
    <w:rsid w:val="00BA1542"/>
    <w:rsid w:val="00BA18DF"/>
    <w:rsid w:val="00BA2260"/>
    <w:rsid w:val="00BA2961"/>
    <w:rsid w:val="00BA3985"/>
    <w:rsid w:val="00BA40C2"/>
    <w:rsid w:val="00BA6693"/>
    <w:rsid w:val="00BA6A94"/>
    <w:rsid w:val="00BA6F9F"/>
    <w:rsid w:val="00BA79E3"/>
    <w:rsid w:val="00BB069B"/>
    <w:rsid w:val="00BB2144"/>
    <w:rsid w:val="00BB303F"/>
    <w:rsid w:val="00BB4449"/>
    <w:rsid w:val="00BB4A89"/>
    <w:rsid w:val="00BB4C89"/>
    <w:rsid w:val="00BB59B6"/>
    <w:rsid w:val="00BB6ACF"/>
    <w:rsid w:val="00BB73E1"/>
    <w:rsid w:val="00BC0705"/>
    <w:rsid w:val="00BC0F73"/>
    <w:rsid w:val="00BC1697"/>
    <w:rsid w:val="00BC1AA3"/>
    <w:rsid w:val="00BC25D5"/>
    <w:rsid w:val="00BC2807"/>
    <w:rsid w:val="00BC2D20"/>
    <w:rsid w:val="00BC2FFF"/>
    <w:rsid w:val="00BC3667"/>
    <w:rsid w:val="00BC3A17"/>
    <w:rsid w:val="00BC3EEE"/>
    <w:rsid w:val="00BC5193"/>
    <w:rsid w:val="00BD095B"/>
    <w:rsid w:val="00BD10EE"/>
    <w:rsid w:val="00BD25E6"/>
    <w:rsid w:val="00BD26AA"/>
    <w:rsid w:val="00BD32CF"/>
    <w:rsid w:val="00BD4201"/>
    <w:rsid w:val="00BD454F"/>
    <w:rsid w:val="00BD5CB1"/>
    <w:rsid w:val="00BD69FF"/>
    <w:rsid w:val="00BD6A83"/>
    <w:rsid w:val="00BD6B8A"/>
    <w:rsid w:val="00BD7846"/>
    <w:rsid w:val="00BE0227"/>
    <w:rsid w:val="00BE09A5"/>
    <w:rsid w:val="00BE0E60"/>
    <w:rsid w:val="00BE28A2"/>
    <w:rsid w:val="00BE3276"/>
    <w:rsid w:val="00BE37E5"/>
    <w:rsid w:val="00BE402E"/>
    <w:rsid w:val="00BE42C1"/>
    <w:rsid w:val="00BE534C"/>
    <w:rsid w:val="00BE5428"/>
    <w:rsid w:val="00BE5A91"/>
    <w:rsid w:val="00BE5E35"/>
    <w:rsid w:val="00BE6CBF"/>
    <w:rsid w:val="00BE73DC"/>
    <w:rsid w:val="00BF0E89"/>
    <w:rsid w:val="00BF1259"/>
    <w:rsid w:val="00BF14D7"/>
    <w:rsid w:val="00BF1BF5"/>
    <w:rsid w:val="00BF1C69"/>
    <w:rsid w:val="00BF2C75"/>
    <w:rsid w:val="00BF3064"/>
    <w:rsid w:val="00BF3864"/>
    <w:rsid w:val="00BF39EF"/>
    <w:rsid w:val="00BF3F5F"/>
    <w:rsid w:val="00BF41A0"/>
    <w:rsid w:val="00BF42B4"/>
    <w:rsid w:val="00BF48AA"/>
    <w:rsid w:val="00BF4930"/>
    <w:rsid w:val="00BF4A86"/>
    <w:rsid w:val="00BF550C"/>
    <w:rsid w:val="00BF5635"/>
    <w:rsid w:val="00BF628B"/>
    <w:rsid w:val="00BF7AC3"/>
    <w:rsid w:val="00BF7E2F"/>
    <w:rsid w:val="00C007D4"/>
    <w:rsid w:val="00C01214"/>
    <w:rsid w:val="00C01B90"/>
    <w:rsid w:val="00C01DCC"/>
    <w:rsid w:val="00C02BAE"/>
    <w:rsid w:val="00C032B9"/>
    <w:rsid w:val="00C0480F"/>
    <w:rsid w:val="00C048C9"/>
    <w:rsid w:val="00C04B0B"/>
    <w:rsid w:val="00C06E43"/>
    <w:rsid w:val="00C07E39"/>
    <w:rsid w:val="00C10867"/>
    <w:rsid w:val="00C11023"/>
    <w:rsid w:val="00C115D9"/>
    <w:rsid w:val="00C121CE"/>
    <w:rsid w:val="00C12578"/>
    <w:rsid w:val="00C1273D"/>
    <w:rsid w:val="00C1479D"/>
    <w:rsid w:val="00C147CE"/>
    <w:rsid w:val="00C14988"/>
    <w:rsid w:val="00C160B1"/>
    <w:rsid w:val="00C16A8A"/>
    <w:rsid w:val="00C172A6"/>
    <w:rsid w:val="00C202B3"/>
    <w:rsid w:val="00C21EE0"/>
    <w:rsid w:val="00C223AE"/>
    <w:rsid w:val="00C2265B"/>
    <w:rsid w:val="00C226DE"/>
    <w:rsid w:val="00C22867"/>
    <w:rsid w:val="00C255F7"/>
    <w:rsid w:val="00C2685F"/>
    <w:rsid w:val="00C2700D"/>
    <w:rsid w:val="00C27739"/>
    <w:rsid w:val="00C30297"/>
    <w:rsid w:val="00C324EA"/>
    <w:rsid w:val="00C32946"/>
    <w:rsid w:val="00C32B12"/>
    <w:rsid w:val="00C32CD4"/>
    <w:rsid w:val="00C32DF9"/>
    <w:rsid w:val="00C332D0"/>
    <w:rsid w:val="00C337AF"/>
    <w:rsid w:val="00C33941"/>
    <w:rsid w:val="00C33B84"/>
    <w:rsid w:val="00C37FF6"/>
    <w:rsid w:val="00C403B5"/>
    <w:rsid w:val="00C409F9"/>
    <w:rsid w:val="00C4209F"/>
    <w:rsid w:val="00C421E3"/>
    <w:rsid w:val="00C424CD"/>
    <w:rsid w:val="00C43A4A"/>
    <w:rsid w:val="00C43C60"/>
    <w:rsid w:val="00C444D0"/>
    <w:rsid w:val="00C448AB"/>
    <w:rsid w:val="00C44D8E"/>
    <w:rsid w:val="00C45385"/>
    <w:rsid w:val="00C47DC6"/>
    <w:rsid w:val="00C50630"/>
    <w:rsid w:val="00C531CD"/>
    <w:rsid w:val="00C53656"/>
    <w:rsid w:val="00C53F38"/>
    <w:rsid w:val="00C54481"/>
    <w:rsid w:val="00C549CF"/>
    <w:rsid w:val="00C54AD6"/>
    <w:rsid w:val="00C55058"/>
    <w:rsid w:val="00C55B5D"/>
    <w:rsid w:val="00C57889"/>
    <w:rsid w:val="00C57982"/>
    <w:rsid w:val="00C579F0"/>
    <w:rsid w:val="00C614BF"/>
    <w:rsid w:val="00C616E0"/>
    <w:rsid w:val="00C61E36"/>
    <w:rsid w:val="00C61E5B"/>
    <w:rsid w:val="00C62603"/>
    <w:rsid w:val="00C63319"/>
    <w:rsid w:val="00C6382A"/>
    <w:rsid w:val="00C63FBC"/>
    <w:rsid w:val="00C66448"/>
    <w:rsid w:val="00C66B87"/>
    <w:rsid w:val="00C67658"/>
    <w:rsid w:val="00C713C9"/>
    <w:rsid w:val="00C719FF"/>
    <w:rsid w:val="00C72318"/>
    <w:rsid w:val="00C724E6"/>
    <w:rsid w:val="00C7258F"/>
    <w:rsid w:val="00C728CD"/>
    <w:rsid w:val="00C73C02"/>
    <w:rsid w:val="00C747A5"/>
    <w:rsid w:val="00C74875"/>
    <w:rsid w:val="00C75474"/>
    <w:rsid w:val="00C75B38"/>
    <w:rsid w:val="00C76139"/>
    <w:rsid w:val="00C761DD"/>
    <w:rsid w:val="00C76CF6"/>
    <w:rsid w:val="00C804A4"/>
    <w:rsid w:val="00C81611"/>
    <w:rsid w:val="00C8177F"/>
    <w:rsid w:val="00C8216A"/>
    <w:rsid w:val="00C8241B"/>
    <w:rsid w:val="00C8409E"/>
    <w:rsid w:val="00C84518"/>
    <w:rsid w:val="00C84807"/>
    <w:rsid w:val="00C85314"/>
    <w:rsid w:val="00C85B38"/>
    <w:rsid w:val="00C86818"/>
    <w:rsid w:val="00C87639"/>
    <w:rsid w:val="00C908DB"/>
    <w:rsid w:val="00C95270"/>
    <w:rsid w:val="00C9576B"/>
    <w:rsid w:val="00C977AC"/>
    <w:rsid w:val="00CA0116"/>
    <w:rsid w:val="00CA01A1"/>
    <w:rsid w:val="00CA042B"/>
    <w:rsid w:val="00CA1461"/>
    <w:rsid w:val="00CA1710"/>
    <w:rsid w:val="00CA1AB9"/>
    <w:rsid w:val="00CA24C1"/>
    <w:rsid w:val="00CA2B25"/>
    <w:rsid w:val="00CA2F82"/>
    <w:rsid w:val="00CA4BC0"/>
    <w:rsid w:val="00CA5CA8"/>
    <w:rsid w:val="00CA6246"/>
    <w:rsid w:val="00CA637F"/>
    <w:rsid w:val="00CA71F7"/>
    <w:rsid w:val="00CB0016"/>
    <w:rsid w:val="00CB004C"/>
    <w:rsid w:val="00CB0157"/>
    <w:rsid w:val="00CB0DB7"/>
    <w:rsid w:val="00CB0F8D"/>
    <w:rsid w:val="00CB1461"/>
    <w:rsid w:val="00CB1821"/>
    <w:rsid w:val="00CB1A80"/>
    <w:rsid w:val="00CB1EB3"/>
    <w:rsid w:val="00CB22AC"/>
    <w:rsid w:val="00CB39DD"/>
    <w:rsid w:val="00CB4DF4"/>
    <w:rsid w:val="00CB5205"/>
    <w:rsid w:val="00CB5523"/>
    <w:rsid w:val="00CB57B1"/>
    <w:rsid w:val="00CB5CC3"/>
    <w:rsid w:val="00CB7109"/>
    <w:rsid w:val="00CB789D"/>
    <w:rsid w:val="00CB7AA8"/>
    <w:rsid w:val="00CC03EC"/>
    <w:rsid w:val="00CC131E"/>
    <w:rsid w:val="00CC2790"/>
    <w:rsid w:val="00CC3166"/>
    <w:rsid w:val="00CC3B58"/>
    <w:rsid w:val="00CC4BFC"/>
    <w:rsid w:val="00CC5311"/>
    <w:rsid w:val="00CC559D"/>
    <w:rsid w:val="00CC60E1"/>
    <w:rsid w:val="00CC7921"/>
    <w:rsid w:val="00CD0583"/>
    <w:rsid w:val="00CD157D"/>
    <w:rsid w:val="00CD19AD"/>
    <w:rsid w:val="00CD26F9"/>
    <w:rsid w:val="00CD480F"/>
    <w:rsid w:val="00CD5249"/>
    <w:rsid w:val="00CD654B"/>
    <w:rsid w:val="00CD6668"/>
    <w:rsid w:val="00CD7D8E"/>
    <w:rsid w:val="00CE0AF3"/>
    <w:rsid w:val="00CE0F25"/>
    <w:rsid w:val="00CE2127"/>
    <w:rsid w:val="00CE223E"/>
    <w:rsid w:val="00CE274E"/>
    <w:rsid w:val="00CE3AFF"/>
    <w:rsid w:val="00CE5A9D"/>
    <w:rsid w:val="00CE5CA1"/>
    <w:rsid w:val="00CE5CD7"/>
    <w:rsid w:val="00CE6558"/>
    <w:rsid w:val="00CE6A63"/>
    <w:rsid w:val="00CE78DC"/>
    <w:rsid w:val="00CE7E7C"/>
    <w:rsid w:val="00CF0458"/>
    <w:rsid w:val="00CF0615"/>
    <w:rsid w:val="00CF0E9B"/>
    <w:rsid w:val="00CF1C6D"/>
    <w:rsid w:val="00CF272E"/>
    <w:rsid w:val="00CF3334"/>
    <w:rsid w:val="00CF3AB9"/>
    <w:rsid w:val="00CF3E4C"/>
    <w:rsid w:val="00CF3F0D"/>
    <w:rsid w:val="00CF3F78"/>
    <w:rsid w:val="00CF566D"/>
    <w:rsid w:val="00CF637B"/>
    <w:rsid w:val="00CF75EC"/>
    <w:rsid w:val="00CF77C4"/>
    <w:rsid w:val="00D00FCF"/>
    <w:rsid w:val="00D01562"/>
    <w:rsid w:val="00D04199"/>
    <w:rsid w:val="00D06C12"/>
    <w:rsid w:val="00D06CC7"/>
    <w:rsid w:val="00D07F62"/>
    <w:rsid w:val="00D101F7"/>
    <w:rsid w:val="00D108C4"/>
    <w:rsid w:val="00D10933"/>
    <w:rsid w:val="00D12543"/>
    <w:rsid w:val="00D13DCD"/>
    <w:rsid w:val="00D145F5"/>
    <w:rsid w:val="00D148EE"/>
    <w:rsid w:val="00D14BFF"/>
    <w:rsid w:val="00D151D8"/>
    <w:rsid w:val="00D15FEE"/>
    <w:rsid w:val="00D160BB"/>
    <w:rsid w:val="00D16972"/>
    <w:rsid w:val="00D1717D"/>
    <w:rsid w:val="00D2026B"/>
    <w:rsid w:val="00D2042D"/>
    <w:rsid w:val="00D20F32"/>
    <w:rsid w:val="00D211F6"/>
    <w:rsid w:val="00D219DF"/>
    <w:rsid w:val="00D21CF4"/>
    <w:rsid w:val="00D24DFB"/>
    <w:rsid w:val="00D24FCF"/>
    <w:rsid w:val="00D25E56"/>
    <w:rsid w:val="00D27472"/>
    <w:rsid w:val="00D27CE0"/>
    <w:rsid w:val="00D30537"/>
    <w:rsid w:val="00D30624"/>
    <w:rsid w:val="00D3087F"/>
    <w:rsid w:val="00D30AFE"/>
    <w:rsid w:val="00D30BE5"/>
    <w:rsid w:val="00D30D8B"/>
    <w:rsid w:val="00D323AC"/>
    <w:rsid w:val="00D32531"/>
    <w:rsid w:val="00D32578"/>
    <w:rsid w:val="00D336C6"/>
    <w:rsid w:val="00D344CC"/>
    <w:rsid w:val="00D34EBC"/>
    <w:rsid w:val="00D355F0"/>
    <w:rsid w:val="00D361DA"/>
    <w:rsid w:val="00D363BB"/>
    <w:rsid w:val="00D3754B"/>
    <w:rsid w:val="00D401C9"/>
    <w:rsid w:val="00D403DB"/>
    <w:rsid w:val="00D40BEB"/>
    <w:rsid w:val="00D41B1F"/>
    <w:rsid w:val="00D42163"/>
    <w:rsid w:val="00D42418"/>
    <w:rsid w:val="00D43AC8"/>
    <w:rsid w:val="00D43EA2"/>
    <w:rsid w:val="00D443B5"/>
    <w:rsid w:val="00D44632"/>
    <w:rsid w:val="00D45037"/>
    <w:rsid w:val="00D453EF"/>
    <w:rsid w:val="00D4566D"/>
    <w:rsid w:val="00D45E46"/>
    <w:rsid w:val="00D46B4B"/>
    <w:rsid w:val="00D4752B"/>
    <w:rsid w:val="00D502FA"/>
    <w:rsid w:val="00D50875"/>
    <w:rsid w:val="00D51474"/>
    <w:rsid w:val="00D528BA"/>
    <w:rsid w:val="00D54E9B"/>
    <w:rsid w:val="00D55781"/>
    <w:rsid w:val="00D55B55"/>
    <w:rsid w:val="00D56113"/>
    <w:rsid w:val="00D564AC"/>
    <w:rsid w:val="00D565A5"/>
    <w:rsid w:val="00D57573"/>
    <w:rsid w:val="00D57CC5"/>
    <w:rsid w:val="00D6048A"/>
    <w:rsid w:val="00D61A35"/>
    <w:rsid w:val="00D621FF"/>
    <w:rsid w:val="00D62FF7"/>
    <w:rsid w:val="00D63697"/>
    <w:rsid w:val="00D63A9E"/>
    <w:rsid w:val="00D64BB7"/>
    <w:rsid w:val="00D651D0"/>
    <w:rsid w:val="00D6521B"/>
    <w:rsid w:val="00D65855"/>
    <w:rsid w:val="00D65912"/>
    <w:rsid w:val="00D65C0C"/>
    <w:rsid w:val="00D66357"/>
    <w:rsid w:val="00D66C43"/>
    <w:rsid w:val="00D66CD3"/>
    <w:rsid w:val="00D67C8D"/>
    <w:rsid w:val="00D70DD2"/>
    <w:rsid w:val="00D71082"/>
    <w:rsid w:val="00D71790"/>
    <w:rsid w:val="00D71EFD"/>
    <w:rsid w:val="00D7234D"/>
    <w:rsid w:val="00D72C3B"/>
    <w:rsid w:val="00D73954"/>
    <w:rsid w:val="00D7427B"/>
    <w:rsid w:val="00D75507"/>
    <w:rsid w:val="00D757B2"/>
    <w:rsid w:val="00D7702C"/>
    <w:rsid w:val="00D773E5"/>
    <w:rsid w:val="00D77F4A"/>
    <w:rsid w:val="00D80078"/>
    <w:rsid w:val="00D8053A"/>
    <w:rsid w:val="00D805D2"/>
    <w:rsid w:val="00D80BAD"/>
    <w:rsid w:val="00D8162A"/>
    <w:rsid w:val="00D83311"/>
    <w:rsid w:val="00D833B3"/>
    <w:rsid w:val="00D833D9"/>
    <w:rsid w:val="00D83B7A"/>
    <w:rsid w:val="00D83BD9"/>
    <w:rsid w:val="00D83CF5"/>
    <w:rsid w:val="00D84566"/>
    <w:rsid w:val="00D86854"/>
    <w:rsid w:val="00D86EBA"/>
    <w:rsid w:val="00D870A0"/>
    <w:rsid w:val="00D8790C"/>
    <w:rsid w:val="00D90E16"/>
    <w:rsid w:val="00D91238"/>
    <w:rsid w:val="00D92236"/>
    <w:rsid w:val="00D930B2"/>
    <w:rsid w:val="00D937AD"/>
    <w:rsid w:val="00D93A47"/>
    <w:rsid w:val="00D94108"/>
    <w:rsid w:val="00D943D3"/>
    <w:rsid w:val="00D94B2F"/>
    <w:rsid w:val="00D94DCF"/>
    <w:rsid w:val="00D94EAE"/>
    <w:rsid w:val="00D95DD0"/>
    <w:rsid w:val="00D96A17"/>
    <w:rsid w:val="00D9754B"/>
    <w:rsid w:val="00DA27F9"/>
    <w:rsid w:val="00DA3142"/>
    <w:rsid w:val="00DA3900"/>
    <w:rsid w:val="00DA3C0A"/>
    <w:rsid w:val="00DA4883"/>
    <w:rsid w:val="00DA5853"/>
    <w:rsid w:val="00DA586F"/>
    <w:rsid w:val="00DA5F3C"/>
    <w:rsid w:val="00DA619C"/>
    <w:rsid w:val="00DA6A5B"/>
    <w:rsid w:val="00DA7793"/>
    <w:rsid w:val="00DB07D0"/>
    <w:rsid w:val="00DB08DA"/>
    <w:rsid w:val="00DB0D7F"/>
    <w:rsid w:val="00DB1117"/>
    <w:rsid w:val="00DB25D4"/>
    <w:rsid w:val="00DB281D"/>
    <w:rsid w:val="00DB39BA"/>
    <w:rsid w:val="00DB3C5B"/>
    <w:rsid w:val="00DB4587"/>
    <w:rsid w:val="00DB4D26"/>
    <w:rsid w:val="00DB570A"/>
    <w:rsid w:val="00DB74B4"/>
    <w:rsid w:val="00DB7BE5"/>
    <w:rsid w:val="00DB7EE7"/>
    <w:rsid w:val="00DB7F09"/>
    <w:rsid w:val="00DC00E8"/>
    <w:rsid w:val="00DC06A6"/>
    <w:rsid w:val="00DC0FE9"/>
    <w:rsid w:val="00DC10E6"/>
    <w:rsid w:val="00DC134A"/>
    <w:rsid w:val="00DC1574"/>
    <w:rsid w:val="00DC1A2F"/>
    <w:rsid w:val="00DC1C56"/>
    <w:rsid w:val="00DC2185"/>
    <w:rsid w:val="00DC2640"/>
    <w:rsid w:val="00DC2E79"/>
    <w:rsid w:val="00DC3114"/>
    <w:rsid w:val="00DC4756"/>
    <w:rsid w:val="00DC4824"/>
    <w:rsid w:val="00DC4A2A"/>
    <w:rsid w:val="00DC54BD"/>
    <w:rsid w:val="00DC58E7"/>
    <w:rsid w:val="00DC6379"/>
    <w:rsid w:val="00DD12BA"/>
    <w:rsid w:val="00DD368A"/>
    <w:rsid w:val="00DD4EB3"/>
    <w:rsid w:val="00DD509D"/>
    <w:rsid w:val="00DD57C9"/>
    <w:rsid w:val="00DD5AD2"/>
    <w:rsid w:val="00DD5AF1"/>
    <w:rsid w:val="00DD6B30"/>
    <w:rsid w:val="00DD745A"/>
    <w:rsid w:val="00DD7C7C"/>
    <w:rsid w:val="00DE0149"/>
    <w:rsid w:val="00DE0431"/>
    <w:rsid w:val="00DE0BB1"/>
    <w:rsid w:val="00DE0FE8"/>
    <w:rsid w:val="00DE36F3"/>
    <w:rsid w:val="00DE3C77"/>
    <w:rsid w:val="00DE4D7C"/>
    <w:rsid w:val="00DE5008"/>
    <w:rsid w:val="00DE56D9"/>
    <w:rsid w:val="00DE7BA5"/>
    <w:rsid w:val="00DF20D5"/>
    <w:rsid w:val="00DF48E7"/>
    <w:rsid w:val="00DF4EB2"/>
    <w:rsid w:val="00DF55D4"/>
    <w:rsid w:val="00DF61B7"/>
    <w:rsid w:val="00DF6F61"/>
    <w:rsid w:val="00DF79CF"/>
    <w:rsid w:val="00E00165"/>
    <w:rsid w:val="00E00C35"/>
    <w:rsid w:val="00E01BBE"/>
    <w:rsid w:val="00E028AA"/>
    <w:rsid w:val="00E031D1"/>
    <w:rsid w:val="00E038A6"/>
    <w:rsid w:val="00E04DC6"/>
    <w:rsid w:val="00E051F6"/>
    <w:rsid w:val="00E05C4F"/>
    <w:rsid w:val="00E06A27"/>
    <w:rsid w:val="00E06CFE"/>
    <w:rsid w:val="00E06F3B"/>
    <w:rsid w:val="00E101C6"/>
    <w:rsid w:val="00E103DC"/>
    <w:rsid w:val="00E10D15"/>
    <w:rsid w:val="00E114EE"/>
    <w:rsid w:val="00E115D3"/>
    <w:rsid w:val="00E11860"/>
    <w:rsid w:val="00E127D6"/>
    <w:rsid w:val="00E12E1F"/>
    <w:rsid w:val="00E140CF"/>
    <w:rsid w:val="00E14768"/>
    <w:rsid w:val="00E1495F"/>
    <w:rsid w:val="00E14BE8"/>
    <w:rsid w:val="00E16340"/>
    <w:rsid w:val="00E164E8"/>
    <w:rsid w:val="00E173AC"/>
    <w:rsid w:val="00E17AD0"/>
    <w:rsid w:val="00E17D65"/>
    <w:rsid w:val="00E2084F"/>
    <w:rsid w:val="00E220C7"/>
    <w:rsid w:val="00E228B0"/>
    <w:rsid w:val="00E22D51"/>
    <w:rsid w:val="00E236F3"/>
    <w:rsid w:val="00E24FE5"/>
    <w:rsid w:val="00E250DF"/>
    <w:rsid w:val="00E25546"/>
    <w:rsid w:val="00E25BB3"/>
    <w:rsid w:val="00E266A5"/>
    <w:rsid w:val="00E30C3E"/>
    <w:rsid w:val="00E31FC8"/>
    <w:rsid w:val="00E32291"/>
    <w:rsid w:val="00E32627"/>
    <w:rsid w:val="00E34397"/>
    <w:rsid w:val="00E3475B"/>
    <w:rsid w:val="00E34FA8"/>
    <w:rsid w:val="00E3534A"/>
    <w:rsid w:val="00E3573C"/>
    <w:rsid w:val="00E37129"/>
    <w:rsid w:val="00E40BFC"/>
    <w:rsid w:val="00E413A3"/>
    <w:rsid w:val="00E413B4"/>
    <w:rsid w:val="00E4258C"/>
    <w:rsid w:val="00E4497B"/>
    <w:rsid w:val="00E45DFE"/>
    <w:rsid w:val="00E47127"/>
    <w:rsid w:val="00E4799C"/>
    <w:rsid w:val="00E5045C"/>
    <w:rsid w:val="00E50ADC"/>
    <w:rsid w:val="00E50BF3"/>
    <w:rsid w:val="00E50E7C"/>
    <w:rsid w:val="00E51545"/>
    <w:rsid w:val="00E5173B"/>
    <w:rsid w:val="00E51CE0"/>
    <w:rsid w:val="00E51D9E"/>
    <w:rsid w:val="00E52D27"/>
    <w:rsid w:val="00E5325C"/>
    <w:rsid w:val="00E53274"/>
    <w:rsid w:val="00E537D1"/>
    <w:rsid w:val="00E540A0"/>
    <w:rsid w:val="00E54871"/>
    <w:rsid w:val="00E54CBF"/>
    <w:rsid w:val="00E55C19"/>
    <w:rsid w:val="00E55E40"/>
    <w:rsid w:val="00E567E6"/>
    <w:rsid w:val="00E56971"/>
    <w:rsid w:val="00E56B07"/>
    <w:rsid w:val="00E57114"/>
    <w:rsid w:val="00E57B50"/>
    <w:rsid w:val="00E57B9E"/>
    <w:rsid w:val="00E602BD"/>
    <w:rsid w:val="00E60443"/>
    <w:rsid w:val="00E60A98"/>
    <w:rsid w:val="00E60B19"/>
    <w:rsid w:val="00E61484"/>
    <w:rsid w:val="00E61825"/>
    <w:rsid w:val="00E62C75"/>
    <w:rsid w:val="00E63097"/>
    <w:rsid w:val="00E6336B"/>
    <w:rsid w:val="00E63EE4"/>
    <w:rsid w:val="00E65067"/>
    <w:rsid w:val="00E656F7"/>
    <w:rsid w:val="00E656FB"/>
    <w:rsid w:val="00E661A2"/>
    <w:rsid w:val="00E66270"/>
    <w:rsid w:val="00E667CB"/>
    <w:rsid w:val="00E6768E"/>
    <w:rsid w:val="00E704F3"/>
    <w:rsid w:val="00E7078D"/>
    <w:rsid w:val="00E711D7"/>
    <w:rsid w:val="00E71474"/>
    <w:rsid w:val="00E719DC"/>
    <w:rsid w:val="00E71E25"/>
    <w:rsid w:val="00E73730"/>
    <w:rsid w:val="00E7526B"/>
    <w:rsid w:val="00E7784D"/>
    <w:rsid w:val="00E80522"/>
    <w:rsid w:val="00E8127D"/>
    <w:rsid w:val="00E815E1"/>
    <w:rsid w:val="00E82E96"/>
    <w:rsid w:val="00E83DB8"/>
    <w:rsid w:val="00E84D70"/>
    <w:rsid w:val="00E8617F"/>
    <w:rsid w:val="00E862C3"/>
    <w:rsid w:val="00E86FD8"/>
    <w:rsid w:val="00E8738B"/>
    <w:rsid w:val="00E902B0"/>
    <w:rsid w:val="00E902E8"/>
    <w:rsid w:val="00E90D01"/>
    <w:rsid w:val="00E939F9"/>
    <w:rsid w:val="00E93A55"/>
    <w:rsid w:val="00E954BE"/>
    <w:rsid w:val="00E9563D"/>
    <w:rsid w:val="00E95EF3"/>
    <w:rsid w:val="00E96198"/>
    <w:rsid w:val="00E9657C"/>
    <w:rsid w:val="00E96BFF"/>
    <w:rsid w:val="00EA03C3"/>
    <w:rsid w:val="00EA064F"/>
    <w:rsid w:val="00EA093B"/>
    <w:rsid w:val="00EA0B48"/>
    <w:rsid w:val="00EA23AC"/>
    <w:rsid w:val="00EA287E"/>
    <w:rsid w:val="00EA2B92"/>
    <w:rsid w:val="00EA3441"/>
    <w:rsid w:val="00EA4477"/>
    <w:rsid w:val="00EA4707"/>
    <w:rsid w:val="00EA5B6D"/>
    <w:rsid w:val="00EA61C6"/>
    <w:rsid w:val="00EA79F2"/>
    <w:rsid w:val="00EA7C3D"/>
    <w:rsid w:val="00EB0074"/>
    <w:rsid w:val="00EB013D"/>
    <w:rsid w:val="00EB0967"/>
    <w:rsid w:val="00EB0A4E"/>
    <w:rsid w:val="00EB0BC6"/>
    <w:rsid w:val="00EB1CB2"/>
    <w:rsid w:val="00EB28D0"/>
    <w:rsid w:val="00EB28FC"/>
    <w:rsid w:val="00EB2BC4"/>
    <w:rsid w:val="00EB2D81"/>
    <w:rsid w:val="00EB3710"/>
    <w:rsid w:val="00EB4112"/>
    <w:rsid w:val="00EB45C6"/>
    <w:rsid w:val="00EB5A3C"/>
    <w:rsid w:val="00EB5D16"/>
    <w:rsid w:val="00EB6878"/>
    <w:rsid w:val="00EB7069"/>
    <w:rsid w:val="00EB7131"/>
    <w:rsid w:val="00EB738D"/>
    <w:rsid w:val="00EB7743"/>
    <w:rsid w:val="00EC1A14"/>
    <w:rsid w:val="00EC1E0E"/>
    <w:rsid w:val="00EC236D"/>
    <w:rsid w:val="00EC368A"/>
    <w:rsid w:val="00EC3A9B"/>
    <w:rsid w:val="00EC4499"/>
    <w:rsid w:val="00EC4D3C"/>
    <w:rsid w:val="00EC5073"/>
    <w:rsid w:val="00EC5463"/>
    <w:rsid w:val="00EC5722"/>
    <w:rsid w:val="00EC59FC"/>
    <w:rsid w:val="00EC63D5"/>
    <w:rsid w:val="00EC6B16"/>
    <w:rsid w:val="00EC6B2C"/>
    <w:rsid w:val="00EC770D"/>
    <w:rsid w:val="00EC775C"/>
    <w:rsid w:val="00ED00F2"/>
    <w:rsid w:val="00ED1586"/>
    <w:rsid w:val="00ED1E0F"/>
    <w:rsid w:val="00ED31FF"/>
    <w:rsid w:val="00ED4279"/>
    <w:rsid w:val="00ED46C5"/>
    <w:rsid w:val="00ED4720"/>
    <w:rsid w:val="00ED50AB"/>
    <w:rsid w:val="00ED5245"/>
    <w:rsid w:val="00ED5873"/>
    <w:rsid w:val="00ED5A03"/>
    <w:rsid w:val="00ED66C5"/>
    <w:rsid w:val="00ED6F8C"/>
    <w:rsid w:val="00EE058F"/>
    <w:rsid w:val="00EE1447"/>
    <w:rsid w:val="00EE178E"/>
    <w:rsid w:val="00EE1EBE"/>
    <w:rsid w:val="00EE44B2"/>
    <w:rsid w:val="00EE4A89"/>
    <w:rsid w:val="00EE5BE6"/>
    <w:rsid w:val="00EE6105"/>
    <w:rsid w:val="00EE6658"/>
    <w:rsid w:val="00EE7339"/>
    <w:rsid w:val="00EE77FA"/>
    <w:rsid w:val="00EF0169"/>
    <w:rsid w:val="00EF0A08"/>
    <w:rsid w:val="00EF1035"/>
    <w:rsid w:val="00EF145E"/>
    <w:rsid w:val="00EF2871"/>
    <w:rsid w:val="00EF2BBB"/>
    <w:rsid w:val="00EF2EB7"/>
    <w:rsid w:val="00EF4C33"/>
    <w:rsid w:val="00EF64FC"/>
    <w:rsid w:val="00EF68B4"/>
    <w:rsid w:val="00EF7DAC"/>
    <w:rsid w:val="00EF7E43"/>
    <w:rsid w:val="00F00525"/>
    <w:rsid w:val="00F0082D"/>
    <w:rsid w:val="00F015AB"/>
    <w:rsid w:val="00F01C23"/>
    <w:rsid w:val="00F02265"/>
    <w:rsid w:val="00F02E78"/>
    <w:rsid w:val="00F0370A"/>
    <w:rsid w:val="00F042BA"/>
    <w:rsid w:val="00F045F7"/>
    <w:rsid w:val="00F049DD"/>
    <w:rsid w:val="00F05F1F"/>
    <w:rsid w:val="00F06990"/>
    <w:rsid w:val="00F07C90"/>
    <w:rsid w:val="00F1033B"/>
    <w:rsid w:val="00F106B3"/>
    <w:rsid w:val="00F106E2"/>
    <w:rsid w:val="00F1207A"/>
    <w:rsid w:val="00F126C8"/>
    <w:rsid w:val="00F132ED"/>
    <w:rsid w:val="00F13F00"/>
    <w:rsid w:val="00F14B1A"/>
    <w:rsid w:val="00F14BD2"/>
    <w:rsid w:val="00F17878"/>
    <w:rsid w:val="00F178D0"/>
    <w:rsid w:val="00F17EF1"/>
    <w:rsid w:val="00F200A9"/>
    <w:rsid w:val="00F2150F"/>
    <w:rsid w:val="00F21B17"/>
    <w:rsid w:val="00F21F09"/>
    <w:rsid w:val="00F232E2"/>
    <w:rsid w:val="00F236C1"/>
    <w:rsid w:val="00F24545"/>
    <w:rsid w:val="00F248DC"/>
    <w:rsid w:val="00F24923"/>
    <w:rsid w:val="00F24A9A"/>
    <w:rsid w:val="00F26D8E"/>
    <w:rsid w:val="00F31FA7"/>
    <w:rsid w:val="00F32312"/>
    <w:rsid w:val="00F331ED"/>
    <w:rsid w:val="00F33B8A"/>
    <w:rsid w:val="00F33DB8"/>
    <w:rsid w:val="00F34B98"/>
    <w:rsid w:val="00F35EDA"/>
    <w:rsid w:val="00F36B30"/>
    <w:rsid w:val="00F36B3F"/>
    <w:rsid w:val="00F375B9"/>
    <w:rsid w:val="00F40CB8"/>
    <w:rsid w:val="00F42D35"/>
    <w:rsid w:val="00F44FE6"/>
    <w:rsid w:val="00F459EE"/>
    <w:rsid w:val="00F50572"/>
    <w:rsid w:val="00F50D3E"/>
    <w:rsid w:val="00F51C66"/>
    <w:rsid w:val="00F53D8E"/>
    <w:rsid w:val="00F563E0"/>
    <w:rsid w:val="00F57BED"/>
    <w:rsid w:val="00F57F5C"/>
    <w:rsid w:val="00F60198"/>
    <w:rsid w:val="00F6087C"/>
    <w:rsid w:val="00F61B10"/>
    <w:rsid w:val="00F62957"/>
    <w:rsid w:val="00F639B3"/>
    <w:rsid w:val="00F63C55"/>
    <w:rsid w:val="00F648C7"/>
    <w:rsid w:val="00F65528"/>
    <w:rsid w:val="00F658BC"/>
    <w:rsid w:val="00F65B98"/>
    <w:rsid w:val="00F6670C"/>
    <w:rsid w:val="00F67325"/>
    <w:rsid w:val="00F67715"/>
    <w:rsid w:val="00F679C2"/>
    <w:rsid w:val="00F70387"/>
    <w:rsid w:val="00F70A9D"/>
    <w:rsid w:val="00F71C07"/>
    <w:rsid w:val="00F72421"/>
    <w:rsid w:val="00F733D7"/>
    <w:rsid w:val="00F74796"/>
    <w:rsid w:val="00F74DD6"/>
    <w:rsid w:val="00F74F63"/>
    <w:rsid w:val="00F7613A"/>
    <w:rsid w:val="00F765B7"/>
    <w:rsid w:val="00F80BFD"/>
    <w:rsid w:val="00F81467"/>
    <w:rsid w:val="00F81C78"/>
    <w:rsid w:val="00F81E48"/>
    <w:rsid w:val="00F82746"/>
    <w:rsid w:val="00F82E1B"/>
    <w:rsid w:val="00F836F9"/>
    <w:rsid w:val="00F839D9"/>
    <w:rsid w:val="00F845D7"/>
    <w:rsid w:val="00F84737"/>
    <w:rsid w:val="00F84D8C"/>
    <w:rsid w:val="00F84E67"/>
    <w:rsid w:val="00F85918"/>
    <w:rsid w:val="00F85942"/>
    <w:rsid w:val="00F86CEA"/>
    <w:rsid w:val="00F92279"/>
    <w:rsid w:val="00F92767"/>
    <w:rsid w:val="00F92DBA"/>
    <w:rsid w:val="00F92EBD"/>
    <w:rsid w:val="00F93950"/>
    <w:rsid w:val="00F93C00"/>
    <w:rsid w:val="00F96BB1"/>
    <w:rsid w:val="00F96E15"/>
    <w:rsid w:val="00F9720B"/>
    <w:rsid w:val="00F97B1C"/>
    <w:rsid w:val="00FA0598"/>
    <w:rsid w:val="00FA0987"/>
    <w:rsid w:val="00FA109B"/>
    <w:rsid w:val="00FA13D9"/>
    <w:rsid w:val="00FA2BAD"/>
    <w:rsid w:val="00FA389C"/>
    <w:rsid w:val="00FA5342"/>
    <w:rsid w:val="00FA5AD1"/>
    <w:rsid w:val="00FA6253"/>
    <w:rsid w:val="00FA7F82"/>
    <w:rsid w:val="00FB0015"/>
    <w:rsid w:val="00FB0349"/>
    <w:rsid w:val="00FB0B70"/>
    <w:rsid w:val="00FB1087"/>
    <w:rsid w:val="00FB1115"/>
    <w:rsid w:val="00FB14B5"/>
    <w:rsid w:val="00FB2760"/>
    <w:rsid w:val="00FB3015"/>
    <w:rsid w:val="00FB3FC4"/>
    <w:rsid w:val="00FB41D5"/>
    <w:rsid w:val="00FB46FB"/>
    <w:rsid w:val="00FB4CB8"/>
    <w:rsid w:val="00FB4D21"/>
    <w:rsid w:val="00FB4DE8"/>
    <w:rsid w:val="00FB5912"/>
    <w:rsid w:val="00FB5B72"/>
    <w:rsid w:val="00FB6C53"/>
    <w:rsid w:val="00FB762B"/>
    <w:rsid w:val="00FB7844"/>
    <w:rsid w:val="00FB79BE"/>
    <w:rsid w:val="00FC0534"/>
    <w:rsid w:val="00FC1E0C"/>
    <w:rsid w:val="00FC430D"/>
    <w:rsid w:val="00FC4C34"/>
    <w:rsid w:val="00FC6028"/>
    <w:rsid w:val="00FC60BC"/>
    <w:rsid w:val="00FC6ADA"/>
    <w:rsid w:val="00FD2639"/>
    <w:rsid w:val="00FD2E49"/>
    <w:rsid w:val="00FD3391"/>
    <w:rsid w:val="00FD4313"/>
    <w:rsid w:val="00FD55C8"/>
    <w:rsid w:val="00FD69A1"/>
    <w:rsid w:val="00FE05CB"/>
    <w:rsid w:val="00FE092B"/>
    <w:rsid w:val="00FE09DD"/>
    <w:rsid w:val="00FE2B32"/>
    <w:rsid w:val="00FE307E"/>
    <w:rsid w:val="00FE3B40"/>
    <w:rsid w:val="00FE3B7B"/>
    <w:rsid w:val="00FE6EB4"/>
    <w:rsid w:val="00FE70D6"/>
    <w:rsid w:val="00FE782E"/>
    <w:rsid w:val="00FE7E73"/>
    <w:rsid w:val="00FF04E7"/>
    <w:rsid w:val="00FF0C41"/>
    <w:rsid w:val="00FF121B"/>
    <w:rsid w:val="00FF1389"/>
    <w:rsid w:val="00FF155C"/>
    <w:rsid w:val="00FF397D"/>
    <w:rsid w:val="00FF39BE"/>
    <w:rsid w:val="00FF4370"/>
    <w:rsid w:val="00FF447A"/>
    <w:rsid w:val="00FF4BE3"/>
    <w:rsid w:val="00FF5160"/>
    <w:rsid w:val="00FF74BF"/>
    <w:rsid w:val="00FF79CF"/>
    <w:rsid w:val="00FF7B64"/>
    <w:rsid w:val="00FF7BB5"/>
    <w:rsid w:val="0389136A"/>
    <w:rsid w:val="0708AA02"/>
    <w:rsid w:val="0821B98C"/>
    <w:rsid w:val="0A641E3A"/>
    <w:rsid w:val="0D2F5852"/>
    <w:rsid w:val="123DDF45"/>
    <w:rsid w:val="1DD190B1"/>
    <w:rsid w:val="1DFCD8F9"/>
    <w:rsid w:val="2011E7EE"/>
    <w:rsid w:val="20744279"/>
    <w:rsid w:val="24D8A606"/>
    <w:rsid w:val="2D002C93"/>
    <w:rsid w:val="2E13FD76"/>
    <w:rsid w:val="2E470220"/>
    <w:rsid w:val="2F547115"/>
    <w:rsid w:val="38853100"/>
    <w:rsid w:val="3B3A9427"/>
    <w:rsid w:val="3EF6D280"/>
    <w:rsid w:val="42C99676"/>
    <w:rsid w:val="442ACC05"/>
    <w:rsid w:val="46695021"/>
    <w:rsid w:val="4BD9106A"/>
    <w:rsid w:val="4E2BB930"/>
    <w:rsid w:val="4EB023D6"/>
    <w:rsid w:val="4FB03F14"/>
    <w:rsid w:val="510A1BD8"/>
    <w:rsid w:val="554AC499"/>
    <w:rsid w:val="56DEE646"/>
    <w:rsid w:val="58796799"/>
    <w:rsid w:val="60C6EF53"/>
    <w:rsid w:val="631A12D0"/>
    <w:rsid w:val="64FB9FBD"/>
    <w:rsid w:val="65389E62"/>
    <w:rsid w:val="6EA8E951"/>
    <w:rsid w:val="70DA98A2"/>
    <w:rsid w:val="7103057B"/>
    <w:rsid w:val="72066E6B"/>
    <w:rsid w:val="770CD1F7"/>
    <w:rsid w:val="775A47B9"/>
    <w:rsid w:val="7D384F08"/>
    <w:rsid w:val="7E2457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BF"/>
    <w:pPr>
      <w:spacing w:before="120" w:after="120" w:line="240" w:lineRule="auto"/>
    </w:pPr>
    <w:rPr>
      <w:rFonts w:ascii="Calibri" w:eastAsia="Times New Roman" w:hAnsi="Calibri" w:cs="Times New Roman"/>
      <w:color w:val="262626" w:themeColor="text1" w:themeTint="D9"/>
      <w:szCs w:val="20"/>
      <w:lang w:eastAsia="en-AU"/>
    </w:rPr>
  </w:style>
  <w:style w:type="paragraph" w:styleId="Heading1">
    <w:name w:val="heading 1"/>
    <w:basedOn w:val="HeadingBase"/>
    <w:next w:val="Normal"/>
    <w:link w:val="Heading1Char"/>
    <w:uiPriority w:val="9"/>
    <w:qFormat/>
    <w:rsid w:val="00AB7401"/>
    <w:pPr>
      <w:spacing w:before="360" w:after="240"/>
      <w:outlineLvl w:val="0"/>
    </w:pPr>
    <w:rPr>
      <w:b/>
      <w:bCs w:val="0"/>
      <w:color w:val="2C384A"/>
      <w:sz w:val="40"/>
    </w:rPr>
  </w:style>
  <w:style w:type="paragraph" w:styleId="Heading2">
    <w:name w:val="heading 2"/>
    <w:basedOn w:val="HeadingBase"/>
    <w:next w:val="Normal"/>
    <w:link w:val="Heading2Char"/>
    <w:uiPriority w:val="9"/>
    <w:qFormat/>
    <w:rsid w:val="00AB7401"/>
    <w:pPr>
      <w:spacing w:before="240" w:after="240"/>
      <w:outlineLvl w:val="1"/>
    </w:pPr>
    <w:rPr>
      <w:b/>
      <w:bCs w:val="0"/>
      <w:iCs/>
      <w:color w:val="465976"/>
      <w:sz w:val="32"/>
      <w:szCs w:val="28"/>
    </w:rPr>
  </w:style>
  <w:style w:type="paragraph" w:styleId="Heading3">
    <w:name w:val="heading 3"/>
    <w:basedOn w:val="HeadingBase"/>
    <w:next w:val="Normal"/>
    <w:link w:val="Heading3Char"/>
    <w:uiPriority w:val="9"/>
    <w:qFormat/>
    <w:rsid w:val="00AB7401"/>
    <w:pPr>
      <w:spacing w:before="120"/>
      <w:outlineLvl w:val="2"/>
    </w:pPr>
    <w:rPr>
      <w:b/>
      <w:bCs w:val="0"/>
      <w:color w:val="5C759A"/>
      <w:sz w:val="28"/>
      <w:szCs w:val="26"/>
    </w:rPr>
  </w:style>
  <w:style w:type="paragraph" w:styleId="Heading4">
    <w:name w:val="heading 4"/>
    <w:basedOn w:val="HeadingBase"/>
    <w:next w:val="Normal"/>
    <w:link w:val="Heading4Char"/>
    <w:uiPriority w:val="9"/>
    <w:qFormat/>
    <w:rsid w:val="00AB7401"/>
    <w:pPr>
      <w:spacing w:before="120"/>
      <w:outlineLvl w:val="3"/>
    </w:pPr>
    <w:rPr>
      <w:b/>
      <w:bCs w:val="0"/>
      <w:color w:val="879AB7"/>
      <w:sz w:val="24"/>
      <w:szCs w:val="26"/>
    </w:rPr>
  </w:style>
  <w:style w:type="paragraph" w:styleId="Heading5">
    <w:name w:val="heading 5"/>
    <w:basedOn w:val="HeadingBase"/>
    <w:next w:val="Normal"/>
    <w:link w:val="Heading5Char"/>
    <w:uiPriority w:val="9"/>
    <w:rsid w:val="008F1FA0"/>
    <w:pPr>
      <w:outlineLvl w:val="4"/>
    </w:pPr>
    <w:rPr>
      <w:b/>
      <w:bCs w:val="0"/>
      <w:iCs/>
      <w:color w:val="00827F"/>
      <w:sz w:val="22"/>
    </w:rPr>
  </w:style>
  <w:style w:type="paragraph" w:styleId="Heading6">
    <w:name w:val="heading 6"/>
    <w:basedOn w:val="HeadingBase"/>
    <w:next w:val="Normal"/>
    <w:link w:val="Heading6Char"/>
    <w:uiPriority w:val="9"/>
    <w:rsid w:val="008F1FA0"/>
    <w:pPr>
      <w:outlineLvl w:val="5"/>
    </w:pPr>
    <w:rPr>
      <w:bCs w:val="0"/>
      <w:color w:val="00827F"/>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01"/>
    <w:rPr>
      <w:rFonts w:ascii="Calibri" w:eastAsia="Times New Roman" w:hAnsi="Calibri" w:cs="Arial"/>
      <w:b/>
      <w:color w:val="2C384A"/>
      <w:kern w:val="32"/>
      <w:sz w:val="40"/>
      <w:szCs w:val="36"/>
      <w:lang w:eastAsia="en-AU"/>
    </w:rPr>
  </w:style>
  <w:style w:type="character" w:customStyle="1" w:styleId="Heading2Char">
    <w:name w:val="Heading 2 Char"/>
    <w:basedOn w:val="DefaultParagraphFont"/>
    <w:link w:val="Heading2"/>
    <w:uiPriority w:val="9"/>
    <w:rsid w:val="00AB7401"/>
    <w:rPr>
      <w:rFonts w:ascii="Calibri" w:eastAsia="Times New Roman" w:hAnsi="Calibri" w:cs="Arial"/>
      <w:b/>
      <w:iCs/>
      <w:color w:val="465976"/>
      <w:kern w:val="32"/>
      <w:sz w:val="32"/>
      <w:szCs w:val="28"/>
      <w:lang w:eastAsia="en-AU"/>
    </w:rPr>
  </w:style>
  <w:style w:type="character" w:customStyle="1" w:styleId="Heading3Char">
    <w:name w:val="Heading 3 Char"/>
    <w:basedOn w:val="DefaultParagraphFont"/>
    <w:link w:val="Heading3"/>
    <w:uiPriority w:val="9"/>
    <w:rsid w:val="00AB7401"/>
    <w:rPr>
      <w:rFonts w:ascii="Calibri" w:eastAsia="Times New Roman" w:hAnsi="Calibri" w:cs="Arial"/>
      <w:b/>
      <w:color w:val="5C759A"/>
      <w:kern w:val="32"/>
      <w:sz w:val="28"/>
      <w:szCs w:val="26"/>
      <w:lang w:eastAsia="en-AU"/>
    </w:rPr>
  </w:style>
  <w:style w:type="character" w:customStyle="1" w:styleId="Heading4Char">
    <w:name w:val="Heading 4 Char"/>
    <w:basedOn w:val="DefaultParagraphFont"/>
    <w:link w:val="Heading4"/>
    <w:uiPriority w:val="9"/>
    <w:rsid w:val="00AB7401"/>
    <w:rPr>
      <w:rFonts w:ascii="Calibri" w:eastAsia="Times New Roman" w:hAnsi="Calibri" w:cs="Arial"/>
      <w:b/>
      <w:color w:val="879AB7"/>
      <w:kern w:val="32"/>
      <w:sz w:val="24"/>
      <w:szCs w:val="26"/>
      <w:lang w:eastAsia="en-AU"/>
    </w:rPr>
  </w:style>
  <w:style w:type="character" w:customStyle="1" w:styleId="Heading5Char">
    <w:name w:val="Heading 5 Char"/>
    <w:basedOn w:val="DefaultParagraphFont"/>
    <w:link w:val="Heading5"/>
    <w:uiPriority w:val="9"/>
    <w:rsid w:val="008F1FA0"/>
    <w:rPr>
      <w:rFonts w:ascii="Calibri" w:eastAsia="Times New Roman" w:hAnsi="Calibri" w:cs="Arial"/>
      <w:b/>
      <w:iCs/>
      <w:color w:val="00827F"/>
      <w:kern w:val="32"/>
      <w:szCs w:val="36"/>
      <w:lang w:eastAsia="en-AU"/>
    </w:rPr>
  </w:style>
  <w:style w:type="character" w:customStyle="1" w:styleId="Heading6Char">
    <w:name w:val="Heading 6 Char"/>
    <w:basedOn w:val="DefaultParagraphFont"/>
    <w:link w:val="Heading6"/>
    <w:uiPriority w:val="9"/>
    <w:rsid w:val="008F1FA0"/>
    <w:rPr>
      <w:rFonts w:ascii="Calibri" w:eastAsia="Times New Roman" w:hAnsi="Calibri" w:cs="Arial"/>
      <w:color w:val="0082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8"/>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tabs>
        <w:tab w:val="clear" w:pos="1003"/>
        <w:tab w:val="num" w:pos="283"/>
      </w:tabs>
      <w:spacing w:before="0"/>
      <w:ind w:left="284" w:hanging="284"/>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qFormat/>
    <w:rsid w:val="00B157AF"/>
    <w:rPr>
      <w:i w:val="0"/>
      <w:color w:val="5C759A"/>
      <w:u w:val="none"/>
    </w:rPr>
  </w:style>
  <w:style w:type="paragraph" w:customStyle="1" w:styleId="OutlineNumbered1">
    <w:name w:val="Outline Numbered 1"/>
    <w:basedOn w:val="Normal"/>
    <w:rsid w:val="000E0B74"/>
    <w:pPr>
      <w:numPr>
        <w:numId w:val="41"/>
      </w:numPr>
      <w:tabs>
        <w:tab w:val="clear" w:pos="993"/>
        <w:tab w:val="num" w:pos="6805"/>
      </w:tabs>
      <w:spacing w:before="0"/>
      <w:ind w:left="851"/>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41"/>
      </w:numPr>
      <w:tabs>
        <w:tab w:val="clear" w:pos="1134"/>
      </w:tabs>
      <w:spacing w:before="0"/>
      <w:ind w:left="0" w:firstLine="0"/>
    </w:pPr>
  </w:style>
  <w:style w:type="paragraph" w:customStyle="1" w:styleId="OutlineNumbered3">
    <w:name w:val="Outline Numbered 3"/>
    <w:basedOn w:val="Normal"/>
    <w:rsid w:val="000E0B74"/>
    <w:pPr>
      <w:numPr>
        <w:ilvl w:val="2"/>
        <w:numId w:val="41"/>
      </w:numPr>
      <w:tabs>
        <w:tab w:val="clear" w:pos="1418"/>
      </w:tabs>
      <w:spacing w:before="0"/>
      <w:ind w:left="0" w:firstLine="0"/>
    </w:pPr>
  </w:style>
  <w:style w:type="paragraph" w:customStyle="1" w:styleId="Romannumeral">
    <w:name w:val="Roman numeral"/>
    <w:basedOn w:val="Normal"/>
    <w:rsid w:val="004F4B92"/>
    <w:pPr>
      <w:numPr>
        <w:numId w:val="8"/>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2"/>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0E0B74"/>
    <w:pPr>
      <w:numPr>
        <w:ilvl w:val="2"/>
        <w:numId w:val="7"/>
      </w:numPr>
      <w:ind w:left="284" w:hanging="284"/>
    </w:pPr>
  </w:style>
  <w:style w:type="paragraph" w:styleId="Title">
    <w:name w:val="Title"/>
    <w:basedOn w:val="Normal"/>
    <w:next w:val="Normal"/>
    <w:link w:val="TitleChar"/>
    <w:uiPriority w:val="10"/>
    <w:qFormat/>
    <w:rsid w:val="00AB7401"/>
    <w:pPr>
      <w:spacing w:before="0" w:after="300"/>
      <w:contextualSpacing/>
    </w:pPr>
    <w:rPr>
      <w:rFonts w:eastAsiaTheme="majorEastAsia"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AB7401"/>
    <w:rPr>
      <w:rFonts w:ascii="Calibri" w:eastAsiaTheme="majorEastAsia" w:hAnsi="Calibri" w:cstheme="majorBidi"/>
      <w:b/>
      <w:color w:val="FFFFFF" w:themeColor="background1"/>
      <w:spacing w:val="5"/>
      <w:kern w:val="28"/>
      <w:sz w:val="60"/>
      <w:szCs w:val="52"/>
      <w:lang w:eastAsia="en-AU"/>
    </w:rPr>
  </w:style>
  <w:style w:type="paragraph" w:styleId="Subtitle">
    <w:name w:val="Subtitle"/>
    <w:basedOn w:val="Normal"/>
    <w:next w:val="Normal"/>
    <w:link w:val="SubtitleChar"/>
    <w:uiPriority w:val="11"/>
    <w:qFormat/>
    <w:rsid w:val="00AB7401"/>
    <w:pPr>
      <w:numPr>
        <w:ilvl w:val="1"/>
      </w:numPr>
    </w:pPr>
    <w:rPr>
      <w:rFonts w:eastAsiaTheme="majorEastAsia" w:cstheme="majorBidi"/>
      <w:iCs/>
      <w:caps/>
      <w:color w:val="FFFFFF" w:themeColor="background1"/>
      <w:sz w:val="32"/>
      <w:szCs w:val="44"/>
    </w:rPr>
  </w:style>
  <w:style w:type="character" w:customStyle="1" w:styleId="SubtitleChar">
    <w:name w:val="Subtitle Char"/>
    <w:basedOn w:val="DefaultParagraphFont"/>
    <w:link w:val="Subtitle"/>
    <w:uiPriority w:val="11"/>
    <w:rsid w:val="00AB7401"/>
    <w:rPr>
      <w:rFonts w:ascii="Calibri" w:eastAsiaTheme="majorEastAsia" w:hAnsi="Calibri" w:cstheme="majorBidi"/>
      <w:iCs/>
      <w:caps/>
      <w:color w:val="FFFFFF" w:themeColor="background1"/>
      <w:sz w:val="32"/>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rsid w:val="00F60198"/>
    <w:rPr>
      <w:color w:val="002C47"/>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aliases w:val="List Paragraph1,Recommendation,List Paragraph11,L,bullet point list,1 heading,Bullet point,Dot point 1.5 line spacing,List Paragraph - bullets,NFP GP Bulleted List,Content descriptions,DDM Gen Text,List Paragraph Number,NAST Quote,CV text"/>
    <w:basedOn w:val="Normal"/>
    <w:link w:val="ListParagraphChar"/>
    <w:uiPriority w:val="34"/>
    <w:qFormat/>
    <w:rsid w:val="002936E1"/>
    <w:pPr>
      <w:numPr>
        <w:numId w:val="11"/>
      </w:numPr>
      <w:spacing w:before="0" w:line="259" w:lineRule="auto"/>
      <w:ind w:left="714" w:hanging="357"/>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rsid w:val="00010346"/>
    <w:pPr>
      <w:pBdr>
        <w:top w:val="single" w:sz="4" w:space="6" w:color="auto"/>
        <w:bottom w:val="single" w:sz="4" w:space="6" w:color="auto"/>
      </w:pBdr>
      <w:spacing w:before="200" w:after="160" w:line="259" w:lineRule="auto"/>
      <w:ind w:left="720" w:right="864"/>
      <w:jc w:val="center"/>
    </w:pPr>
    <w:rPr>
      <w:rFonts w:asciiTheme="minorHAnsi" w:eastAsiaTheme="minorHAnsi" w:hAnsiTheme="minorHAnsi" w:cstheme="minorBidi"/>
      <w:i/>
      <w:iCs/>
      <w:color w:val="000000" w:themeColor="text1"/>
      <w:szCs w:val="24"/>
      <w:lang w:eastAsia="en-US"/>
    </w:rPr>
  </w:style>
  <w:style w:type="character" w:customStyle="1" w:styleId="QuoteChar">
    <w:name w:val="Quote Char"/>
    <w:basedOn w:val="DefaultParagraphFont"/>
    <w:link w:val="Quote"/>
    <w:uiPriority w:val="29"/>
    <w:rsid w:val="00010346"/>
    <w:rPr>
      <w:i/>
      <w:iCs/>
      <w:color w:val="000000" w:themeColor="text1"/>
      <w:szCs w:val="24"/>
    </w:rPr>
  </w:style>
  <w:style w:type="character" w:styleId="Strong">
    <w:name w:val="Strong"/>
    <w:basedOn w:val="DefaultParagraphFont"/>
    <w:uiPriority w:val="22"/>
    <w:qFormat/>
    <w:rsid w:val="006A73D1"/>
    <w:rPr>
      <w:b/>
      <w:bCs/>
      <w:color w:val="465976"/>
      <w:sz w:val="20"/>
      <w:szCs w:val="18"/>
    </w:rPr>
  </w:style>
  <w:style w:type="character" w:styleId="Emphasis">
    <w:name w:val="Emphasis"/>
    <w:basedOn w:val="DefaultParagraphFont"/>
    <w:uiPriority w:val="20"/>
    <w:rsid w:val="00010346"/>
    <w:rPr>
      <w:i/>
      <w:iCs/>
    </w:rPr>
  </w:style>
  <w:style w:type="table" w:styleId="PlainTable2">
    <w:name w:val="Plain Table 2"/>
    <w:basedOn w:val="TableNormal"/>
    <w:uiPriority w:val="42"/>
    <w:rsid w:val="000103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103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010346"/>
    <w:pPr>
      <w:spacing w:before="0"/>
    </w:pPr>
    <w:rPr>
      <w:rFonts w:asciiTheme="minorHAnsi" w:eastAsiaTheme="minorHAnsi" w:hAnsiTheme="minorHAnsi" w:cstheme="minorBidi"/>
      <w:i/>
      <w:iCs/>
      <w:color w:val="5F5F5F" w:themeColor="text2"/>
      <w:szCs w:val="18"/>
      <w:lang w:eastAsia="en-US"/>
    </w:rPr>
  </w:style>
  <w:style w:type="paragraph" w:styleId="NoSpacing">
    <w:name w:val="No Spacing"/>
    <w:link w:val="NoSpacingChar"/>
    <w:uiPriority w:val="1"/>
    <w:rsid w:val="000103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10346"/>
    <w:rPr>
      <w:rFonts w:eastAsiaTheme="minorEastAsia"/>
      <w:lang w:val="en-US"/>
    </w:rPr>
  </w:style>
  <w:style w:type="paragraph" w:styleId="TOCHeading">
    <w:name w:val="TOC Heading"/>
    <w:basedOn w:val="Heading1"/>
    <w:next w:val="Normal"/>
    <w:uiPriority w:val="39"/>
    <w:unhideWhenUsed/>
    <w:qFormat/>
    <w:rsid w:val="00010346"/>
    <w:pPr>
      <w:keepLines/>
      <w:spacing w:before="240" w:after="480" w:line="259" w:lineRule="auto"/>
      <w:outlineLvl w:val="9"/>
    </w:pPr>
    <w:rPr>
      <w:rFonts w:asciiTheme="majorHAnsi" w:eastAsiaTheme="majorEastAsia" w:hAnsiTheme="majorHAnsi" w:cstheme="majorBidi"/>
      <w:color w:val="5F5F5F" w:themeColor="text2"/>
      <w:kern w:val="0"/>
      <w:szCs w:val="32"/>
      <w:lang w:val="en-US" w:eastAsia="en-US"/>
    </w:rPr>
  </w:style>
  <w:style w:type="paragraph" w:customStyle="1" w:styleId="Address">
    <w:name w:val="Address"/>
    <w:basedOn w:val="Subtitle"/>
    <w:rsid w:val="00010346"/>
    <w:pPr>
      <w:spacing w:before="0" w:after="0" w:line="259" w:lineRule="auto"/>
    </w:pPr>
    <w:rPr>
      <w:rFonts w:asciiTheme="minorHAnsi" w:eastAsiaTheme="minorEastAsia" w:hAnsiTheme="minorHAnsi" w:cstheme="minorBidi"/>
      <w:iCs w:val="0"/>
      <w:color w:val="EAEAEA" w:themeColor="background2"/>
      <w:sz w:val="24"/>
      <w:szCs w:val="22"/>
      <w:lang w:eastAsia="en-US"/>
    </w:rPr>
  </w:style>
  <w:style w:type="table" w:styleId="ListTable3-Accent2">
    <w:name w:val="List Table 3 Accent 2"/>
    <w:basedOn w:val="TableNormal"/>
    <w:uiPriority w:val="48"/>
    <w:rsid w:val="00010346"/>
    <w:pPr>
      <w:spacing w:after="0" w:line="240" w:lineRule="auto"/>
    </w:pPr>
    <w:tblPr>
      <w:tblStyleRowBandSize w:val="1"/>
      <w:tblStyleColBandSize w:val="1"/>
      <w:tblBorders>
        <w:top w:val="single" w:sz="4" w:space="0" w:color="3A6FAF" w:themeColor="accent2"/>
        <w:left w:val="single" w:sz="4" w:space="0" w:color="3A6FAF" w:themeColor="accent2"/>
        <w:bottom w:val="single" w:sz="4" w:space="0" w:color="3A6FAF" w:themeColor="accent2"/>
        <w:right w:val="single" w:sz="4" w:space="0" w:color="3A6FAF" w:themeColor="accent2"/>
      </w:tblBorders>
    </w:tblPr>
    <w:tblStylePr w:type="firstRow">
      <w:rPr>
        <w:b/>
        <w:bCs/>
        <w:color w:val="FFFFFF" w:themeColor="background1"/>
      </w:rPr>
      <w:tblPr/>
      <w:tcPr>
        <w:shd w:val="clear" w:color="auto" w:fill="3A6FAF" w:themeFill="accent2"/>
      </w:tcPr>
    </w:tblStylePr>
    <w:tblStylePr w:type="lastRow">
      <w:rPr>
        <w:b/>
        <w:bCs/>
      </w:rPr>
      <w:tblPr/>
      <w:tcPr>
        <w:tcBorders>
          <w:top w:val="double" w:sz="4" w:space="0" w:color="3A6F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6FAF" w:themeColor="accent2"/>
          <w:right w:val="single" w:sz="4" w:space="0" w:color="3A6FAF" w:themeColor="accent2"/>
        </w:tcBorders>
      </w:tcPr>
    </w:tblStylePr>
    <w:tblStylePr w:type="band1Horz">
      <w:tblPr/>
      <w:tcPr>
        <w:tcBorders>
          <w:top w:val="single" w:sz="4" w:space="0" w:color="3A6FAF" w:themeColor="accent2"/>
          <w:bottom w:val="single" w:sz="4" w:space="0" w:color="3A6F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6FAF" w:themeColor="accent2"/>
          <w:left w:val="nil"/>
        </w:tcBorders>
      </w:tcPr>
    </w:tblStylePr>
    <w:tblStylePr w:type="swCell">
      <w:tblPr/>
      <w:tcPr>
        <w:tcBorders>
          <w:top w:val="double" w:sz="4" w:space="0" w:color="3A6FAF" w:themeColor="accent2"/>
          <w:right w:val="nil"/>
        </w:tcBorders>
      </w:tcPr>
    </w:tblStylePr>
  </w:style>
  <w:style w:type="table" w:styleId="ListTable3-Accent3">
    <w:name w:val="List Table 3 Accent 3"/>
    <w:basedOn w:val="TableNormal"/>
    <w:uiPriority w:val="48"/>
    <w:rsid w:val="00010346"/>
    <w:pPr>
      <w:spacing w:after="0" w:line="240" w:lineRule="auto"/>
    </w:pPr>
    <w:tblPr>
      <w:tblStyleRowBandSize w:val="1"/>
      <w:tblStyleColBandSize w:val="1"/>
      <w:tblBorders>
        <w:top w:val="single" w:sz="4" w:space="0" w:color="008569" w:themeColor="accent3"/>
        <w:left w:val="single" w:sz="4" w:space="0" w:color="008569" w:themeColor="accent3"/>
        <w:bottom w:val="single" w:sz="4" w:space="0" w:color="008569" w:themeColor="accent3"/>
        <w:right w:val="single" w:sz="4" w:space="0" w:color="008569" w:themeColor="accent3"/>
      </w:tblBorders>
    </w:tblPr>
    <w:tblStylePr w:type="firstRow">
      <w:rPr>
        <w:b/>
        <w:bCs/>
        <w:color w:val="FFFFFF" w:themeColor="background1"/>
      </w:rPr>
      <w:tblPr/>
      <w:tcPr>
        <w:shd w:val="clear" w:color="auto" w:fill="008569" w:themeFill="accent3"/>
      </w:tcPr>
    </w:tblStylePr>
    <w:tblStylePr w:type="lastRow">
      <w:rPr>
        <w:b/>
        <w:bCs/>
      </w:rPr>
      <w:tblPr/>
      <w:tcPr>
        <w:tcBorders>
          <w:top w:val="double" w:sz="4" w:space="0" w:color="008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69" w:themeColor="accent3"/>
          <w:right w:val="single" w:sz="4" w:space="0" w:color="008569" w:themeColor="accent3"/>
        </w:tcBorders>
      </w:tcPr>
    </w:tblStylePr>
    <w:tblStylePr w:type="band1Horz">
      <w:tblPr/>
      <w:tcPr>
        <w:tcBorders>
          <w:top w:val="single" w:sz="4" w:space="0" w:color="008569" w:themeColor="accent3"/>
          <w:bottom w:val="single" w:sz="4" w:space="0" w:color="008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69" w:themeColor="accent3"/>
          <w:left w:val="nil"/>
        </w:tcBorders>
      </w:tcPr>
    </w:tblStylePr>
    <w:tblStylePr w:type="swCell">
      <w:tblPr/>
      <w:tcPr>
        <w:tcBorders>
          <w:top w:val="double" w:sz="4" w:space="0" w:color="008569" w:themeColor="accent3"/>
          <w:right w:val="nil"/>
        </w:tcBorders>
      </w:tcPr>
    </w:tblStylePr>
  </w:style>
  <w:style w:type="paragraph" w:styleId="IntenseQuote">
    <w:name w:val="Intense Quote"/>
    <w:basedOn w:val="Normal"/>
    <w:next w:val="Normal"/>
    <w:link w:val="IntenseQuoteChar"/>
    <w:uiPriority w:val="30"/>
    <w:rsid w:val="00010346"/>
    <w:pPr>
      <w:pBdr>
        <w:top w:val="single" w:sz="4" w:space="6" w:color="F3DCDC" w:themeColor="accent4" w:themeTint="33"/>
        <w:left w:val="single" w:sz="4" w:space="4" w:color="F3DCDC" w:themeColor="accent4" w:themeTint="33"/>
        <w:bottom w:val="single" w:sz="4" w:space="6" w:color="F3DCDC" w:themeColor="accent4" w:themeTint="33"/>
        <w:right w:val="single" w:sz="4" w:space="4" w:color="F3DCDC" w:themeColor="accent4" w:themeTint="33"/>
      </w:pBdr>
      <w:shd w:val="clear" w:color="auto" w:fill="F3DCDC" w:themeFill="accent4" w:themeFillTint="33"/>
      <w:spacing w:before="360" w:after="360" w:line="259" w:lineRule="auto"/>
      <w:ind w:left="864" w:right="864"/>
      <w:jc w:val="center"/>
    </w:pPr>
    <w:rPr>
      <w:rFonts w:asciiTheme="minorHAnsi" w:eastAsiaTheme="minorHAnsi" w:hAnsiTheme="minorHAnsi" w:cstheme="minorBidi"/>
      <w:i/>
      <w:iCs/>
      <w:szCs w:val="22"/>
      <w:lang w:eastAsia="en-US"/>
    </w:rPr>
  </w:style>
  <w:style w:type="character" w:customStyle="1" w:styleId="IntenseQuoteChar">
    <w:name w:val="Intense Quote Char"/>
    <w:basedOn w:val="DefaultParagraphFont"/>
    <w:link w:val="IntenseQuote"/>
    <w:uiPriority w:val="30"/>
    <w:rsid w:val="00010346"/>
    <w:rPr>
      <w:i/>
      <w:iCs/>
      <w:shd w:val="clear" w:color="auto" w:fill="F3DCDC" w:themeFill="accent4" w:themeFillTint="33"/>
    </w:rPr>
  </w:style>
  <w:style w:type="paragraph" w:customStyle="1" w:styleId="Calloutbox">
    <w:name w:val="Call out box"/>
    <w:basedOn w:val="Normal"/>
    <w:rsid w:val="00010346"/>
    <w:pPr>
      <w:pBdr>
        <w:top w:val="single" w:sz="4" w:space="6" w:color="F3DCDC" w:themeColor="accent4" w:themeTint="33"/>
        <w:left w:val="single" w:sz="4" w:space="4" w:color="F3DCDC" w:themeColor="accent4" w:themeTint="33"/>
        <w:bottom w:val="single" w:sz="4" w:space="6" w:color="F3DCDC" w:themeColor="accent4" w:themeTint="33"/>
        <w:right w:val="single" w:sz="4" w:space="4" w:color="F3DCDC" w:themeColor="accent4" w:themeTint="33"/>
      </w:pBdr>
      <w:shd w:val="clear" w:color="auto" w:fill="F3DCDC" w:themeFill="accent4" w:themeFillTint="33"/>
      <w:spacing w:before="0" w:after="160" w:line="259" w:lineRule="auto"/>
      <w:contextualSpacing/>
    </w:pPr>
    <w:rPr>
      <w:rFonts w:asciiTheme="minorHAnsi" w:eastAsiaTheme="minorHAnsi" w:hAnsiTheme="minorHAnsi" w:cstheme="minorBidi"/>
      <w:szCs w:val="22"/>
      <w:lang w:eastAsia="en-US"/>
    </w:rPr>
  </w:style>
  <w:style w:type="table" w:styleId="GridTable4-Accent2">
    <w:name w:val="Grid Table 4 Accent 2"/>
    <w:basedOn w:val="TableNormal"/>
    <w:uiPriority w:val="49"/>
    <w:rsid w:val="00010346"/>
    <w:pPr>
      <w:spacing w:after="0" w:line="240" w:lineRule="auto"/>
    </w:pPr>
    <w:tblPr>
      <w:tblStyleRowBandSize w:val="1"/>
      <w:tblStyleColBandSize w:val="1"/>
      <w:tblBorders>
        <w:top w:val="single" w:sz="4" w:space="0" w:color="82A7D5" w:themeColor="accent2" w:themeTint="99"/>
        <w:left w:val="single" w:sz="4" w:space="0" w:color="82A7D5" w:themeColor="accent2" w:themeTint="99"/>
        <w:bottom w:val="single" w:sz="4" w:space="0" w:color="82A7D5" w:themeColor="accent2" w:themeTint="99"/>
        <w:right w:val="single" w:sz="4" w:space="0" w:color="82A7D5" w:themeColor="accent2" w:themeTint="99"/>
        <w:insideH w:val="single" w:sz="4" w:space="0" w:color="82A7D5" w:themeColor="accent2" w:themeTint="99"/>
        <w:insideV w:val="single" w:sz="4" w:space="0" w:color="82A7D5" w:themeColor="accent2" w:themeTint="99"/>
      </w:tblBorders>
    </w:tblPr>
    <w:tblStylePr w:type="firstRow">
      <w:rPr>
        <w:b/>
        <w:bCs/>
        <w:color w:val="FFFFFF" w:themeColor="background1"/>
      </w:rPr>
      <w:tblPr/>
      <w:tcPr>
        <w:tcBorders>
          <w:top w:val="single" w:sz="4" w:space="0" w:color="3A6FAF" w:themeColor="accent2"/>
          <w:left w:val="single" w:sz="4" w:space="0" w:color="3A6FAF" w:themeColor="accent2"/>
          <w:bottom w:val="single" w:sz="4" w:space="0" w:color="3A6FAF" w:themeColor="accent2"/>
          <w:right w:val="single" w:sz="4" w:space="0" w:color="3A6FAF" w:themeColor="accent2"/>
          <w:insideH w:val="nil"/>
          <w:insideV w:val="nil"/>
        </w:tcBorders>
        <w:shd w:val="clear" w:color="auto" w:fill="3A6FAF" w:themeFill="accent2"/>
      </w:tcPr>
    </w:tblStylePr>
    <w:tblStylePr w:type="lastRow">
      <w:rPr>
        <w:b/>
        <w:bCs/>
      </w:rPr>
      <w:tblPr/>
      <w:tcPr>
        <w:tcBorders>
          <w:top w:val="double" w:sz="4" w:space="0" w:color="3A6FAF" w:themeColor="accent2"/>
        </w:tcBorders>
      </w:tcPr>
    </w:tblStylePr>
    <w:tblStylePr w:type="firstCol">
      <w:rPr>
        <w:b/>
        <w:bCs/>
      </w:rPr>
    </w:tblStylePr>
    <w:tblStylePr w:type="lastCol">
      <w:rPr>
        <w:b/>
        <w:bCs/>
      </w:rPr>
    </w:tblStylePr>
    <w:tblStylePr w:type="band1Vert">
      <w:tblPr/>
      <w:tcPr>
        <w:shd w:val="clear" w:color="auto" w:fill="D5E1F1" w:themeFill="accent2" w:themeFillTint="33"/>
      </w:tcPr>
    </w:tblStylePr>
    <w:tblStylePr w:type="band1Horz">
      <w:tblPr/>
      <w:tcPr>
        <w:shd w:val="clear" w:color="auto" w:fill="D5E1F1" w:themeFill="accent2" w:themeFillTint="33"/>
      </w:tcPr>
    </w:tblStylePr>
  </w:style>
  <w:style w:type="table" w:styleId="GridTable1Light-Accent2">
    <w:name w:val="Grid Table 1 Light Accent 2"/>
    <w:basedOn w:val="TableNormal"/>
    <w:uiPriority w:val="46"/>
    <w:rsid w:val="00010346"/>
    <w:pPr>
      <w:spacing w:after="0" w:line="240" w:lineRule="auto"/>
    </w:pPr>
    <w:tblPr>
      <w:tblStyleRowBandSize w:val="1"/>
      <w:tblStyleColBandSize w:val="1"/>
      <w:tblBorders>
        <w:top w:val="single" w:sz="4" w:space="0" w:color="ABC4E3" w:themeColor="accent2" w:themeTint="66"/>
        <w:left w:val="single" w:sz="4" w:space="0" w:color="ABC4E3" w:themeColor="accent2" w:themeTint="66"/>
        <w:bottom w:val="single" w:sz="4" w:space="0" w:color="ABC4E3" w:themeColor="accent2" w:themeTint="66"/>
        <w:right w:val="single" w:sz="4" w:space="0" w:color="ABC4E3" w:themeColor="accent2" w:themeTint="66"/>
        <w:insideH w:val="single" w:sz="4" w:space="0" w:color="ABC4E3" w:themeColor="accent2" w:themeTint="66"/>
        <w:insideV w:val="single" w:sz="4" w:space="0" w:color="ABC4E3" w:themeColor="accent2" w:themeTint="66"/>
      </w:tblBorders>
    </w:tblPr>
    <w:tblStylePr w:type="firstRow">
      <w:rPr>
        <w:b/>
        <w:bCs/>
      </w:rPr>
      <w:tblPr/>
      <w:tcPr>
        <w:tcBorders>
          <w:bottom w:val="single" w:sz="12" w:space="0" w:color="82A7D5" w:themeColor="accent2" w:themeTint="99"/>
        </w:tcBorders>
      </w:tcPr>
    </w:tblStylePr>
    <w:tblStylePr w:type="lastRow">
      <w:rPr>
        <w:b/>
        <w:bCs/>
      </w:rPr>
      <w:tblPr/>
      <w:tcPr>
        <w:tcBorders>
          <w:top w:val="double" w:sz="2" w:space="0" w:color="82A7D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010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7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C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C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C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C47" w:themeFill="accent1"/>
      </w:tcPr>
    </w:tblStylePr>
    <w:tblStylePr w:type="band1Vert">
      <w:tblPr/>
      <w:tcPr>
        <w:shd w:val="clear" w:color="auto" w:fill="4FBCFF" w:themeFill="accent1" w:themeFillTint="66"/>
      </w:tcPr>
    </w:tblStylePr>
    <w:tblStylePr w:type="band1Horz">
      <w:tblPr/>
      <w:tcPr>
        <w:shd w:val="clear" w:color="auto" w:fill="4FBCFF" w:themeFill="accent1" w:themeFillTint="66"/>
      </w:tcPr>
    </w:tblStylePr>
  </w:style>
  <w:style w:type="table" w:styleId="GridTable4-Accent1">
    <w:name w:val="Grid Table 4 Accent 1"/>
    <w:basedOn w:val="TableNormal"/>
    <w:uiPriority w:val="49"/>
    <w:rsid w:val="00010346"/>
    <w:pPr>
      <w:spacing w:after="0" w:line="240" w:lineRule="auto"/>
    </w:pPr>
    <w:tblPr>
      <w:tblStyleRowBandSize w:val="1"/>
      <w:tblStyleColBandSize w:val="1"/>
      <w:tblBorders>
        <w:top w:val="single" w:sz="4" w:space="0" w:color="0098F6" w:themeColor="accent1" w:themeTint="99"/>
        <w:left w:val="single" w:sz="4" w:space="0" w:color="0098F6" w:themeColor="accent1" w:themeTint="99"/>
        <w:bottom w:val="single" w:sz="4" w:space="0" w:color="0098F6" w:themeColor="accent1" w:themeTint="99"/>
        <w:right w:val="single" w:sz="4" w:space="0" w:color="0098F6" w:themeColor="accent1" w:themeTint="99"/>
        <w:insideH w:val="single" w:sz="4" w:space="0" w:color="0098F6" w:themeColor="accent1" w:themeTint="99"/>
        <w:insideV w:val="single" w:sz="4" w:space="0" w:color="0098F6" w:themeColor="accent1" w:themeTint="99"/>
      </w:tblBorders>
    </w:tblPr>
    <w:tblStylePr w:type="firstRow">
      <w:rPr>
        <w:b/>
        <w:bCs/>
        <w:color w:val="FFFFFF" w:themeColor="background1"/>
      </w:rPr>
      <w:tblPr/>
      <w:tcPr>
        <w:tcBorders>
          <w:top w:val="single" w:sz="4" w:space="0" w:color="002C47" w:themeColor="accent1"/>
          <w:left w:val="single" w:sz="4" w:space="0" w:color="002C47" w:themeColor="accent1"/>
          <w:bottom w:val="single" w:sz="4" w:space="0" w:color="002C47" w:themeColor="accent1"/>
          <w:right w:val="single" w:sz="4" w:space="0" w:color="002C47" w:themeColor="accent1"/>
          <w:insideH w:val="nil"/>
          <w:insideV w:val="nil"/>
        </w:tcBorders>
        <w:shd w:val="clear" w:color="auto" w:fill="002C47" w:themeFill="accent1"/>
      </w:tcPr>
    </w:tblStylePr>
    <w:tblStylePr w:type="lastRow">
      <w:rPr>
        <w:b/>
        <w:bCs/>
      </w:rPr>
      <w:tblPr/>
      <w:tcPr>
        <w:tcBorders>
          <w:top w:val="double" w:sz="4" w:space="0" w:color="002C47" w:themeColor="accent1"/>
        </w:tcBorders>
      </w:tcPr>
    </w:tblStylePr>
    <w:tblStylePr w:type="firstCol">
      <w:rPr>
        <w:b/>
        <w:bCs/>
      </w:rPr>
    </w:tblStylePr>
    <w:tblStylePr w:type="lastCol">
      <w:rPr>
        <w:b/>
        <w:bCs/>
      </w:rPr>
    </w:tblStylePr>
    <w:tblStylePr w:type="band1Vert">
      <w:tblPr/>
      <w:tcPr>
        <w:shd w:val="clear" w:color="auto" w:fill="A7DDFF" w:themeFill="accent1" w:themeFillTint="33"/>
      </w:tcPr>
    </w:tblStylePr>
    <w:tblStylePr w:type="band1Horz">
      <w:tblPr/>
      <w:tcPr>
        <w:shd w:val="clear" w:color="auto" w:fill="A7DDFF" w:themeFill="accent1" w:themeFillTint="33"/>
      </w:tcPr>
    </w:tblStylePr>
  </w:style>
  <w:style w:type="table" w:styleId="GridTable4-Accent5">
    <w:name w:val="Grid Table 4 Accent 5"/>
    <w:basedOn w:val="TableNormal"/>
    <w:uiPriority w:val="49"/>
    <w:rsid w:val="00010346"/>
    <w:pPr>
      <w:spacing w:after="0" w:line="240" w:lineRule="auto"/>
    </w:pPr>
    <w:tblPr>
      <w:tblStyleRowBandSize w:val="1"/>
      <w:tblStyleColBandSize w:val="1"/>
      <w:tblBorders>
        <w:top w:val="single" w:sz="4" w:space="0" w:color="22E9FF" w:themeColor="accent5" w:themeTint="99"/>
        <w:left w:val="single" w:sz="4" w:space="0" w:color="22E9FF" w:themeColor="accent5" w:themeTint="99"/>
        <w:bottom w:val="single" w:sz="4" w:space="0" w:color="22E9FF" w:themeColor="accent5" w:themeTint="99"/>
        <w:right w:val="single" w:sz="4" w:space="0" w:color="22E9FF" w:themeColor="accent5" w:themeTint="99"/>
        <w:insideH w:val="single" w:sz="4" w:space="0" w:color="22E9FF" w:themeColor="accent5" w:themeTint="99"/>
        <w:insideV w:val="single" w:sz="4" w:space="0" w:color="22E9FF" w:themeColor="accent5" w:themeTint="99"/>
      </w:tblBorders>
    </w:tblPr>
    <w:tblStylePr w:type="firstRow">
      <w:rPr>
        <w:b/>
        <w:bCs/>
        <w:color w:val="FFFFFF" w:themeColor="background1"/>
      </w:rPr>
      <w:tblPr/>
      <w:tcPr>
        <w:tcBorders>
          <w:top w:val="single" w:sz="4" w:space="0" w:color="00818F" w:themeColor="accent5"/>
          <w:left w:val="single" w:sz="4" w:space="0" w:color="00818F" w:themeColor="accent5"/>
          <w:bottom w:val="single" w:sz="4" w:space="0" w:color="00818F" w:themeColor="accent5"/>
          <w:right w:val="single" w:sz="4" w:space="0" w:color="00818F" w:themeColor="accent5"/>
          <w:insideH w:val="nil"/>
          <w:insideV w:val="nil"/>
        </w:tcBorders>
        <w:shd w:val="clear" w:color="auto" w:fill="00818F" w:themeFill="accent5"/>
      </w:tcPr>
    </w:tblStylePr>
    <w:tblStylePr w:type="lastRow">
      <w:rPr>
        <w:b/>
        <w:bCs/>
      </w:rPr>
      <w:tblPr/>
      <w:tcPr>
        <w:tcBorders>
          <w:top w:val="double" w:sz="4" w:space="0" w:color="00818F" w:themeColor="accent5"/>
        </w:tcBorders>
      </w:tcPr>
    </w:tblStylePr>
    <w:tblStylePr w:type="firstCol">
      <w:rPr>
        <w:b/>
        <w:bCs/>
      </w:rPr>
    </w:tblStylePr>
    <w:tblStylePr w:type="lastCol">
      <w:rPr>
        <w:b/>
        <w:bCs/>
      </w:rPr>
    </w:tblStylePr>
    <w:tblStylePr w:type="band1Vert">
      <w:tblPr/>
      <w:tcPr>
        <w:shd w:val="clear" w:color="auto" w:fill="B5F7FF" w:themeFill="accent5" w:themeFillTint="33"/>
      </w:tcPr>
    </w:tblStylePr>
    <w:tblStylePr w:type="band1Horz">
      <w:tblPr/>
      <w:tcPr>
        <w:shd w:val="clear" w:color="auto" w:fill="B5F7FF" w:themeFill="accent5" w:themeFillTint="33"/>
      </w:tcPr>
    </w:tblStylePr>
  </w:style>
  <w:style w:type="table" w:styleId="GridTable4-Accent4">
    <w:name w:val="Grid Table 4 Accent 4"/>
    <w:basedOn w:val="TableNormal"/>
    <w:uiPriority w:val="49"/>
    <w:rsid w:val="00010346"/>
    <w:pPr>
      <w:spacing w:after="0" w:line="240" w:lineRule="auto"/>
    </w:pPr>
    <w:tblPr>
      <w:tblStyleRowBandSize w:val="1"/>
      <w:tblStyleColBandSize w:val="1"/>
      <w:tblBorders>
        <w:top w:val="single" w:sz="4" w:space="0" w:color="DB9697" w:themeColor="accent4" w:themeTint="99"/>
        <w:left w:val="single" w:sz="4" w:space="0" w:color="DB9697" w:themeColor="accent4" w:themeTint="99"/>
        <w:bottom w:val="single" w:sz="4" w:space="0" w:color="DB9697" w:themeColor="accent4" w:themeTint="99"/>
        <w:right w:val="single" w:sz="4" w:space="0" w:color="DB9697" w:themeColor="accent4" w:themeTint="99"/>
        <w:insideH w:val="single" w:sz="4" w:space="0" w:color="DB9697" w:themeColor="accent4" w:themeTint="99"/>
        <w:insideV w:val="single" w:sz="4" w:space="0" w:color="DB9697" w:themeColor="accent4" w:themeTint="99"/>
      </w:tblBorders>
    </w:tblPr>
    <w:tblStylePr w:type="firstRow">
      <w:rPr>
        <w:b/>
        <w:bCs/>
        <w:color w:val="FFFFFF" w:themeColor="background1"/>
      </w:rPr>
      <w:tblPr/>
      <w:tcPr>
        <w:tcBorders>
          <w:top w:val="single" w:sz="4" w:space="0" w:color="C45154" w:themeColor="accent4"/>
          <w:left w:val="single" w:sz="4" w:space="0" w:color="C45154" w:themeColor="accent4"/>
          <w:bottom w:val="single" w:sz="4" w:space="0" w:color="C45154" w:themeColor="accent4"/>
          <w:right w:val="single" w:sz="4" w:space="0" w:color="C45154" w:themeColor="accent4"/>
          <w:insideH w:val="nil"/>
          <w:insideV w:val="nil"/>
        </w:tcBorders>
        <w:shd w:val="clear" w:color="auto" w:fill="C45154" w:themeFill="accent4"/>
      </w:tcPr>
    </w:tblStylePr>
    <w:tblStylePr w:type="lastRow">
      <w:rPr>
        <w:b/>
        <w:bCs/>
      </w:rPr>
      <w:tblPr/>
      <w:tcPr>
        <w:tcBorders>
          <w:top w:val="double" w:sz="4" w:space="0" w:color="C45154" w:themeColor="accent4"/>
        </w:tcBorders>
      </w:tcPr>
    </w:tblStylePr>
    <w:tblStylePr w:type="firstCol">
      <w:rPr>
        <w:b/>
        <w:bCs/>
      </w:rPr>
    </w:tblStylePr>
    <w:tblStylePr w:type="lastCol">
      <w:rPr>
        <w:b/>
        <w:bCs/>
      </w:rPr>
    </w:tblStylePr>
    <w:tblStylePr w:type="band1Vert">
      <w:tblPr/>
      <w:tcPr>
        <w:shd w:val="clear" w:color="auto" w:fill="F3DCDC" w:themeFill="accent4" w:themeFillTint="33"/>
      </w:tcPr>
    </w:tblStylePr>
    <w:tblStylePr w:type="band1Horz">
      <w:tblPr/>
      <w:tcPr>
        <w:shd w:val="clear" w:color="auto" w:fill="F3DCDC" w:themeFill="accent4" w:themeFillTint="33"/>
      </w:tcPr>
    </w:tblStylePr>
  </w:style>
  <w:style w:type="table" w:styleId="GridTable4-Accent3">
    <w:name w:val="Grid Table 4 Accent 3"/>
    <w:basedOn w:val="TableNormal"/>
    <w:uiPriority w:val="49"/>
    <w:rsid w:val="00010346"/>
    <w:pPr>
      <w:spacing w:after="0" w:line="240" w:lineRule="auto"/>
    </w:pPr>
    <w:tblPr>
      <w:tblStyleRowBandSize w:val="1"/>
      <w:tblStyleColBandSize w:val="1"/>
      <w:tblBorders>
        <w:top w:val="single" w:sz="4" w:space="0" w:color="1CFFCF" w:themeColor="accent3" w:themeTint="99"/>
        <w:left w:val="single" w:sz="4" w:space="0" w:color="1CFFCF" w:themeColor="accent3" w:themeTint="99"/>
        <w:bottom w:val="single" w:sz="4" w:space="0" w:color="1CFFCF" w:themeColor="accent3" w:themeTint="99"/>
        <w:right w:val="single" w:sz="4" w:space="0" w:color="1CFFCF" w:themeColor="accent3" w:themeTint="99"/>
        <w:insideH w:val="single" w:sz="4" w:space="0" w:color="1CFFCF" w:themeColor="accent3" w:themeTint="99"/>
        <w:insideV w:val="single" w:sz="4" w:space="0" w:color="1CFFCF" w:themeColor="accent3" w:themeTint="99"/>
      </w:tblBorders>
    </w:tblPr>
    <w:tblStylePr w:type="firstRow">
      <w:rPr>
        <w:b/>
        <w:bCs/>
        <w:color w:val="FFFFFF" w:themeColor="background1"/>
      </w:rPr>
      <w:tblPr/>
      <w:tcPr>
        <w:tcBorders>
          <w:top w:val="single" w:sz="4" w:space="0" w:color="008569" w:themeColor="accent3"/>
          <w:left w:val="single" w:sz="4" w:space="0" w:color="008569" w:themeColor="accent3"/>
          <w:bottom w:val="single" w:sz="4" w:space="0" w:color="008569" w:themeColor="accent3"/>
          <w:right w:val="single" w:sz="4" w:space="0" w:color="008569" w:themeColor="accent3"/>
          <w:insideH w:val="nil"/>
          <w:insideV w:val="nil"/>
        </w:tcBorders>
        <w:shd w:val="clear" w:color="auto" w:fill="008569" w:themeFill="accent3"/>
      </w:tcPr>
    </w:tblStylePr>
    <w:tblStylePr w:type="lastRow">
      <w:rPr>
        <w:b/>
        <w:bCs/>
      </w:rPr>
      <w:tblPr/>
      <w:tcPr>
        <w:tcBorders>
          <w:top w:val="double" w:sz="4" w:space="0" w:color="008569" w:themeColor="accent3"/>
        </w:tcBorders>
      </w:tcPr>
    </w:tblStylePr>
    <w:tblStylePr w:type="firstCol">
      <w:rPr>
        <w:b/>
        <w:bCs/>
      </w:rPr>
    </w:tblStylePr>
    <w:tblStylePr w:type="lastCol">
      <w:rPr>
        <w:b/>
        <w:bCs/>
      </w:rPr>
    </w:tblStylePr>
    <w:tblStylePr w:type="band1Vert">
      <w:tblPr/>
      <w:tcPr>
        <w:shd w:val="clear" w:color="auto" w:fill="B3FFEE" w:themeFill="accent3" w:themeFillTint="33"/>
      </w:tcPr>
    </w:tblStylePr>
    <w:tblStylePr w:type="band1Horz">
      <w:tblPr/>
      <w:tcPr>
        <w:shd w:val="clear" w:color="auto" w:fill="B3FFEE" w:themeFill="accent3" w:themeFillTint="33"/>
      </w:tcPr>
    </w:tblStylePr>
  </w:style>
  <w:style w:type="paragraph" w:customStyle="1" w:styleId="Authoranddate">
    <w:name w:val="Author and date"/>
    <w:basedOn w:val="Subtitle"/>
    <w:link w:val="AuthoranddateChar"/>
    <w:rsid w:val="00010346"/>
    <w:pPr>
      <w:spacing w:before="0" w:after="160" w:line="259" w:lineRule="auto"/>
    </w:pPr>
    <w:rPr>
      <w:rFonts w:eastAsiaTheme="minorEastAsia"/>
      <w:iCs w:val="0"/>
      <w:color w:val="EAEAEA" w:themeColor="background2"/>
      <w:sz w:val="40"/>
      <w:szCs w:val="40"/>
    </w:rPr>
  </w:style>
  <w:style w:type="character" w:customStyle="1" w:styleId="AuthoranddateChar">
    <w:name w:val="Author and date Char"/>
    <w:basedOn w:val="SubtitleChar"/>
    <w:link w:val="Authoranddate"/>
    <w:rsid w:val="00010346"/>
    <w:rPr>
      <w:rFonts w:ascii="Calibri" w:eastAsiaTheme="minorEastAsia" w:hAnsi="Calibri" w:cstheme="majorBidi"/>
      <w:iCs w:val="0"/>
      <w:caps/>
      <w:color w:val="EAEAEA" w:themeColor="background2"/>
      <w:sz w:val="40"/>
      <w:szCs w:val="40"/>
      <w:lang w:eastAsia="en-AU"/>
    </w:rPr>
  </w:style>
  <w:style w:type="paragraph" w:styleId="NormalWeb">
    <w:name w:val="Normal (Web)"/>
    <w:basedOn w:val="Normal"/>
    <w:uiPriority w:val="99"/>
    <w:unhideWhenUsed/>
    <w:rsid w:val="0054154A"/>
    <w:pPr>
      <w:spacing w:before="100" w:beforeAutospacing="1" w:after="100" w:afterAutospacing="1"/>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rsid w:val="00010346"/>
    <w:rPr>
      <w:color w:val="262626" w:themeColor="text1" w:themeTint="D9"/>
      <w:sz w:val="20"/>
      <w:szCs w:val="20"/>
    </w:rPr>
  </w:style>
  <w:style w:type="paragraph" w:styleId="CommentText">
    <w:name w:val="annotation text"/>
    <w:basedOn w:val="Normal"/>
    <w:link w:val="CommentTextChar"/>
    <w:uiPriority w:val="99"/>
    <w:unhideWhenUsed/>
    <w:rsid w:val="0054154A"/>
    <w:pPr>
      <w:spacing w:before="0" w:after="80"/>
    </w:pPr>
    <w:rPr>
      <w:rFonts w:asciiTheme="minorHAnsi" w:eastAsiaTheme="minorHAnsi" w:hAnsiTheme="minorHAnsi" w:cstheme="minorBidi"/>
      <w:sz w:val="20"/>
      <w:lang w:eastAsia="en-US"/>
    </w:rPr>
  </w:style>
  <w:style w:type="character" w:customStyle="1" w:styleId="CommentTextChar1">
    <w:name w:val="Comment Text Char1"/>
    <w:basedOn w:val="DefaultParagraphFont"/>
    <w:uiPriority w:val="99"/>
    <w:semiHidden/>
    <w:rsid w:val="00010346"/>
    <w:rPr>
      <w:rFonts w:ascii="Calibri" w:eastAsia="Times New Roman" w:hAnsi="Calibri" w:cs="Times New Roman"/>
      <w:sz w:val="20"/>
      <w:szCs w:val="20"/>
      <w:lang w:eastAsia="en-AU"/>
    </w:rPr>
  </w:style>
  <w:style w:type="character" w:customStyle="1" w:styleId="CommentSubjectChar">
    <w:name w:val="Comment Subject Char"/>
    <w:basedOn w:val="CommentTextChar"/>
    <w:link w:val="CommentSubject"/>
    <w:uiPriority w:val="99"/>
    <w:semiHidden/>
    <w:rsid w:val="00010346"/>
    <w:rPr>
      <w:b/>
      <w:bCs/>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010346"/>
    <w:rPr>
      <w:b/>
      <w:bCs/>
    </w:rPr>
  </w:style>
  <w:style w:type="character" w:customStyle="1" w:styleId="CommentSubjectChar1">
    <w:name w:val="Comment Subject Char1"/>
    <w:basedOn w:val="CommentTextChar1"/>
    <w:uiPriority w:val="99"/>
    <w:semiHidden/>
    <w:rsid w:val="00010346"/>
    <w:rPr>
      <w:rFonts w:ascii="Calibri" w:eastAsia="Times New Roman" w:hAnsi="Calibri" w:cs="Times New Roman"/>
      <w:b/>
      <w:bCs/>
      <w:sz w:val="20"/>
      <w:szCs w:val="20"/>
      <w:lang w:eastAsia="en-AU"/>
    </w:rPr>
  </w:style>
  <w:style w:type="character" w:styleId="CommentReference">
    <w:name w:val="annotation reference"/>
    <w:basedOn w:val="DefaultParagraphFont"/>
    <w:uiPriority w:val="99"/>
    <w:semiHidden/>
    <w:unhideWhenUsed/>
    <w:rsid w:val="00010346"/>
    <w:rPr>
      <w:sz w:val="16"/>
      <w:szCs w:val="16"/>
    </w:rPr>
  </w:style>
  <w:style w:type="character" w:styleId="FollowedHyperlink">
    <w:name w:val="FollowedHyperlink"/>
    <w:basedOn w:val="DefaultParagraphFont"/>
    <w:uiPriority w:val="99"/>
    <w:semiHidden/>
    <w:unhideWhenUsed/>
    <w:rsid w:val="00010346"/>
    <w:rPr>
      <w:color w:val="E61E26" w:themeColor="followedHyperlink"/>
      <w:u w:val="single"/>
    </w:rPr>
  </w:style>
  <w:style w:type="paragraph" w:customStyle="1" w:styleId="paragraph">
    <w:name w:val="paragraph"/>
    <w:basedOn w:val="Normal"/>
    <w:rsid w:val="00BF42B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F42B4"/>
  </w:style>
  <w:style w:type="character" w:customStyle="1" w:styleId="eop">
    <w:name w:val="eop"/>
    <w:basedOn w:val="DefaultParagraphFont"/>
    <w:rsid w:val="00BF42B4"/>
  </w:style>
  <w:style w:type="character" w:customStyle="1" w:styleId="spellingerror">
    <w:name w:val="spellingerror"/>
    <w:basedOn w:val="DefaultParagraphFont"/>
    <w:rsid w:val="00BF42B4"/>
  </w:style>
  <w:style w:type="character" w:styleId="UnresolvedMention">
    <w:name w:val="Unresolved Mention"/>
    <w:basedOn w:val="DefaultParagraphFont"/>
    <w:uiPriority w:val="99"/>
    <w:semiHidden/>
    <w:unhideWhenUsed/>
    <w:rsid w:val="005C5A4F"/>
    <w:rPr>
      <w:color w:val="605E5C"/>
      <w:shd w:val="clear" w:color="auto" w:fill="E1DFDD"/>
    </w:rPr>
  </w:style>
  <w:style w:type="character" w:customStyle="1" w:styleId="sr-only">
    <w:name w:val="sr-only"/>
    <w:basedOn w:val="DefaultParagraphFont"/>
    <w:rsid w:val="00087C5A"/>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DDM Gen Text Char"/>
    <w:basedOn w:val="DefaultParagraphFont"/>
    <w:link w:val="ListParagraph"/>
    <w:uiPriority w:val="34"/>
    <w:locked/>
    <w:rsid w:val="002936E1"/>
    <w:rPr>
      <w:color w:val="262626" w:themeColor="text1" w:themeTint="D9"/>
    </w:rPr>
  </w:style>
  <w:style w:type="paragraph" w:styleId="Revision">
    <w:name w:val="Revision"/>
    <w:hidden/>
    <w:uiPriority w:val="99"/>
    <w:semiHidden/>
    <w:rsid w:val="00B157AF"/>
    <w:pPr>
      <w:spacing w:after="0" w:line="240" w:lineRule="auto"/>
    </w:pPr>
    <w:rPr>
      <w:rFonts w:ascii="Calibri" w:eastAsia="Times New Roman" w:hAnsi="Calibri" w:cs="Times New Roman"/>
      <w:color w:val="262626" w:themeColor="text1" w:themeTint="D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2791">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7749992">
      <w:bodyDiv w:val="1"/>
      <w:marLeft w:val="0"/>
      <w:marRight w:val="0"/>
      <w:marTop w:val="0"/>
      <w:marBottom w:val="0"/>
      <w:divBdr>
        <w:top w:val="none" w:sz="0" w:space="0" w:color="auto"/>
        <w:left w:val="none" w:sz="0" w:space="0" w:color="auto"/>
        <w:bottom w:val="none" w:sz="0" w:space="0" w:color="auto"/>
        <w:right w:val="none" w:sz="0" w:space="0" w:color="auto"/>
      </w:divBdr>
    </w:div>
    <w:div w:id="628164835">
      <w:bodyDiv w:val="1"/>
      <w:marLeft w:val="0"/>
      <w:marRight w:val="0"/>
      <w:marTop w:val="0"/>
      <w:marBottom w:val="0"/>
      <w:divBdr>
        <w:top w:val="none" w:sz="0" w:space="0" w:color="auto"/>
        <w:left w:val="none" w:sz="0" w:space="0" w:color="auto"/>
        <w:bottom w:val="none" w:sz="0" w:space="0" w:color="auto"/>
        <w:right w:val="none" w:sz="0" w:space="0" w:color="auto"/>
      </w:divBdr>
    </w:div>
    <w:div w:id="796143963">
      <w:bodyDiv w:val="1"/>
      <w:marLeft w:val="0"/>
      <w:marRight w:val="0"/>
      <w:marTop w:val="0"/>
      <w:marBottom w:val="0"/>
      <w:divBdr>
        <w:top w:val="none" w:sz="0" w:space="0" w:color="auto"/>
        <w:left w:val="none" w:sz="0" w:space="0" w:color="auto"/>
        <w:bottom w:val="none" w:sz="0" w:space="0" w:color="auto"/>
        <w:right w:val="none" w:sz="0" w:space="0" w:color="auto"/>
      </w:divBdr>
    </w:div>
    <w:div w:id="881017951">
      <w:bodyDiv w:val="1"/>
      <w:marLeft w:val="0"/>
      <w:marRight w:val="0"/>
      <w:marTop w:val="0"/>
      <w:marBottom w:val="0"/>
      <w:divBdr>
        <w:top w:val="none" w:sz="0" w:space="0" w:color="auto"/>
        <w:left w:val="none" w:sz="0" w:space="0" w:color="auto"/>
        <w:bottom w:val="none" w:sz="0" w:space="0" w:color="auto"/>
        <w:right w:val="none" w:sz="0" w:space="0" w:color="auto"/>
      </w:divBdr>
    </w:div>
    <w:div w:id="953825186">
      <w:bodyDiv w:val="1"/>
      <w:marLeft w:val="0"/>
      <w:marRight w:val="0"/>
      <w:marTop w:val="0"/>
      <w:marBottom w:val="0"/>
      <w:divBdr>
        <w:top w:val="none" w:sz="0" w:space="0" w:color="auto"/>
        <w:left w:val="none" w:sz="0" w:space="0" w:color="auto"/>
        <w:bottom w:val="none" w:sz="0" w:space="0" w:color="auto"/>
        <w:right w:val="none" w:sz="0" w:space="0" w:color="auto"/>
      </w:divBdr>
    </w:div>
    <w:div w:id="1013385788">
      <w:bodyDiv w:val="1"/>
      <w:marLeft w:val="0"/>
      <w:marRight w:val="0"/>
      <w:marTop w:val="0"/>
      <w:marBottom w:val="0"/>
      <w:divBdr>
        <w:top w:val="none" w:sz="0" w:space="0" w:color="auto"/>
        <w:left w:val="none" w:sz="0" w:space="0" w:color="auto"/>
        <w:bottom w:val="none" w:sz="0" w:space="0" w:color="auto"/>
        <w:right w:val="none" w:sz="0" w:space="0" w:color="auto"/>
      </w:divBdr>
    </w:div>
    <w:div w:id="1210142361">
      <w:bodyDiv w:val="1"/>
      <w:marLeft w:val="0"/>
      <w:marRight w:val="0"/>
      <w:marTop w:val="0"/>
      <w:marBottom w:val="0"/>
      <w:divBdr>
        <w:top w:val="none" w:sz="0" w:space="0" w:color="auto"/>
        <w:left w:val="none" w:sz="0" w:space="0" w:color="auto"/>
        <w:bottom w:val="none" w:sz="0" w:space="0" w:color="auto"/>
        <w:right w:val="none" w:sz="0" w:space="0" w:color="auto"/>
      </w:divBdr>
    </w:div>
    <w:div w:id="1584222535">
      <w:bodyDiv w:val="1"/>
      <w:marLeft w:val="0"/>
      <w:marRight w:val="0"/>
      <w:marTop w:val="0"/>
      <w:marBottom w:val="0"/>
      <w:divBdr>
        <w:top w:val="none" w:sz="0" w:space="0" w:color="auto"/>
        <w:left w:val="none" w:sz="0" w:space="0" w:color="auto"/>
        <w:bottom w:val="none" w:sz="0" w:space="0" w:color="auto"/>
        <w:right w:val="none" w:sz="0" w:space="0" w:color="auto"/>
      </w:divBdr>
    </w:div>
    <w:div w:id="1711876300">
      <w:bodyDiv w:val="1"/>
      <w:marLeft w:val="0"/>
      <w:marRight w:val="0"/>
      <w:marTop w:val="0"/>
      <w:marBottom w:val="0"/>
      <w:divBdr>
        <w:top w:val="none" w:sz="0" w:space="0" w:color="auto"/>
        <w:left w:val="none" w:sz="0" w:space="0" w:color="auto"/>
        <w:bottom w:val="none" w:sz="0" w:space="0" w:color="auto"/>
        <w:right w:val="none" w:sz="0" w:space="0" w:color="auto"/>
      </w:divBdr>
    </w:div>
    <w:div w:id="1820920896">
      <w:bodyDiv w:val="1"/>
      <w:marLeft w:val="0"/>
      <w:marRight w:val="0"/>
      <w:marTop w:val="0"/>
      <w:marBottom w:val="0"/>
      <w:divBdr>
        <w:top w:val="none" w:sz="0" w:space="0" w:color="auto"/>
        <w:left w:val="none" w:sz="0" w:space="0" w:color="auto"/>
        <w:bottom w:val="none" w:sz="0" w:space="0" w:color="auto"/>
        <w:right w:val="none" w:sz="0" w:space="0" w:color="auto"/>
      </w:divBdr>
      <w:divsChild>
        <w:div w:id="174003662">
          <w:marLeft w:val="0"/>
          <w:marRight w:val="0"/>
          <w:marTop w:val="0"/>
          <w:marBottom w:val="0"/>
          <w:divBdr>
            <w:top w:val="none" w:sz="0" w:space="0" w:color="auto"/>
            <w:left w:val="none" w:sz="0" w:space="0" w:color="auto"/>
            <w:bottom w:val="none" w:sz="0" w:space="0" w:color="auto"/>
            <w:right w:val="none" w:sz="0" w:space="0" w:color="auto"/>
          </w:divBdr>
          <w:divsChild>
            <w:div w:id="1622610358">
              <w:marLeft w:val="0"/>
              <w:marRight w:val="0"/>
              <w:marTop w:val="0"/>
              <w:marBottom w:val="0"/>
              <w:divBdr>
                <w:top w:val="none" w:sz="0" w:space="0" w:color="auto"/>
                <w:left w:val="none" w:sz="0" w:space="0" w:color="auto"/>
                <w:bottom w:val="none" w:sz="0" w:space="0" w:color="auto"/>
                <w:right w:val="none" w:sz="0" w:space="0" w:color="auto"/>
              </w:divBdr>
            </w:div>
          </w:divsChild>
        </w:div>
        <w:div w:id="187330405">
          <w:marLeft w:val="0"/>
          <w:marRight w:val="0"/>
          <w:marTop w:val="0"/>
          <w:marBottom w:val="0"/>
          <w:divBdr>
            <w:top w:val="none" w:sz="0" w:space="0" w:color="auto"/>
            <w:left w:val="none" w:sz="0" w:space="0" w:color="auto"/>
            <w:bottom w:val="none" w:sz="0" w:space="0" w:color="auto"/>
            <w:right w:val="none" w:sz="0" w:space="0" w:color="auto"/>
          </w:divBdr>
          <w:divsChild>
            <w:div w:id="27146387">
              <w:marLeft w:val="0"/>
              <w:marRight w:val="0"/>
              <w:marTop w:val="0"/>
              <w:marBottom w:val="0"/>
              <w:divBdr>
                <w:top w:val="none" w:sz="0" w:space="0" w:color="auto"/>
                <w:left w:val="none" w:sz="0" w:space="0" w:color="auto"/>
                <w:bottom w:val="none" w:sz="0" w:space="0" w:color="auto"/>
                <w:right w:val="none" w:sz="0" w:space="0" w:color="auto"/>
              </w:divBdr>
            </w:div>
          </w:divsChild>
        </w:div>
        <w:div w:id="195125022">
          <w:marLeft w:val="0"/>
          <w:marRight w:val="0"/>
          <w:marTop w:val="0"/>
          <w:marBottom w:val="0"/>
          <w:divBdr>
            <w:top w:val="none" w:sz="0" w:space="0" w:color="auto"/>
            <w:left w:val="none" w:sz="0" w:space="0" w:color="auto"/>
            <w:bottom w:val="none" w:sz="0" w:space="0" w:color="auto"/>
            <w:right w:val="none" w:sz="0" w:space="0" w:color="auto"/>
          </w:divBdr>
          <w:divsChild>
            <w:div w:id="1612057124">
              <w:marLeft w:val="0"/>
              <w:marRight w:val="0"/>
              <w:marTop w:val="0"/>
              <w:marBottom w:val="0"/>
              <w:divBdr>
                <w:top w:val="none" w:sz="0" w:space="0" w:color="auto"/>
                <w:left w:val="none" w:sz="0" w:space="0" w:color="auto"/>
                <w:bottom w:val="none" w:sz="0" w:space="0" w:color="auto"/>
                <w:right w:val="none" w:sz="0" w:space="0" w:color="auto"/>
              </w:divBdr>
            </w:div>
          </w:divsChild>
        </w:div>
        <w:div w:id="361441719">
          <w:marLeft w:val="0"/>
          <w:marRight w:val="0"/>
          <w:marTop w:val="0"/>
          <w:marBottom w:val="0"/>
          <w:divBdr>
            <w:top w:val="none" w:sz="0" w:space="0" w:color="auto"/>
            <w:left w:val="none" w:sz="0" w:space="0" w:color="auto"/>
            <w:bottom w:val="none" w:sz="0" w:space="0" w:color="auto"/>
            <w:right w:val="none" w:sz="0" w:space="0" w:color="auto"/>
          </w:divBdr>
          <w:divsChild>
            <w:div w:id="1218668662">
              <w:marLeft w:val="0"/>
              <w:marRight w:val="0"/>
              <w:marTop w:val="0"/>
              <w:marBottom w:val="0"/>
              <w:divBdr>
                <w:top w:val="none" w:sz="0" w:space="0" w:color="auto"/>
                <w:left w:val="none" w:sz="0" w:space="0" w:color="auto"/>
                <w:bottom w:val="none" w:sz="0" w:space="0" w:color="auto"/>
                <w:right w:val="none" w:sz="0" w:space="0" w:color="auto"/>
              </w:divBdr>
            </w:div>
          </w:divsChild>
        </w:div>
        <w:div w:id="449085054">
          <w:marLeft w:val="0"/>
          <w:marRight w:val="0"/>
          <w:marTop w:val="0"/>
          <w:marBottom w:val="0"/>
          <w:divBdr>
            <w:top w:val="none" w:sz="0" w:space="0" w:color="auto"/>
            <w:left w:val="none" w:sz="0" w:space="0" w:color="auto"/>
            <w:bottom w:val="none" w:sz="0" w:space="0" w:color="auto"/>
            <w:right w:val="none" w:sz="0" w:space="0" w:color="auto"/>
          </w:divBdr>
          <w:divsChild>
            <w:div w:id="547957463">
              <w:marLeft w:val="0"/>
              <w:marRight w:val="0"/>
              <w:marTop w:val="0"/>
              <w:marBottom w:val="0"/>
              <w:divBdr>
                <w:top w:val="none" w:sz="0" w:space="0" w:color="auto"/>
                <w:left w:val="none" w:sz="0" w:space="0" w:color="auto"/>
                <w:bottom w:val="none" w:sz="0" w:space="0" w:color="auto"/>
                <w:right w:val="none" w:sz="0" w:space="0" w:color="auto"/>
              </w:divBdr>
            </w:div>
          </w:divsChild>
        </w:div>
        <w:div w:id="622925834">
          <w:marLeft w:val="0"/>
          <w:marRight w:val="0"/>
          <w:marTop w:val="0"/>
          <w:marBottom w:val="0"/>
          <w:divBdr>
            <w:top w:val="none" w:sz="0" w:space="0" w:color="auto"/>
            <w:left w:val="none" w:sz="0" w:space="0" w:color="auto"/>
            <w:bottom w:val="none" w:sz="0" w:space="0" w:color="auto"/>
            <w:right w:val="none" w:sz="0" w:space="0" w:color="auto"/>
          </w:divBdr>
          <w:divsChild>
            <w:div w:id="1433554326">
              <w:marLeft w:val="0"/>
              <w:marRight w:val="0"/>
              <w:marTop w:val="0"/>
              <w:marBottom w:val="0"/>
              <w:divBdr>
                <w:top w:val="none" w:sz="0" w:space="0" w:color="auto"/>
                <w:left w:val="none" w:sz="0" w:space="0" w:color="auto"/>
                <w:bottom w:val="none" w:sz="0" w:space="0" w:color="auto"/>
                <w:right w:val="none" w:sz="0" w:space="0" w:color="auto"/>
              </w:divBdr>
            </w:div>
          </w:divsChild>
        </w:div>
        <w:div w:id="645013260">
          <w:marLeft w:val="0"/>
          <w:marRight w:val="0"/>
          <w:marTop w:val="0"/>
          <w:marBottom w:val="0"/>
          <w:divBdr>
            <w:top w:val="none" w:sz="0" w:space="0" w:color="auto"/>
            <w:left w:val="none" w:sz="0" w:space="0" w:color="auto"/>
            <w:bottom w:val="none" w:sz="0" w:space="0" w:color="auto"/>
            <w:right w:val="none" w:sz="0" w:space="0" w:color="auto"/>
          </w:divBdr>
          <w:divsChild>
            <w:div w:id="929393876">
              <w:marLeft w:val="0"/>
              <w:marRight w:val="0"/>
              <w:marTop w:val="0"/>
              <w:marBottom w:val="0"/>
              <w:divBdr>
                <w:top w:val="none" w:sz="0" w:space="0" w:color="auto"/>
                <w:left w:val="none" w:sz="0" w:space="0" w:color="auto"/>
                <w:bottom w:val="none" w:sz="0" w:space="0" w:color="auto"/>
                <w:right w:val="none" w:sz="0" w:space="0" w:color="auto"/>
              </w:divBdr>
            </w:div>
          </w:divsChild>
        </w:div>
        <w:div w:id="649363024">
          <w:marLeft w:val="0"/>
          <w:marRight w:val="0"/>
          <w:marTop w:val="0"/>
          <w:marBottom w:val="0"/>
          <w:divBdr>
            <w:top w:val="none" w:sz="0" w:space="0" w:color="auto"/>
            <w:left w:val="none" w:sz="0" w:space="0" w:color="auto"/>
            <w:bottom w:val="none" w:sz="0" w:space="0" w:color="auto"/>
            <w:right w:val="none" w:sz="0" w:space="0" w:color="auto"/>
          </w:divBdr>
          <w:divsChild>
            <w:div w:id="855845995">
              <w:marLeft w:val="0"/>
              <w:marRight w:val="0"/>
              <w:marTop w:val="0"/>
              <w:marBottom w:val="0"/>
              <w:divBdr>
                <w:top w:val="none" w:sz="0" w:space="0" w:color="auto"/>
                <w:left w:val="none" w:sz="0" w:space="0" w:color="auto"/>
                <w:bottom w:val="none" w:sz="0" w:space="0" w:color="auto"/>
                <w:right w:val="none" w:sz="0" w:space="0" w:color="auto"/>
              </w:divBdr>
            </w:div>
            <w:div w:id="1945109569">
              <w:marLeft w:val="0"/>
              <w:marRight w:val="0"/>
              <w:marTop w:val="0"/>
              <w:marBottom w:val="0"/>
              <w:divBdr>
                <w:top w:val="none" w:sz="0" w:space="0" w:color="auto"/>
                <w:left w:val="none" w:sz="0" w:space="0" w:color="auto"/>
                <w:bottom w:val="none" w:sz="0" w:space="0" w:color="auto"/>
                <w:right w:val="none" w:sz="0" w:space="0" w:color="auto"/>
              </w:divBdr>
            </w:div>
          </w:divsChild>
        </w:div>
        <w:div w:id="689724181">
          <w:marLeft w:val="0"/>
          <w:marRight w:val="0"/>
          <w:marTop w:val="0"/>
          <w:marBottom w:val="0"/>
          <w:divBdr>
            <w:top w:val="none" w:sz="0" w:space="0" w:color="auto"/>
            <w:left w:val="none" w:sz="0" w:space="0" w:color="auto"/>
            <w:bottom w:val="none" w:sz="0" w:space="0" w:color="auto"/>
            <w:right w:val="none" w:sz="0" w:space="0" w:color="auto"/>
          </w:divBdr>
          <w:divsChild>
            <w:div w:id="448356747">
              <w:marLeft w:val="0"/>
              <w:marRight w:val="0"/>
              <w:marTop w:val="0"/>
              <w:marBottom w:val="0"/>
              <w:divBdr>
                <w:top w:val="none" w:sz="0" w:space="0" w:color="auto"/>
                <w:left w:val="none" w:sz="0" w:space="0" w:color="auto"/>
                <w:bottom w:val="none" w:sz="0" w:space="0" w:color="auto"/>
                <w:right w:val="none" w:sz="0" w:space="0" w:color="auto"/>
              </w:divBdr>
            </w:div>
          </w:divsChild>
        </w:div>
        <w:div w:id="770393575">
          <w:marLeft w:val="0"/>
          <w:marRight w:val="0"/>
          <w:marTop w:val="0"/>
          <w:marBottom w:val="0"/>
          <w:divBdr>
            <w:top w:val="none" w:sz="0" w:space="0" w:color="auto"/>
            <w:left w:val="none" w:sz="0" w:space="0" w:color="auto"/>
            <w:bottom w:val="none" w:sz="0" w:space="0" w:color="auto"/>
            <w:right w:val="none" w:sz="0" w:space="0" w:color="auto"/>
          </w:divBdr>
          <w:divsChild>
            <w:div w:id="960959247">
              <w:marLeft w:val="0"/>
              <w:marRight w:val="0"/>
              <w:marTop w:val="0"/>
              <w:marBottom w:val="0"/>
              <w:divBdr>
                <w:top w:val="none" w:sz="0" w:space="0" w:color="auto"/>
                <w:left w:val="none" w:sz="0" w:space="0" w:color="auto"/>
                <w:bottom w:val="none" w:sz="0" w:space="0" w:color="auto"/>
                <w:right w:val="none" w:sz="0" w:space="0" w:color="auto"/>
              </w:divBdr>
            </w:div>
          </w:divsChild>
        </w:div>
        <w:div w:id="815604332">
          <w:marLeft w:val="0"/>
          <w:marRight w:val="0"/>
          <w:marTop w:val="0"/>
          <w:marBottom w:val="0"/>
          <w:divBdr>
            <w:top w:val="none" w:sz="0" w:space="0" w:color="auto"/>
            <w:left w:val="none" w:sz="0" w:space="0" w:color="auto"/>
            <w:bottom w:val="none" w:sz="0" w:space="0" w:color="auto"/>
            <w:right w:val="none" w:sz="0" w:space="0" w:color="auto"/>
          </w:divBdr>
          <w:divsChild>
            <w:div w:id="1053193969">
              <w:marLeft w:val="0"/>
              <w:marRight w:val="0"/>
              <w:marTop w:val="0"/>
              <w:marBottom w:val="0"/>
              <w:divBdr>
                <w:top w:val="none" w:sz="0" w:space="0" w:color="auto"/>
                <w:left w:val="none" w:sz="0" w:space="0" w:color="auto"/>
                <w:bottom w:val="none" w:sz="0" w:space="0" w:color="auto"/>
                <w:right w:val="none" w:sz="0" w:space="0" w:color="auto"/>
              </w:divBdr>
            </w:div>
          </w:divsChild>
        </w:div>
        <w:div w:id="1030187694">
          <w:marLeft w:val="0"/>
          <w:marRight w:val="0"/>
          <w:marTop w:val="0"/>
          <w:marBottom w:val="0"/>
          <w:divBdr>
            <w:top w:val="none" w:sz="0" w:space="0" w:color="auto"/>
            <w:left w:val="none" w:sz="0" w:space="0" w:color="auto"/>
            <w:bottom w:val="none" w:sz="0" w:space="0" w:color="auto"/>
            <w:right w:val="none" w:sz="0" w:space="0" w:color="auto"/>
          </w:divBdr>
          <w:divsChild>
            <w:div w:id="376858913">
              <w:marLeft w:val="0"/>
              <w:marRight w:val="0"/>
              <w:marTop w:val="0"/>
              <w:marBottom w:val="0"/>
              <w:divBdr>
                <w:top w:val="none" w:sz="0" w:space="0" w:color="auto"/>
                <w:left w:val="none" w:sz="0" w:space="0" w:color="auto"/>
                <w:bottom w:val="none" w:sz="0" w:space="0" w:color="auto"/>
                <w:right w:val="none" w:sz="0" w:space="0" w:color="auto"/>
              </w:divBdr>
            </w:div>
          </w:divsChild>
        </w:div>
        <w:div w:id="1039665265">
          <w:marLeft w:val="0"/>
          <w:marRight w:val="0"/>
          <w:marTop w:val="0"/>
          <w:marBottom w:val="0"/>
          <w:divBdr>
            <w:top w:val="none" w:sz="0" w:space="0" w:color="auto"/>
            <w:left w:val="none" w:sz="0" w:space="0" w:color="auto"/>
            <w:bottom w:val="none" w:sz="0" w:space="0" w:color="auto"/>
            <w:right w:val="none" w:sz="0" w:space="0" w:color="auto"/>
          </w:divBdr>
          <w:divsChild>
            <w:div w:id="1314601099">
              <w:marLeft w:val="0"/>
              <w:marRight w:val="0"/>
              <w:marTop w:val="0"/>
              <w:marBottom w:val="0"/>
              <w:divBdr>
                <w:top w:val="none" w:sz="0" w:space="0" w:color="auto"/>
                <w:left w:val="none" w:sz="0" w:space="0" w:color="auto"/>
                <w:bottom w:val="none" w:sz="0" w:space="0" w:color="auto"/>
                <w:right w:val="none" w:sz="0" w:space="0" w:color="auto"/>
              </w:divBdr>
            </w:div>
          </w:divsChild>
        </w:div>
        <w:div w:id="1057431388">
          <w:marLeft w:val="0"/>
          <w:marRight w:val="0"/>
          <w:marTop w:val="0"/>
          <w:marBottom w:val="0"/>
          <w:divBdr>
            <w:top w:val="none" w:sz="0" w:space="0" w:color="auto"/>
            <w:left w:val="none" w:sz="0" w:space="0" w:color="auto"/>
            <w:bottom w:val="none" w:sz="0" w:space="0" w:color="auto"/>
            <w:right w:val="none" w:sz="0" w:space="0" w:color="auto"/>
          </w:divBdr>
          <w:divsChild>
            <w:div w:id="1396395345">
              <w:marLeft w:val="0"/>
              <w:marRight w:val="0"/>
              <w:marTop w:val="0"/>
              <w:marBottom w:val="0"/>
              <w:divBdr>
                <w:top w:val="none" w:sz="0" w:space="0" w:color="auto"/>
                <w:left w:val="none" w:sz="0" w:space="0" w:color="auto"/>
                <w:bottom w:val="none" w:sz="0" w:space="0" w:color="auto"/>
                <w:right w:val="none" w:sz="0" w:space="0" w:color="auto"/>
              </w:divBdr>
            </w:div>
          </w:divsChild>
        </w:div>
        <w:div w:id="1069308861">
          <w:marLeft w:val="0"/>
          <w:marRight w:val="0"/>
          <w:marTop w:val="0"/>
          <w:marBottom w:val="0"/>
          <w:divBdr>
            <w:top w:val="none" w:sz="0" w:space="0" w:color="auto"/>
            <w:left w:val="none" w:sz="0" w:space="0" w:color="auto"/>
            <w:bottom w:val="none" w:sz="0" w:space="0" w:color="auto"/>
            <w:right w:val="none" w:sz="0" w:space="0" w:color="auto"/>
          </w:divBdr>
          <w:divsChild>
            <w:div w:id="143594379">
              <w:marLeft w:val="0"/>
              <w:marRight w:val="0"/>
              <w:marTop w:val="0"/>
              <w:marBottom w:val="0"/>
              <w:divBdr>
                <w:top w:val="none" w:sz="0" w:space="0" w:color="auto"/>
                <w:left w:val="none" w:sz="0" w:space="0" w:color="auto"/>
                <w:bottom w:val="none" w:sz="0" w:space="0" w:color="auto"/>
                <w:right w:val="none" w:sz="0" w:space="0" w:color="auto"/>
              </w:divBdr>
            </w:div>
          </w:divsChild>
        </w:div>
        <w:div w:id="1090856258">
          <w:marLeft w:val="0"/>
          <w:marRight w:val="0"/>
          <w:marTop w:val="0"/>
          <w:marBottom w:val="0"/>
          <w:divBdr>
            <w:top w:val="none" w:sz="0" w:space="0" w:color="auto"/>
            <w:left w:val="none" w:sz="0" w:space="0" w:color="auto"/>
            <w:bottom w:val="none" w:sz="0" w:space="0" w:color="auto"/>
            <w:right w:val="none" w:sz="0" w:space="0" w:color="auto"/>
          </w:divBdr>
          <w:divsChild>
            <w:div w:id="535627021">
              <w:marLeft w:val="0"/>
              <w:marRight w:val="0"/>
              <w:marTop w:val="0"/>
              <w:marBottom w:val="0"/>
              <w:divBdr>
                <w:top w:val="none" w:sz="0" w:space="0" w:color="auto"/>
                <w:left w:val="none" w:sz="0" w:space="0" w:color="auto"/>
                <w:bottom w:val="none" w:sz="0" w:space="0" w:color="auto"/>
                <w:right w:val="none" w:sz="0" w:space="0" w:color="auto"/>
              </w:divBdr>
            </w:div>
          </w:divsChild>
        </w:div>
        <w:div w:id="1092160571">
          <w:marLeft w:val="0"/>
          <w:marRight w:val="0"/>
          <w:marTop w:val="0"/>
          <w:marBottom w:val="0"/>
          <w:divBdr>
            <w:top w:val="none" w:sz="0" w:space="0" w:color="auto"/>
            <w:left w:val="none" w:sz="0" w:space="0" w:color="auto"/>
            <w:bottom w:val="none" w:sz="0" w:space="0" w:color="auto"/>
            <w:right w:val="none" w:sz="0" w:space="0" w:color="auto"/>
          </w:divBdr>
          <w:divsChild>
            <w:div w:id="1215040091">
              <w:marLeft w:val="0"/>
              <w:marRight w:val="0"/>
              <w:marTop w:val="0"/>
              <w:marBottom w:val="0"/>
              <w:divBdr>
                <w:top w:val="none" w:sz="0" w:space="0" w:color="auto"/>
                <w:left w:val="none" w:sz="0" w:space="0" w:color="auto"/>
                <w:bottom w:val="none" w:sz="0" w:space="0" w:color="auto"/>
                <w:right w:val="none" w:sz="0" w:space="0" w:color="auto"/>
              </w:divBdr>
            </w:div>
          </w:divsChild>
        </w:div>
        <w:div w:id="1159076515">
          <w:marLeft w:val="0"/>
          <w:marRight w:val="0"/>
          <w:marTop w:val="0"/>
          <w:marBottom w:val="0"/>
          <w:divBdr>
            <w:top w:val="none" w:sz="0" w:space="0" w:color="auto"/>
            <w:left w:val="none" w:sz="0" w:space="0" w:color="auto"/>
            <w:bottom w:val="none" w:sz="0" w:space="0" w:color="auto"/>
            <w:right w:val="none" w:sz="0" w:space="0" w:color="auto"/>
          </w:divBdr>
          <w:divsChild>
            <w:div w:id="1986085828">
              <w:marLeft w:val="0"/>
              <w:marRight w:val="0"/>
              <w:marTop w:val="0"/>
              <w:marBottom w:val="0"/>
              <w:divBdr>
                <w:top w:val="none" w:sz="0" w:space="0" w:color="auto"/>
                <w:left w:val="none" w:sz="0" w:space="0" w:color="auto"/>
                <w:bottom w:val="none" w:sz="0" w:space="0" w:color="auto"/>
                <w:right w:val="none" w:sz="0" w:space="0" w:color="auto"/>
              </w:divBdr>
            </w:div>
          </w:divsChild>
        </w:div>
        <w:div w:id="1255239566">
          <w:marLeft w:val="0"/>
          <w:marRight w:val="0"/>
          <w:marTop w:val="0"/>
          <w:marBottom w:val="0"/>
          <w:divBdr>
            <w:top w:val="none" w:sz="0" w:space="0" w:color="auto"/>
            <w:left w:val="none" w:sz="0" w:space="0" w:color="auto"/>
            <w:bottom w:val="none" w:sz="0" w:space="0" w:color="auto"/>
            <w:right w:val="none" w:sz="0" w:space="0" w:color="auto"/>
          </w:divBdr>
          <w:divsChild>
            <w:div w:id="343213862">
              <w:marLeft w:val="0"/>
              <w:marRight w:val="0"/>
              <w:marTop w:val="0"/>
              <w:marBottom w:val="0"/>
              <w:divBdr>
                <w:top w:val="none" w:sz="0" w:space="0" w:color="auto"/>
                <w:left w:val="none" w:sz="0" w:space="0" w:color="auto"/>
                <w:bottom w:val="none" w:sz="0" w:space="0" w:color="auto"/>
                <w:right w:val="none" w:sz="0" w:space="0" w:color="auto"/>
              </w:divBdr>
            </w:div>
          </w:divsChild>
        </w:div>
        <w:div w:id="1404453282">
          <w:marLeft w:val="0"/>
          <w:marRight w:val="0"/>
          <w:marTop w:val="0"/>
          <w:marBottom w:val="0"/>
          <w:divBdr>
            <w:top w:val="none" w:sz="0" w:space="0" w:color="auto"/>
            <w:left w:val="none" w:sz="0" w:space="0" w:color="auto"/>
            <w:bottom w:val="none" w:sz="0" w:space="0" w:color="auto"/>
            <w:right w:val="none" w:sz="0" w:space="0" w:color="auto"/>
          </w:divBdr>
          <w:divsChild>
            <w:div w:id="1963026395">
              <w:marLeft w:val="0"/>
              <w:marRight w:val="0"/>
              <w:marTop w:val="0"/>
              <w:marBottom w:val="0"/>
              <w:divBdr>
                <w:top w:val="none" w:sz="0" w:space="0" w:color="auto"/>
                <w:left w:val="none" w:sz="0" w:space="0" w:color="auto"/>
                <w:bottom w:val="none" w:sz="0" w:space="0" w:color="auto"/>
                <w:right w:val="none" w:sz="0" w:space="0" w:color="auto"/>
              </w:divBdr>
            </w:div>
          </w:divsChild>
        </w:div>
        <w:div w:id="1489247227">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
          </w:divsChild>
        </w:div>
        <w:div w:id="1533885693">
          <w:marLeft w:val="0"/>
          <w:marRight w:val="0"/>
          <w:marTop w:val="0"/>
          <w:marBottom w:val="0"/>
          <w:divBdr>
            <w:top w:val="none" w:sz="0" w:space="0" w:color="auto"/>
            <w:left w:val="none" w:sz="0" w:space="0" w:color="auto"/>
            <w:bottom w:val="none" w:sz="0" w:space="0" w:color="auto"/>
            <w:right w:val="none" w:sz="0" w:space="0" w:color="auto"/>
          </w:divBdr>
          <w:divsChild>
            <w:div w:id="311327865">
              <w:marLeft w:val="0"/>
              <w:marRight w:val="0"/>
              <w:marTop w:val="0"/>
              <w:marBottom w:val="0"/>
              <w:divBdr>
                <w:top w:val="none" w:sz="0" w:space="0" w:color="auto"/>
                <w:left w:val="none" w:sz="0" w:space="0" w:color="auto"/>
                <w:bottom w:val="none" w:sz="0" w:space="0" w:color="auto"/>
                <w:right w:val="none" w:sz="0" w:space="0" w:color="auto"/>
              </w:divBdr>
            </w:div>
          </w:divsChild>
        </w:div>
        <w:div w:id="1546798425">
          <w:marLeft w:val="0"/>
          <w:marRight w:val="0"/>
          <w:marTop w:val="0"/>
          <w:marBottom w:val="0"/>
          <w:divBdr>
            <w:top w:val="none" w:sz="0" w:space="0" w:color="auto"/>
            <w:left w:val="none" w:sz="0" w:space="0" w:color="auto"/>
            <w:bottom w:val="none" w:sz="0" w:space="0" w:color="auto"/>
            <w:right w:val="none" w:sz="0" w:space="0" w:color="auto"/>
          </w:divBdr>
          <w:divsChild>
            <w:div w:id="1551258739">
              <w:marLeft w:val="0"/>
              <w:marRight w:val="0"/>
              <w:marTop w:val="0"/>
              <w:marBottom w:val="0"/>
              <w:divBdr>
                <w:top w:val="none" w:sz="0" w:space="0" w:color="auto"/>
                <w:left w:val="none" w:sz="0" w:space="0" w:color="auto"/>
                <w:bottom w:val="none" w:sz="0" w:space="0" w:color="auto"/>
                <w:right w:val="none" w:sz="0" w:space="0" w:color="auto"/>
              </w:divBdr>
            </w:div>
          </w:divsChild>
        </w:div>
        <w:div w:id="1573202430">
          <w:marLeft w:val="0"/>
          <w:marRight w:val="0"/>
          <w:marTop w:val="0"/>
          <w:marBottom w:val="0"/>
          <w:divBdr>
            <w:top w:val="none" w:sz="0" w:space="0" w:color="auto"/>
            <w:left w:val="none" w:sz="0" w:space="0" w:color="auto"/>
            <w:bottom w:val="none" w:sz="0" w:space="0" w:color="auto"/>
            <w:right w:val="none" w:sz="0" w:space="0" w:color="auto"/>
          </w:divBdr>
          <w:divsChild>
            <w:div w:id="1966698423">
              <w:marLeft w:val="0"/>
              <w:marRight w:val="0"/>
              <w:marTop w:val="0"/>
              <w:marBottom w:val="0"/>
              <w:divBdr>
                <w:top w:val="none" w:sz="0" w:space="0" w:color="auto"/>
                <w:left w:val="none" w:sz="0" w:space="0" w:color="auto"/>
                <w:bottom w:val="none" w:sz="0" w:space="0" w:color="auto"/>
                <w:right w:val="none" w:sz="0" w:space="0" w:color="auto"/>
              </w:divBdr>
            </w:div>
          </w:divsChild>
        </w:div>
        <w:div w:id="1616517915">
          <w:marLeft w:val="0"/>
          <w:marRight w:val="0"/>
          <w:marTop w:val="0"/>
          <w:marBottom w:val="0"/>
          <w:divBdr>
            <w:top w:val="none" w:sz="0" w:space="0" w:color="auto"/>
            <w:left w:val="none" w:sz="0" w:space="0" w:color="auto"/>
            <w:bottom w:val="none" w:sz="0" w:space="0" w:color="auto"/>
            <w:right w:val="none" w:sz="0" w:space="0" w:color="auto"/>
          </w:divBdr>
          <w:divsChild>
            <w:div w:id="753815393">
              <w:marLeft w:val="0"/>
              <w:marRight w:val="0"/>
              <w:marTop w:val="0"/>
              <w:marBottom w:val="0"/>
              <w:divBdr>
                <w:top w:val="none" w:sz="0" w:space="0" w:color="auto"/>
                <w:left w:val="none" w:sz="0" w:space="0" w:color="auto"/>
                <w:bottom w:val="none" w:sz="0" w:space="0" w:color="auto"/>
                <w:right w:val="none" w:sz="0" w:space="0" w:color="auto"/>
              </w:divBdr>
            </w:div>
          </w:divsChild>
        </w:div>
        <w:div w:id="1629555813">
          <w:marLeft w:val="0"/>
          <w:marRight w:val="0"/>
          <w:marTop w:val="0"/>
          <w:marBottom w:val="0"/>
          <w:divBdr>
            <w:top w:val="none" w:sz="0" w:space="0" w:color="auto"/>
            <w:left w:val="none" w:sz="0" w:space="0" w:color="auto"/>
            <w:bottom w:val="none" w:sz="0" w:space="0" w:color="auto"/>
            <w:right w:val="none" w:sz="0" w:space="0" w:color="auto"/>
          </w:divBdr>
          <w:divsChild>
            <w:div w:id="2062246187">
              <w:marLeft w:val="0"/>
              <w:marRight w:val="0"/>
              <w:marTop w:val="0"/>
              <w:marBottom w:val="0"/>
              <w:divBdr>
                <w:top w:val="none" w:sz="0" w:space="0" w:color="auto"/>
                <w:left w:val="none" w:sz="0" w:space="0" w:color="auto"/>
                <w:bottom w:val="none" w:sz="0" w:space="0" w:color="auto"/>
                <w:right w:val="none" w:sz="0" w:space="0" w:color="auto"/>
              </w:divBdr>
            </w:div>
          </w:divsChild>
        </w:div>
        <w:div w:id="1695840843">
          <w:marLeft w:val="0"/>
          <w:marRight w:val="0"/>
          <w:marTop w:val="0"/>
          <w:marBottom w:val="0"/>
          <w:divBdr>
            <w:top w:val="none" w:sz="0" w:space="0" w:color="auto"/>
            <w:left w:val="none" w:sz="0" w:space="0" w:color="auto"/>
            <w:bottom w:val="none" w:sz="0" w:space="0" w:color="auto"/>
            <w:right w:val="none" w:sz="0" w:space="0" w:color="auto"/>
          </w:divBdr>
          <w:divsChild>
            <w:div w:id="974530128">
              <w:marLeft w:val="0"/>
              <w:marRight w:val="0"/>
              <w:marTop w:val="0"/>
              <w:marBottom w:val="0"/>
              <w:divBdr>
                <w:top w:val="none" w:sz="0" w:space="0" w:color="auto"/>
                <w:left w:val="none" w:sz="0" w:space="0" w:color="auto"/>
                <w:bottom w:val="none" w:sz="0" w:space="0" w:color="auto"/>
                <w:right w:val="none" w:sz="0" w:space="0" w:color="auto"/>
              </w:divBdr>
            </w:div>
          </w:divsChild>
        </w:div>
        <w:div w:id="1803112223">
          <w:marLeft w:val="0"/>
          <w:marRight w:val="0"/>
          <w:marTop w:val="0"/>
          <w:marBottom w:val="0"/>
          <w:divBdr>
            <w:top w:val="none" w:sz="0" w:space="0" w:color="auto"/>
            <w:left w:val="none" w:sz="0" w:space="0" w:color="auto"/>
            <w:bottom w:val="none" w:sz="0" w:space="0" w:color="auto"/>
            <w:right w:val="none" w:sz="0" w:space="0" w:color="auto"/>
          </w:divBdr>
          <w:divsChild>
            <w:div w:id="2013796336">
              <w:marLeft w:val="0"/>
              <w:marRight w:val="0"/>
              <w:marTop w:val="0"/>
              <w:marBottom w:val="0"/>
              <w:divBdr>
                <w:top w:val="none" w:sz="0" w:space="0" w:color="auto"/>
                <w:left w:val="none" w:sz="0" w:space="0" w:color="auto"/>
                <w:bottom w:val="none" w:sz="0" w:space="0" w:color="auto"/>
                <w:right w:val="none" w:sz="0" w:space="0" w:color="auto"/>
              </w:divBdr>
            </w:div>
          </w:divsChild>
        </w:div>
        <w:div w:id="1803689146">
          <w:marLeft w:val="0"/>
          <w:marRight w:val="0"/>
          <w:marTop w:val="0"/>
          <w:marBottom w:val="0"/>
          <w:divBdr>
            <w:top w:val="none" w:sz="0" w:space="0" w:color="auto"/>
            <w:left w:val="none" w:sz="0" w:space="0" w:color="auto"/>
            <w:bottom w:val="none" w:sz="0" w:space="0" w:color="auto"/>
            <w:right w:val="none" w:sz="0" w:space="0" w:color="auto"/>
          </w:divBdr>
          <w:divsChild>
            <w:div w:id="1007515712">
              <w:marLeft w:val="0"/>
              <w:marRight w:val="0"/>
              <w:marTop w:val="0"/>
              <w:marBottom w:val="0"/>
              <w:divBdr>
                <w:top w:val="none" w:sz="0" w:space="0" w:color="auto"/>
                <w:left w:val="none" w:sz="0" w:space="0" w:color="auto"/>
                <w:bottom w:val="none" w:sz="0" w:space="0" w:color="auto"/>
                <w:right w:val="none" w:sz="0" w:space="0" w:color="auto"/>
              </w:divBdr>
            </w:div>
          </w:divsChild>
        </w:div>
        <w:div w:id="1838377523">
          <w:marLeft w:val="0"/>
          <w:marRight w:val="0"/>
          <w:marTop w:val="0"/>
          <w:marBottom w:val="0"/>
          <w:divBdr>
            <w:top w:val="none" w:sz="0" w:space="0" w:color="auto"/>
            <w:left w:val="none" w:sz="0" w:space="0" w:color="auto"/>
            <w:bottom w:val="none" w:sz="0" w:space="0" w:color="auto"/>
            <w:right w:val="none" w:sz="0" w:space="0" w:color="auto"/>
          </w:divBdr>
          <w:divsChild>
            <w:div w:id="2081518346">
              <w:marLeft w:val="0"/>
              <w:marRight w:val="0"/>
              <w:marTop w:val="0"/>
              <w:marBottom w:val="0"/>
              <w:divBdr>
                <w:top w:val="none" w:sz="0" w:space="0" w:color="auto"/>
                <w:left w:val="none" w:sz="0" w:space="0" w:color="auto"/>
                <w:bottom w:val="none" w:sz="0" w:space="0" w:color="auto"/>
                <w:right w:val="none" w:sz="0" w:space="0" w:color="auto"/>
              </w:divBdr>
            </w:div>
          </w:divsChild>
        </w:div>
        <w:div w:id="1847673011">
          <w:marLeft w:val="0"/>
          <w:marRight w:val="0"/>
          <w:marTop w:val="0"/>
          <w:marBottom w:val="0"/>
          <w:divBdr>
            <w:top w:val="none" w:sz="0" w:space="0" w:color="auto"/>
            <w:left w:val="none" w:sz="0" w:space="0" w:color="auto"/>
            <w:bottom w:val="none" w:sz="0" w:space="0" w:color="auto"/>
            <w:right w:val="none" w:sz="0" w:space="0" w:color="auto"/>
          </w:divBdr>
          <w:divsChild>
            <w:div w:id="534079154">
              <w:marLeft w:val="0"/>
              <w:marRight w:val="0"/>
              <w:marTop w:val="0"/>
              <w:marBottom w:val="0"/>
              <w:divBdr>
                <w:top w:val="none" w:sz="0" w:space="0" w:color="auto"/>
                <w:left w:val="none" w:sz="0" w:space="0" w:color="auto"/>
                <w:bottom w:val="none" w:sz="0" w:space="0" w:color="auto"/>
                <w:right w:val="none" w:sz="0" w:space="0" w:color="auto"/>
              </w:divBdr>
            </w:div>
          </w:divsChild>
        </w:div>
        <w:div w:id="1885943460">
          <w:marLeft w:val="0"/>
          <w:marRight w:val="0"/>
          <w:marTop w:val="0"/>
          <w:marBottom w:val="0"/>
          <w:divBdr>
            <w:top w:val="none" w:sz="0" w:space="0" w:color="auto"/>
            <w:left w:val="none" w:sz="0" w:space="0" w:color="auto"/>
            <w:bottom w:val="none" w:sz="0" w:space="0" w:color="auto"/>
            <w:right w:val="none" w:sz="0" w:space="0" w:color="auto"/>
          </w:divBdr>
          <w:divsChild>
            <w:div w:id="1749960338">
              <w:marLeft w:val="0"/>
              <w:marRight w:val="0"/>
              <w:marTop w:val="0"/>
              <w:marBottom w:val="0"/>
              <w:divBdr>
                <w:top w:val="none" w:sz="0" w:space="0" w:color="auto"/>
                <w:left w:val="none" w:sz="0" w:space="0" w:color="auto"/>
                <w:bottom w:val="none" w:sz="0" w:space="0" w:color="auto"/>
                <w:right w:val="none" w:sz="0" w:space="0" w:color="auto"/>
              </w:divBdr>
            </w:div>
          </w:divsChild>
        </w:div>
        <w:div w:id="1933127849">
          <w:marLeft w:val="0"/>
          <w:marRight w:val="0"/>
          <w:marTop w:val="0"/>
          <w:marBottom w:val="0"/>
          <w:divBdr>
            <w:top w:val="none" w:sz="0" w:space="0" w:color="auto"/>
            <w:left w:val="none" w:sz="0" w:space="0" w:color="auto"/>
            <w:bottom w:val="none" w:sz="0" w:space="0" w:color="auto"/>
            <w:right w:val="none" w:sz="0" w:space="0" w:color="auto"/>
          </w:divBdr>
          <w:divsChild>
            <w:div w:id="1185169075">
              <w:marLeft w:val="0"/>
              <w:marRight w:val="0"/>
              <w:marTop w:val="0"/>
              <w:marBottom w:val="0"/>
              <w:divBdr>
                <w:top w:val="none" w:sz="0" w:space="0" w:color="auto"/>
                <w:left w:val="none" w:sz="0" w:space="0" w:color="auto"/>
                <w:bottom w:val="none" w:sz="0" w:space="0" w:color="auto"/>
                <w:right w:val="none" w:sz="0" w:space="0" w:color="auto"/>
              </w:divBdr>
            </w:div>
          </w:divsChild>
        </w:div>
        <w:div w:id="2099905471">
          <w:marLeft w:val="0"/>
          <w:marRight w:val="0"/>
          <w:marTop w:val="0"/>
          <w:marBottom w:val="0"/>
          <w:divBdr>
            <w:top w:val="none" w:sz="0" w:space="0" w:color="auto"/>
            <w:left w:val="none" w:sz="0" w:space="0" w:color="auto"/>
            <w:bottom w:val="none" w:sz="0" w:space="0" w:color="auto"/>
            <w:right w:val="none" w:sz="0" w:space="0" w:color="auto"/>
          </w:divBdr>
          <w:divsChild>
            <w:div w:id="1151798997">
              <w:marLeft w:val="0"/>
              <w:marRight w:val="0"/>
              <w:marTop w:val="0"/>
              <w:marBottom w:val="0"/>
              <w:divBdr>
                <w:top w:val="none" w:sz="0" w:space="0" w:color="auto"/>
                <w:left w:val="none" w:sz="0" w:space="0" w:color="auto"/>
                <w:bottom w:val="none" w:sz="0" w:space="0" w:color="auto"/>
                <w:right w:val="none" w:sz="0" w:space="0" w:color="auto"/>
              </w:divBdr>
            </w:div>
          </w:divsChild>
        </w:div>
        <w:div w:id="2135244681">
          <w:marLeft w:val="0"/>
          <w:marRight w:val="0"/>
          <w:marTop w:val="0"/>
          <w:marBottom w:val="0"/>
          <w:divBdr>
            <w:top w:val="none" w:sz="0" w:space="0" w:color="auto"/>
            <w:left w:val="none" w:sz="0" w:space="0" w:color="auto"/>
            <w:bottom w:val="none" w:sz="0" w:space="0" w:color="auto"/>
            <w:right w:val="none" w:sz="0" w:space="0" w:color="auto"/>
          </w:divBdr>
          <w:divsChild>
            <w:div w:id="1749963255">
              <w:marLeft w:val="0"/>
              <w:marRight w:val="0"/>
              <w:marTop w:val="0"/>
              <w:marBottom w:val="0"/>
              <w:divBdr>
                <w:top w:val="none" w:sz="0" w:space="0" w:color="auto"/>
                <w:left w:val="none" w:sz="0" w:space="0" w:color="auto"/>
                <w:bottom w:val="none" w:sz="0" w:space="0" w:color="auto"/>
                <w:right w:val="none" w:sz="0" w:space="0" w:color="auto"/>
              </w:divBdr>
            </w:div>
          </w:divsChild>
        </w:div>
        <w:div w:id="2145388545">
          <w:marLeft w:val="0"/>
          <w:marRight w:val="0"/>
          <w:marTop w:val="0"/>
          <w:marBottom w:val="0"/>
          <w:divBdr>
            <w:top w:val="none" w:sz="0" w:space="0" w:color="auto"/>
            <w:left w:val="none" w:sz="0" w:space="0" w:color="auto"/>
            <w:bottom w:val="none" w:sz="0" w:space="0" w:color="auto"/>
            <w:right w:val="none" w:sz="0" w:space="0" w:color="auto"/>
          </w:divBdr>
          <w:divsChild>
            <w:div w:id="20291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paymenttimes.gov.au" TargetMode="External"/><Relationship Id="rId39" Type="http://schemas.openxmlformats.org/officeDocument/2006/relationships/header" Target="header4.xml"/><Relationship Id="rId21" Type="http://schemas.openxmlformats.org/officeDocument/2006/relationships/hyperlink" Target="https://treasury.gov.au/publication/p2023-428993" TargetMode="External"/><Relationship Id="rId34" Type="http://schemas.openxmlformats.org/officeDocument/2006/relationships/hyperlink" Target="https://paymenttimes.gov.au/guidance/regulatory-resources/information-sheet-9"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legislation.gov.au/F2024L01148/asmade/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20L01472" TargetMode="External"/><Relationship Id="rId24" Type="http://schemas.openxmlformats.org/officeDocument/2006/relationships/hyperlink" Target="https://www.abs.gov.au/statistics/classifications/australian-and-new-zealand-standard-industrial-classification-anzsic/latest-release" TargetMode="External"/><Relationship Id="rId32" Type="http://schemas.openxmlformats.org/officeDocument/2006/relationships/hyperlink" Target="https://paymenttimes.gov.au/guidance/regulatory-resources/information-sheet-6" TargetMode="External"/><Relationship Id="rId37" Type="http://schemas.openxmlformats.org/officeDocument/2006/relationships/hyperlink" Target="https://paymenttimes.gov.au/guidance/regulatory-resources/information-sheet-10" TargetMode="Externa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treasury.gov.au/publication/p2023-428993" TargetMode="External"/><Relationship Id="rId28" Type="http://schemas.openxmlformats.org/officeDocument/2006/relationships/hyperlink" Target="https://paymenttimes.gov.au" TargetMode="External"/><Relationship Id="rId36" Type="http://schemas.openxmlformats.org/officeDocument/2006/relationships/hyperlink" Target="https://paymenttimes.gov.au/guidance/regulatory-resources/information-sheet-9" TargetMode="External"/><Relationship Id="rId10" Type="http://schemas.openxmlformats.org/officeDocument/2006/relationships/hyperlink" Target="https://www.legislation.gov.au/Series/C2020A00091" TargetMode="External"/><Relationship Id="rId19" Type="http://schemas.openxmlformats.org/officeDocument/2006/relationships/footer" Target="footer5.xml"/><Relationship Id="rId31" Type="http://schemas.openxmlformats.org/officeDocument/2006/relationships/hyperlink" Target="https://treasury.gov.au/publication/p2023-4690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er.paymenttimes.gov.au/" TargetMode="External"/><Relationship Id="rId14" Type="http://schemas.openxmlformats.org/officeDocument/2006/relationships/footer" Target="footer1.xml"/><Relationship Id="rId22" Type="http://schemas.openxmlformats.org/officeDocument/2006/relationships/hyperlink" Target="https://paymenttimes.gov.au/guidance/regulatory-resources/information-sheet-8" TargetMode="External"/><Relationship Id="rId27" Type="http://schemas.openxmlformats.org/officeDocument/2006/relationships/hyperlink" Target="https://paymenttimes.gov.au/guidance" TargetMode="External"/><Relationship Id="rId30" Type="http://schemas.openxmlformats.org/officeDocument/2006/relationships/hyperlink" Target="https://www.legislation.gov.au/F2024L01148/asmade/downloads" TargetMode="External"/><Relationship Id="rId35" Type="http://schemas.openxmlformats.org/officeDocument/2006/relationships/hyperlink" Target="https://paymenttimes.gov.au/" TargetMode="External"/><Relationship Id="rId43" Type="http://schemas.openxmlformats.org/officeDocument/2006/relationships/footer" Target="footer8.xml"/><Relationship Id="rId8" Type="http://schemas.openxmlformats.org/officeDocument/2006/relationships/hyperlink" Target="https://www.legislation.gov.au/Series/C2020A00091" TargetMode="External"/><Relationship Id="rId3" Type="http://schemas.openxmlformats.org/officeDocument/2006/relationships/styles" Target="styles.xml"/><Relationship Id="rId12" Type="http://schemas.openxmlformats.org/officeDocument/2006/relationships/hyperlink" Target="https://www.legislation.gov.au/Series/C2020A00091" TargetMode="External"/><Relationship Id="rId17" Type="http://schemas.openxmlformats.org/officeDocument/2006/relationships/footer" Target="footer3.xml"/><Relationship Id="rId25" Type="http://schemas.openxmlformats.org/officeDocument/2006/relationships/hyperlink" Target="https://portal.paymenttimes.gov.au/" TargetMode="External"/><Relationship Id="rId33" Type="http://schemas.openxmlformats.org/officeDocument/2006/relationships/hyperlink" Target="https://treasury.gov.au/publication/p2023-469059" TargetMode="External"/><Relationship Id="rId38" Type="http://schemas.openxmlformats.org/officeDocument/2006/relationships/header" Target="header3.xml"/><Relationship Id="rId20" Type="http://schemas.openxmlformats.org/officeDocument/2006/relationships/hyperlink" Target="https://paymenttimes.gov.au/guidance/regulatory-resources/information-sheet-1" TargetMode="External"/><Relationship Id="rId41" Type="http://schemas.openxmlformats.org/officeDocument/2006/relationships/footer" Target="footer7.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816B-C651-419A-A02B-FB074DCF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5247</Words>
  <Characters>26876</Characters>
  <Application>Microsoft Office Word</Application>
  <DocSecurity>0</DocSecurity>
  <Lines>520</Lines>
  <Paragraphs>321</Paragraphs>
  <ScaleCrop>false</ScaleCrop>
  <HeadingPairs>
    <vt:vector size="2" baseType="variant">
      <vt:variant>
        <vt:lpstr>Title</vt:lpstr>
      </vt:variant>
      <vt:variant>
        <vt:i4>1</vt:i4>
      </vt:variant>
    </vt:vector>
  </HeadingPairs>
  <TitlesOfParts>
    <vt:vector size="1" baseType="lpstr">
      <vt:lpstr>September 2024 Liaison Forum – question responses</vt:lpstr>
    </vt:vector>
  </TitlesOfParts>
  <Company/>
  <LinksUpToDate>false</LinksUpToDate>
  <CharactersWithSpaces>31897</CharactersWithSpaces>
  <SharedDoc>false</SharedDoc>
  <HLinks>
    <vt:vector size="288" baseType="variant">
      <vt:variant>
        <vt:i4>7733286</vt:i4>
      </vt:variant>
      <vt:variant>
        <vt:i4>219</vt:i4>
      </vt:variant>
      <vt:variant>
        <vt:i4>0</vt:i4>
      </vt:variant>
      <vt:variant>
        <vt:i4>5</vt:i4>
      </vt:variant>
      <vt:variant>
        <vt:lpwstr>https://paymenttimes.gov.au/guidance/regulatory-resources/information-sheet-10</vt:lpwstr>
      </vt:variant>
      <vt:variant>
        <vt:lpwstr/>
      </vt:variant>
      <vt:variant>
        <vt:i4>4587543</vt:i4>
      </vt:variant>
      <vt:variant>
        <vt:i4>216</vt:i4>
      </vt:variant>
      <vt:variant>
        <vt:i4>0</vt:i4>
      </vt:variant>
      <vt:variant>
        <vt:i4>5</vt:i4>
      </vt:variant>
      <vt:variant>
        <vt:lpwstr>https://paymenttimes.gov.au/guidance/regulatory-resources/information-sheet-9</vt:lpwstr>
      </vt:variant>
      <vt:variant>
        <vt:lpwstr/>
      </vt:variant>
      <vt:variant>
        <vt:i4>4587598</vt:i4>
      </vt:variant>
      <vt:variant>
        <vt:i4>213</vt:i4>
      </vt:variant>
      <vt:variant>
        <vt:i4>0</vt:i4>
      </vt:variant>
      <vt:variant>
        <vt:i4>5</vt:i4>
      </vt:variant>
      <vt:variant>
        <vt:lpwstr>https://paymenttimes.gov.au/</vt:lpwstr>
      </vt:variant>
      <vt:variant>
        <vt:lpwstr/>
      </vt:variant>
      <vt:variant>
        <vt:i4>4587543</vt:i4>
      </vt:variant>
      <vt:variant>
        <vt:i4>210</vt:i4>
      </vt:variant>
      <vt:variant>
        <vt:i4>0</vt:i4>
      </vt:variant>
      <vt:variant>
        <vt:i4>5</vt:i4>
      </vt:variant>
      <vt:variant>
        <vt:lpwstr>https://paymenttimes.gov.au/guidance/regulatory-resources/information-sheet-9</vt:lpwstr>
      </vt:variant>
      <vt:variant>
        <vt:lpwstr/>
      </vt:variant>
      <vt:variant>
        <vt:i4>851996</vt:i4>
      </vt:variant>
      <vt:variant>
        <vt:i4>207</vt:i4>
      </vt:variant>
      <vt:variant>
        <vt:i4>0</vt:i4>
      </vt:variant>
      <vt:variant>
        <vt:i4>5</vt:i4>
      </vt:variant>
      <vt:variant>
        <vt:lpwstr>https://treasury.gov.au/publication/p2023-469059</vt:lpwstr>
      </vt:variant>
      <vt:variant>
        <vt:lpwstr/>
      </vt:variant>
      <vt:variant>
        <vt:i4>4587543</vt:i4>
      </vt:variant>
      <vt:variant>
        <vt:i4>204</vt:i4>
      </vt:variant>
      <vt:variant>
        <vt:i4>0</vt:i4>
      </vt:variant>
      <vt:variant>
        <vt:i4>5</vt:i4>
      </vt:variant>
      <vt:variant>
        <vt:lpwstr>https://paymenttimes.gov.au/guidance/regulatory-resources/information-sheet-6</vt:lpwstr>
      </vt:variant>
      <vt:variant>
        <vt:lpwstr/>
      </vt:variant>
      <vt:variant>
        <vt:i4>851996</vt:i4>
      </vt:variant>
      <vt:variant>
        <vt:i4>201</vt:i4>
      </vt:variant>
      <vt:variant>
        <vt:i4>0</vt:i4>
      </vt:variant>
      <vt:variant>
        <vt:i4>5</vt:i4>
      </vt:variant>
      <vt:variant>
        <vt:lpwstr>https://treasury.gov.au/publication/p2023-469059</vt:lpwstr>
      </vt:variant>
      <vt:variant>
        <vt:lpwstr/>
      </vt:variant>
      <vt:variant>
        <vt:i4>4128814</vt:i4>
      </vt:variant>
      <vt:variant>
        <vt:i4>198</vt:i4>
      </vt:variant>
      <vt:variant>
        <vt:i4>0</vt:i4>
      </vt:variant>
      <vt:variant>
        <vt:i4>5</vt:i4>
      </vt:variant>
      <vt:variant>
        <vt:lpwstr>https://www.legislation.gov.au/F2024L01148/asmade/downloads</vt:lpwstr>
      </vt:variant>
      <vt:variant>
        <vt:lpwstr/>
      </vt:variant>
      <vt:variant>
        <vt:i4>2359356</vt:i4>
      </vt:variant>
      <vt:variant>
        <vt:i4>195</vt:i4>
      </vt:variant>
      <vt:variant>
        <vt:i4>0</vt:i4>
      </vt:variant>
      <vt:variant>
        <vt:i4>5</vt:i4>
      </vt:variant>
      <vt:variant>
        <vt:lpwstr>https://www.legislation.gov.au/F2024L01148/asmade/text</vt:lpwstr>
      </vt:variant>
      <vt:variant>
        <vt:lpwstr/>
      </vt:variant>
      <vt:variant>
        <vt:i4>4587598</vt:i4>
      </vt:variant>
      <vt:variant>
        <vt:i4>192</vt:i4>
      </vt:variant>
      <vt:variant>
        <vt:i4>0</vt:i4>
      </vt:variant>
      <vt:variant>
        <vt:i4>5</vt:i4>
      </vt:variant>
      <vt:variant>
        <vt:lpwstr>https://paymenttimes.gov.au/</vt:lpwstr>
      </vt:variant>
      <vt:variant>
        <vt:lpwstr/>
      </vt:variant>
      <vt:variant>
        <vt:i4>6029378</vt:i4>
      </vt:variant>
      <vt:variant>
        <vt:i4>189</vt:i4>
      </vt:variant>
      <vt:variant>
        <vt:i4>0</vt:i4>
      </vt:variant>
      <vt:variant>
        <vt:i4>5</vt:i4>
      </vt:variant>
      <vt:variant>
        <vt:lpwstr>https://paymenttimes.gov.au/guidance</vt:lpwstr>
      </vt:variant>
      <vt:variant>
        <vt:lpwstr/>
      </vt:variant>
      <vt:variant>
        <vt:i4>4587598</vt:i4>
      </vt:variant>
      <vt:variant>
        <vt:i4>186</vt:i4>
      </vt:variant>
      <vt:variant>
        <vt:i4>0</vt:i4>
      </vt:variant>
      <vt:variant>
        <vt:i4>5</vt:i4>
      </vt:variant>
      <vt:variant>
        <vt:lpwstr>https://paymenttimes.gov.au/</vt:lpwstr>
      </vt:variant>
      <vt:variant>
        <vt:lpwstr/>
      </vt:variant>
      <vt:variant>
        <vt:i4>6815861</vt:i4>
      </vt:variant>
      <vt:variant>
        <vt:i4>183</vt:i4>
      </vt:variant>
      <vt:variant>
        <vt:i4>0</vt:i4>
      </vt:variant>
      <vt:variant>
        <vt:i4>5</vt:i4>
      </vt:variant>
      <vt:variant>
        <vt:lpwstr>https://portal.paymenttimes.gov.au/</vt:lpwstr>
      </vt:variant>
      <vt:variant>
        <vt:lpwstr/>
      </vt:variant>
      <vt:variant>
        <vt:i4>655373</vt:i4>
      </vt:variant>
      <vt:variant>
        <vt:i4>180</vt:i4>
      </vt:variant>
      <vt:variant>
        <vt:i4>0</vt:i4>
      </vt:variant>
      <vt:variant>
        <vt:i4>5</vt:i4>
      </vt:variant>
      <vt:variant>
        <vt:lpwstr>https://www.abs.gov.au/statistics/classifications/australian-and-new-zealand-standard-industrial-classification-anzsic/latest-release</vt:lpwstr>
      </vt:variant>
      <vt:variant>
        <vt:lpwstr/>
      </vt:variant>
      <vt:variant>
        <vt:i4>655377</vt:i4>
      </vt:variant>
      <vt:variant>
        <vt:i4>177</vt:i4>
      </vt:variant>
      <vt:variant>
        <vt:i4>0</vt:i4>
      </vt:variant>
      <vt:variant>
        <vt:i4>5</vt:i4>
      </vt:variant>
      <vt:variant>
        <vt:lpwstr>https://treasury.gov.au/publication/p2023-428993</vt:lpwstr>
      </vt:variant>
      <vt:variant>
        <vt:lpwstr/>
      </vt:variant>
      <vt:variant>
        <vt:i4>4587543</vt:i4>
      </vt:variant>
      <vt:variant>
        <vt:i4>174</vt:i4>
      </vt:variant>
      <vt:variant>
        <vt:i4>0</vt:i4>
      </vt:variant>
      <vt:variant>
        <vt:i4>5</vt:i4>
      </vt:variant>
      <vt:variant>
        <vt:lpwstr>https://paymenttimes.gov.au/guidance/regulatory-resources/information-sheet-8</vt:lpwstr>
      </vt:variant>
      <vt:variant>
        <vt:lpwstr/>
      </vt:variant>
      <vt:variant>
        <vt:i4>655377</vt:i4>
      </vt:variant>
      <vt:variant>
        <vt:i4>171</vt:i4>
      </vt:variant>
      <vt:variant>
        <vt:i4>0</vt:i4>
      </vt:variant>
      <vt:variant>
        <vt:i4>5</vt:i4>
      </vt:variant>
      <vt:variant>
        <vt:lpwstr>https://treasury.gov.au/publication/p2023-428993</vt:lpwstr>
      </vt:variant>
      <vt:variant>
        <vt:lpwstr/>
      </vt:variant>
      <vt:variant>
        <vt:i4>4587543</vt:i4>
      </vt:variant>
      <vt:variant>
        <vt:i4>168</vt:i4>
      </vt:variant>
      <vt:variant>
        <vt:i4>0</vt:i4>
      </vt:variant>
      <vt:variant>
        <vt:i4>5</vt:i4>
      </vt:variant>
      <vt:variant>
        <vt:lpwstr>https://paymenttimes.gov.au/guidance/regulatory-resources/information-sheet-1</vt:lpwstr>
      </vt:variant>
      <vt:variant>
        <vt:lpwstr/>
      </vt:variant>
      <vt:variant>
        <vt:i4>1179702</vt:i4>
      </vt:variant>
      <vt:variant>
        <vt:i4>161</vt:i4>
      </vt:variant>
      <vt:variant>
        <vt:i4>0</vt:i4>
      </vt:variant>
      <vt:variant>
        <vt:i4>5</vt:i4>
      </vt:variant>
      <vt:variant>
        <vt:lpwstr/>
      </vt:variant>
      <vt:variant>
        <vt:lpwstr>_Toc178596616</vt:lpwstr>
      </vt:variant>
      <vt:variant>
        <vt:i4>1179702</vt:i4>
      </vt:variant>
      <vt:variant>
        <vt:i4>155</vt:i4>
      </vt:variant>
      <vt:variant>
        <vt:i4>0</vt:i4>
      </vt:variant>
      <vt:variant>
        <vt:i4>5</vt:i4>
      </vt:variant>
      <vt:variant>
        <vt:lpwstr/>
      </vt:variant>
      <vt:variant>
        <vt:lpwstr>_Toc178596615</vt:lpwstr>
      </vt:variant>
      <vt:variant>
        <vt:i4>1179702</vt:i4>
      </vt:variant>
      <vt:variant>
        <vt:i4>149</vt:i4>
      </vt:variant>
      <vt:variant>
        <vt:i4>0</vt:i4>
      </vt:variant>
      <vt:variant>
        <vt:i4>5</vt:i4>
      </vt:variant>
      <vt:variant>
        <vt:lpwstr/>
      </vt:variant>
      <vt:variant>
        <vt:lpwstr>_Toc178596614</vt:lpwstr>
      </vt:variant>
      <vt:variant>
        <vt:i4>1179702</vt:i4>
      </vt:variant>
      <vt:variant>
        <vt:i4>143</vt:i4>
      </vt:variant>
      <vt:variant>
        <vt:i4>0</vt:i4>
      </vt:variant>
      <vt:variant>
        <vt:i4>5</vt:i4>
      </vt:variant>
      <vt:variant>
        <vt:lpwstr/>
      </vt:variant>
      <vt:variant>
        <vt:lpwstr>_Toc178596613</vt:lpwstr>
      </vt:variant>
      <vt:variant>
        <vt:i4>1179702</vt:i4>
      </vt:variant>
      <vt:variant>
        <vt:i4>137</vt:i4>
      </vt:variant>
      <vt:variant>
        <vt:i4>0</vt:i4>
      </vt:variant>
      <vt:variant>
        <vt:i4>5</vt:i4>
      </vt:variant>
      <vt:variant>
        <vt:lpwstr/>
      </vt:variant>
      <vt:variant>
        <vt:lpwstr>_Toc178596612</vt:lpwstr>
      </vt:variant>
      <vt:variant>
        <vt:i4>1179702</vt:i4>
      </vt:variant>
      <vt:variant>
        <vt:i4>131</vt:i4>
      </vt:variant>
      <vt:variant>
        <vt:i4>0</vt:i4>
      </vt:variant>
      <vt:variant>
        <vt:i4>5</vt:i4>
      </vt:variant>
      <vt:variant>
        <vt:lpwstr/>
      </vt:variant>
      <vt:variant>
        <vt:lpwstr>_Toc178596611</vt:lpwstr>
      </vt:variant>
      <vt:variant>
        <vt:i4>1179702</vt:i4>
      </vt:variant>
      <vt:variant>
        <vt:i4>125</vt:i4>
      </vt:variant>
      <vt:variant>
        <vt:i4>0</vt:i4>
      </vt:variant>
      <vt:variant>
        <vt:i4>5</vt:i4>
      </vt:variant>
      <vt:variant>
        <vt:lpwstr/>
      </vt:variant>
      <vt:variant>
        <vt:lpwstr>_Toc178596610</vt:lpwstr>
      </vt:variant>
      <vt:variant>
        <vt:i4>1245238</vt:i4>
      </vt:variant>
      <vt:variant>
        <vt:i4>119</vt:i4>
      </vt:variant>
      <vt:variant>
        <vt:i4>0</vt:i4>
      </vt:variant>
      <vt:variant>
        <vt:i4>5</vt:i4>
      </vt:variant>
      <vt:variant>
        <vt:lpwstr/>
      </vt:variant>
      <vt:variant>
        <vt:lpwstr>_Toc178596609</vt:lpwstr>
      </vt:variant>
      <vt:variant>
        <vt:i4>1245238</vt:i4>
      </vt:variant>
      <vt:variant>
        <vt:i4>113</vt:i4>
      </vt:variant>
      <vt:variant>
        <vt:i4>0</vt:i4>
      </vt:variant>
      <vt:variant>
        <vt:i4>5</vt:i4>
      </vt:variant>
      <vt:variant>
        <vt:lpwstr/>
      </vt:variant>
      <vt:variant>
        <vt:lpwstr>_Toc178596608</vt:lpwstr>
      </vt:variant>
      <vt:variant>
        <vt:i4>1245238</vt:i4>
      </vt:variant>
      <vt:variant>
        <vt:i4>107</vt:i4>
      </vt:variant>
      <vt:variant>
        <vt:i4>0</vt:i4>
      </vt:variant>
      <vt:variant>
        <vt:i4>5</vt:i4>
      </vt:variant>
      <vt:variant>
        <vt:lpwstr/>
      </vt:variant>
      <vt:variant>
        <vt:lpwstr>_Toc178596607</vt:lpwstr>
      </vt:variant>
      <vt:variant>
        <vt:i4>1245238</vt:i4>
      </vt:variant>
      <vt:variant>
        <vt:i4>101</vt:i4>
      </vt:variant>
      <vt:variant>
        <vt:i4>0</vt:i4>
      </vt:variant>
      <vt:variant>
        <vt:i4>5</vt:i4>
      </vt:variant>
      <vt:variant>
        <vt:lpwstr/>
      </vt:variant>
      <vt:variant>
        <vt:lpwstr>_Toc178596606</vt:lpwstr>
      </vt:variant>
      <vt:variant>
        <vt:i4>1245238</vt:i4>
      </vt:variant>
      <vt:variant>
        <vt:i4>95</vt:i4>
      </vt:variant>
      <vt:variant>
        <vt:i4>0</vt:i4>
      </vt:variant>
      <vt:variant>
        <vt:i4>5</vt:i4>
      </vt:variant>
      <vt:variant>
        <vt:lpwstr/>
      </vt:variant>
      <vt:variant>
        <vt:lpwstr>_Toc178596605</vt:lpwstr>
      </vt:variant>
      <vt:variant>
        <vt:i4>1245238</vt:i4>
      </vt:variant>
      <vt:variant>
        <vt:i4>89</vt:i4>
      </vt:variant>
      <vt:variant>
        <vt:i4>0</vt:i4>
      </vt:variant>
      <vt:variant>
        <vt:i4>5</vt:i4>
      </vt:variant>
      <vt:variant>
        <vt:lpwstr/>
      </vt:variant>
      <vt:variant>
        <vt:lpwstr>_Toc178596604</vt:lpwstr>
      </vt:variant>
      <vt:variant>
        <vt:i4>1245238</vt:i4>
      </vt:variant>
      <vt:variant>
        <vt:i4>83</vt:i4>
      </vt:variant>
      <vt:variant>
        <vt:i4>0</vt:i4>
      </vt:variant>
      <vt:variant>
        <vt:i4>5</vt:i4>
      </vt:variant>
      <vt:variant>
        <vt:lpwstr/>
      </vt:variant>
      <vt:variant>
        <vt:lpwstr>_Toc178596603</vt:lpwstr>
      </vt:variant>
      <vt:variant>
        <vt:i4>1245238</vt:i4>
      </vt:variant>
      <vt:variant>
        <vt:i4>77</vt:i4>
      </vt:variant>
      <vt:variant>
        <vt:i4>0</vt:i4>
      </vt:variant>
      <vt:variant>
        <vt:i4>5</vt:i4>
      </vt:variant>
      <vt:variant>
        <vt:lpwstr/>
      </vt:variant>
      <vt:variant>
        <vt:lpwstr>_Toc178596602</vt:lpwstr>
      </vt:variant>
      <vt:variant>
        <vt:i4>1245238</vt:i4>
      </vt:variant>
      <vt:variant>
        <vt:i4>71</vt:i4>
      </vt:variant>
      <vt:variant>
        <vt:i4>0</vt:i4>
      </vt:variant>
      <vt:variant>
        <vt:i4>5</vt:i4>
      </vt:variant>
      <vt:variant>
        <vt:lpwstr/>
      </vt:variant>
      <vt:variant>
        <vt:lpwstr>_Toc178596601</vt:lpwstr>
      </vt:variant>
      <vt:variant>
        <vt:i4>1245238</vt:i4>
      </vt:variant>
      <vt:variant>
        <vt:i4>65</vt:i4>
      </vt:variant>
      <vt:variant>
        <vt:i4>0</vt:i4>
      </vt:variant>
      <vt:variant>
        <vt:i4>5</vt:i4>
      </vt:variant>
      <vt:variant>
        <vt:lpwstr/>
      </vt:variant>
      <vt:variant>
        <vt:lpwstr>_Toc178596600</vt:lpwstr>
      </vt:variant>
      <vt:variant>
        <vt:i4>1703989</vt:i4>
      </vt:variant>
      <vt:variant>
        <vt:i4>59</vt:i4>
      </vt:variant>
      <vt:variant>
        <vt:i4>0</vt:i4>
      </vt:variant>
      <vt:variant>
        <vt:i4>5</vt:i4>
      </vt:variant>
      <vt:variant>
        <vt:lpwstr/>
      </vt:variant>
      <vt:variant>
        <vt:lpwstr>_Toc178596599</vt:lpwstr>
      </vt:variant>
      <vt:variant>
        <vt:i4>1703989</vt:i4>
      </vt:variant>
      <vt:variant>
        <vt:i4>53</vt:i4>
      </vt:variant>
      <vt:variant>
        <vt:i4>0</vt:i4>
      </vt:variant>
      <vt:variant>
        <vt:i4>5</vt:i4>
      </vt:variant>
      <vt:variant>
        <vt:lpwstr/>
      </vt:variant>
      <vt:variant>
        <vt:lpwstr>_Toc178596598</vt:lpwstr>
      </vt:variant>
      <vt:variant>
        <vt:i4>1703989</vt:i4>
      </vt:variant>
      <vt:variant>
        <vt:i4>47</vt:i4>
      </vt:variant>
      <vt:variant>
        <vt:i4>0</vt:i4>
      </vt:variant>
      <vt:variant>
        <vt:i4>5</vt:i4>
      </vt:variant>
      <vt:variant>
        <vt:lpwstr/>
      </vt:variant>
      <vt:variant>
        <vt:lpwstr>_Toc178596597</vt:lpwstr>
      </vt:variant>
      <vt:variant>
        <vt:i4>1703989</vt:i4>
      </vt:variant>
      <vt:variant>
        <vt:i4>41</vt:i4>
      </vt:variant>
      <vt:variant>
        <vt:i4>0</vt:i4>
      </vt:variant>
      <vt:variant>
        <vt:i4>5</vt:i4>
      </vt:variant>
      <vt:variant>
        <vt:lpwstr/>
      </vt:variant>
      <vt:variant>
        <vt:lpwstr>_Toc178596596</vt:lpwstr>
      </vt:variant>
      <vt:variant>
        <vt:i4>1703989</vt:i4>
      </vt:variant>
      <vt:variant>
        <vt:i4>35</vt:i4>
      </vt:variant>
      <vt:variant>
        <vt:i4>0</vt:i4>
      </vt:variant>
      <vt:variant>
        <vt:i4>5</vt:i4>
      </vt:variant>
      <vt:variant>
        <vt:lpwstr/>
      </vt:variant>
      <vt:variant>
        <vt:lpwstr>_Toc178596595</vt:lpwstr>
      </vt:variant>
      <vt:variant>
        <vt:i4>1703989</vt:i4>
      </vt:variant>
      <vt:variant>
        <vt:i4>29</vt:i4>
      </vt:variant>
      <vt:variant>
        <vt:i4>0</vt:i4>
      </vt:variant>
      <vt:variant>
        <vt:i4>5</vt:i4>
      </vt:variant>
      <vt:variant>
        <vt:lpwstr/>
      </vt:variant>
      <vt:variant>
        <vt:lpwstr>_Toc178596594</vt:lpwstr>
      </vt:variant>
      <vt:variant>
        <vt:i4>1703989</vt:i4>
      </vt:variant>
      <vt:variant>
        <vt:i4>23</vt:i4>
      </vt:variant>
      <vt:variant>
        <vt:i4>0</vt:i4>
      </vt:variant>
      <vt:variant>
        <vt:i4>5</vt:i4>
      </vt:variant>
      <vt:variant>
        <vt:lpwstr/>
      </vt:variant>
      <vt:variant>
        <vt:lpwstr>_Toc178596593</vt:lpwstr>
      </vt:variant>
      <vt:variant>
        <vt:i4>1703989</vt:i4>
      </vt:variant>
      <vt:variant>
        <vt:i4>17</vt:i4>
      </vt:variant>
      <vt:variant>
        <vt:i4>0</vt:i4>
      </vt:variant>
      <vt:variant>
        <vt:i4>5</vt:i4>
      </vt:variant>
      <vt:variant>
        <vt:lpwstr/>
      </vt:variant>
      <vt:variant>
        <vt:lpwstr>_Toc178596592</vt:lpwstr>
      </vt:variant>
      <vt:variant>
        <vt:i4>655389</vt:i4>
      </vt:variant>
      <vt:variant>
        <vt:i4>12</vt:i4>
      </vt:variant>
      <vt:variant>
        <vt:i4>0</vt:i4>
      </vt:variant>
      <vt:variant>
        <vt:i4>5</vt:i4>
      </vt:variant>
      <vt:variant>
        <vt:lpwstr>https://www.legislation.gov.au/Series/C2020A00091</vt:lpwstr>
      </vt:variant>
      <vt:variant>
        <vt:lpwstr/>
      </vt:variant>
      <vt:variant>
        <vt:i4>524316</vt:i4>
      </vt:variant>
      <vt:variant>
        <vt:i4>9</vt:i4>
      </vt:variant>
      <vt:variant>
        <vt:i4>0</vt:i4>
      </vt:variant>
      <vt:variant>
        <vt:i4>5</vt:i4>
      </vt:variant>
      <vt:variant>
        <vt:lpwstr>https://www.legislation.gov.au/Series/F2020L01472</vt:lpwstr>
      </vt:variant>
      <vt:variant>
        <vt:lpwstr/>
      </vt:variant>
      <vt:variant>
        <vt:i4>655389</vt:i4>
      </vt:variant>
      <vt:variant>
        <vt:i4>6</vt:i4>
      </vt:variant>
      <vt:variant>
        <vt:i4>0</vt:i4>
      </vt:variant>
      <vt:variant>
        <vt:i4>5</vt:i4>
      </vt:variant>
      <vt:variant>
        <vt:lpwstr>https://www.legislation.gov.au/Series/C2020A00091</vt:lpwstr>
      </vt:variant>
      <vt:variant>
        <vt:lpwstr/>
      </vt:variant>
      <vt:variant>
        <vt:i4>1376277</vt:i4>
      </vt:variant>
      <vt:variant>
        <vt:i4>3</vt:i4>
      </vt:variant>
      <vt:variant>
        <vt:i4>0</vt:i4>
      </vt:variant>
      <vt:variant>
        <vt:i4>5</vt:i4>
      </vt:variant>
      <vt:variant>
        <vt:lpwstr>https://register.paymenttimes.gov.au/</vt:lpwstr>
      </vt:variant>
      <vt:variant>
        <vt:lpwstr/>
      </vt:variant>
      <vt:variant>
        <vt:i4>655389</vt:i4>
      </vt:variant>
      <vt:variant>
        <vt:i4>0</vt:i4>
      </vt:variant>
      <vt:variant>
        <vt:i4>0</vt:i4>
      </vt:variant>
      <vt:variant>
        <vt:i4>5</vt:i4>
      </vt:variant>
      <vt:variant>
        <vt:lpwstr>https://www.legislation.gov.au/Series/C2020A00091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2024 Liaison Forum – question responses</dc:title>
  <dc:subject/>
  <dc:creator/>
  <cp:keywords/>
  <cp:lastModifiedBy/>
  <cp:revision>1</cp:revision>
  <dcterms:created xsi:type="dcterms:W3CDTF">2024-10-01T04:13:00Z</dcterms:created>
  <dcterms:modified xsi:type="dcterms:W3CDTF">2024-10-01T04:15:00Z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2024-10-01T04:15:30Z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91e5c303-ae1d-476d-9443-d4b3684992a3</vt:lpwstr>
  </property>
  <property fmtid="{D5CDD505-2E9C-101B-9397-08002B2CF9AE}" pid="8" name="MSIP_Label_4f932d64-9ab1-4d9b-81d2-a3a8b82dd47d_ContentBits">
    <vt:lpwstr>0</vt:lpwstr>
  </property>
</Properties>
</file>