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UI/images/H1.png" ContentType="image/.png"/>
</Types>
</file>

<file path=_rels/.rels><?xml version="1.0" encoding="UTF-8" standalone="yes"?>
<Relationships xmlns="http://schemas.openxmlformats.org/package/2006/relationships"><Relationship Id="Ra05fd3ee58514e57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85645642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2941423F" w14:textId="48358F24" w:rsidR="00604EEF" w:rsidRPr="006D0240" w:rsidRDefault="00604EEF" w:rsidP="008E6292"/>
        <w:p w14:paraId="47973690" w14:textId="62562EA3" w:rsidR="00604EEF" w:rsidRDefault="00EB13D0" w:rsidP="00F94CB7">
          <w:pPr>
            <w:pStyle w:val="Crest"/>
            <w:tabs>
              <w:tab w:val="left" w:pos="7860"/>
            </w:tabs>
            <w:spacing w:after="1200"/>
            <w:jc w:val="left"/>
          </w:pPr>
          <w:r>
            <w:tab/>
          </w:r>
        </w:p>
        <w:p w14:paraId="0183E863" w14:textId="77777777" w:rsidR="00494936" w:rsidRPr="006D0240" w:rsidRDefault="00494936" w:rsidP="00301755">
          <w:pPr>
            <w:pStyle w:val="Crest"/>
            <w:spacing w:after="1200"/>
            <w:jc w:val="right"/>
          </w:pPr>
        </w:p>
        <w:p w14:paraId="0F151DB0" w14:textId="74757C50" w:rsidR="00604EEF" w:rsidRPr="006923DF" w:rsidRDefault="00263E9E" w:rsidP="006923DF">
          <w:pPr>
            <w:pStyle w:val="Title"/>
          </w:pPr>
          <w:bookmarkStart w:id="0" w:name="_Hlk108079506"/>
          <w:r>
            <w:t xml:space="preserve">Regulator’s </w:t>
          </w:r>
          <w:r w:rsidR="00BB5331">
            <w:t>u</w:t>
          </w:r>
          <w:r>
            <w:t>pdate</w:t>
          </w:r>
          <w:r w:rsidR="00827E69">
            <w:t xml:space="preserve"> </w:t>
          </w:r>
        </w:p>
        <w:p w14:paraId="3820A794" w14:textId="555E58BE" w:rsidR="00604EEF" w:rsidRPr="006923DF" w:rsidRDefault="009B5922" w:rsidP="006923DF">
          <w:pPr>
            <w:pStyle w:val="Subtitle"/>
          </w:pPr>
          <w:r>
            <w:t>Ju</w:t>
          </w:r>
          <w:r w:rsidR="0012109F">
            <w:t>ly</w:t>
          </w:r>
          <w:r>
            <w:t xml:space="preserve"> 2022</w:t>
          </w:r>
          <w:bookmarkEnd w:id="0"/>
        </w:p>
        <w:p w14:paraId="57C9ACE9" w14:textId="1581224E" w:rsidR="00604EEF" w:rsidRPr="006923DF" w:rsidRDefault="00604EEF" w:rsidP="006923DF">
          <w:pPr>
            <w:pStyle w:val="ReportDate"/>
            <w:rPr>
              <w:rFonts w:ascii="Rockwell" w:hAnsi="Rockwell"/>
              <w:sz w:val="24"/>
            </w:rPr>
          </w:pPr>
        </w:p>
        <w:p w14:paraId="46E690BA" w14:textId="4F6B122F" w:rsidR="004D1E7E" w:rsidRPr="002300D1" w:rsidRDefault="004D1E7E" w:rsidP="004D1E7E">
          <w:pPr>
            <w:spacing w:before="0" w:after="160"/>
            <w:sectPr w:rsidR="004D1E7E" w:rsidRPr="002300D1" w:rsidSect="00494936">
              <w:headerReference w:type="even" r:id="rId9"/>
              <w:headerReference w:type="default" r:id="rId10"/>
              <w:type w:val="oddPage"/>
              <w:pgSz w:w="11906" w:h="16838" w:code="9"/>
              <w:pgMar w:top="1544" w:right="1418" w:bottom="1418" w:left="1418" w:header="709" w:footer="0" w:gutter="0"/>
              <w:cols w:space="708"/>
              <w:docGrid w:linePitch="360"/>
            </w:sectPr>
          </w:pPr>
        </w:p>
        <w:p w14:paraId="6EFB3FCF" w14:textId="56CB688B" w:rsidR="00604EEF" w:rsidRDefault="00A72E16">
          <w:pPr>
            <w:spacing w:before="0" w:after="160"/>
            <w:rPr>
              <w:noProof/>
            </w:rPr>
          </w:pPr>
        </w:p>
      </w:sdtContent>
    </w:sdt>
    <w:p w14:paraId="37CBC7E2" w14:textId="7EE5FED2" w:rsidR="000E0B74" w:rsidRDefault="000E0B74" w:rsidP="005877AC">
      <w:pPr>
        <w:spacing w:before="0" w:after="160"/>
        <w:rPr>
          <w:noProof/>
        </w:rPr>
      </w:pPr>
      <w:r w:rsidRPr="00661BF0">
        <w:t xml:space="preserve">© Commonwealth of Australia </w:t>
      </w:r>
      <w:r w:rsidRPr="007F55E4">
        <w:t>20</w:t>
      </w:r>
      <w:r w:rsidR="006564D3" w:rsidRPr="007F55E4">
        <w:t>2</w:t>
      </w:r>
      <w:r w:rsidR="0074027D">
        <w:t>2</w:t>
      </w:r>
    </w:p>
    <w:p w14:paraId="1FC0014B" w14:textId="1DC89C30" w:rsidR="000E0B74" w:rsidRPr="00086F82" w:rsidRDefault="000E0B74" w:rsidP="000E0B74">
      <w:pPr>
        <w:tabs>
          <w:tab w:val="left" w:pos="1650"/>
        </w:tabs>
        <w:spacing w:before="240"/>
        <w:rPr>
          <w:rFonts w:cstheme="minorBidi"/>
          <w:sz w:val="24"/>
          <w:szCs w:val="24"/>
        </w:rPr>
      </w:pPr>
      <w:r w:rsidRPr="002F1BC2">
        <w:t>This publication is available for your use under a</w:t>
      </w:r>
      <w:r w:rsidRPr="00476F09">
        <w:rPr>
          <w:rFonts w:cstheme="minorHAnsi"/>
          <w:sz w:val="24"/>
          <w:szCs w:val="24"/>
        </w:rPr>
        <w:t xml:space="preserve"> </w:t>
      </w:r>
      <w:hyperlink r:id="rId11" w:history="1">
        <w:r w:rsidRPr="006627B4">
          <w:rPr>
            <w:rStyle w:val="Hyperlink"/>
          </w:rPr>
          <w:t>Creative Commons Attribution 3.0 Australia</w:t>
        </w:r>
      </w:hyperlink>
      <w:r w:rsidRPr="00476F09">
        <w:rPr>
          <w:rFonts w:cstheme="minorHAnsi"/>
          <w:sz w:val="24"/>
          <w:szCs w:val="24"/>
        </w:rPr>
        <w:t xml:space="preserve"> </w:t>
      </w:r>
      <w:r w:rsidRPr="002F1BC2">
        <w:t>licence, with the exception of the Commonwealth Coat of Arms, the Treasury logo</w:t>
      </w:r>
      <w:r>
        <w:t xml:space="preserve">, </w:t>
      </w:r>
      <w:r w:rsidR="0074027D">
        <w:t xml:space="preserve">the Payment Times Reporting Regulator logo, </w:t>
      </w:r>
      <w:r>
        <w:t xml:space="preserve">photographs, images, signatures </w:t>
      </w:r>
      <w:r w:rsidRPr="002F1BC2">
        <w:t>and where otherwise stated. The full licence terms are available from</w:t>
      </w:r>
      <w:r w:rsidRPr="00476F09">
        <w:rPr>
          <w:rFonts w:cstheme="minorHAnsi"/>
          <w:sz w:val="24"/>
          <w:szCs w:val="24"/>
        </w:rPr>
        <w:t xml:space="preserve"> </w:t>
      </w:r>
      <w:hyperlink r:id="rId12" w:history="1">
        <w:r w:rsidRPr="001F1B27">
          <w:rPr>
            <w:rStyle w:val="Hyperlink"/>
          </w:rPr>
          <w:t>http://creativecommons.org/licenses/by/3.0/au/legalcode</w:t>
        </w:r>
      </w:hyperlink>
      <w:r w:rsidRPr="006627B4">
        <w:rPr>
          <w:rStyle w:val="Hyperlink"/>
        </w:rPr>
        <w:t>.</w:t>
      </w:r>
      <w:r w:rsidRPr="00D06A21">
        <w:rPr>
          <w:sz w:val="24"/>
          <w:szCs w:val="24"/>
        </w:rPr>
        <w:t xml:space="preserve"> </w:t>
      </w:r>
    </w:p>
    <w:p w14:paraId="23FE6C12" w14:textId="77777777" w:rsidR="000E0B74" w:rsidRDefault="000E0B74" w:rsidP="000E0B74">
      <w:pPr>
        <w:pStyle w:val="ChartGraphic"/>
        <w:jc w:val="left"/>
      </w:pPr>
      <w:r w:rsidRPr="00E56DFB">
        <w:rPr>
          <w:noProof/>
          <w:lang w:eastAsia="zh-CN"/>
        </w:rPr>
        <w:drawing>
          <wp:inline distT="0" distB="0" distL="0" distR="0" wp14:anchorId="0EB7BFA2" wp14:editId="3A3F74A1">
            <wp:extent cx="809625" cy="285750"/>
            <wp:effectExtent l="0" t="0" r="9525" b="0"/>
            <wp:docPr id="3" name="Picture 1" descr="Creative Commons attribution licence 3.0 icon. " title="Creative Common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 by_gre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4AF80" w14:textId="77777777" w:rsidR="000E0B74" w:rsidRPr="006627B4" w:rsidRDefault="000E0B74" w:rsidP="000E0B74">
      <w:pPr>
        <w:tabs>
          <w:tab w:val="left" w:pos="1650"/>
        </w:tabs>
        <w:spacing w:before="240"/>
      </w:pPr>
      <w:r w:rsidRPr="006627B4">
        <w:t>Use of Treasury material under a</w:t>
      </w:r>
      <w:r w:rsidRPr="00476F09">
        <w:rPr>
          <w:rFonts w:cstheme="minorHAnsi"/>
          <w:sz w:val="24"/>
          <w:szCs w:val="24"/>
        </w:rPr>
        <w:t xml:space="preserve"> </w:t>
      </w:r>
      <w:hyperlink r:id="rId14" w:history="1">
        <w:r w:rsidRPr="002F1BC2">
          <w:rPr>
            <w:rStyle w:val="Hyperlink"/>
          </w:rPr>
          <w:t>Creative Commons Attribution 3.0 Australia</w:t>
        </w:r>
      </w:hyperlink>
      <w:r w:rsidRPr="002F1BC2">
        <w:rPr>
          <w:rStyle w:val="Hyperlink"/>
        </w:rPr>
        <w:t xml:space="preserve"> </w:t>
      </w:r>
      <w:r w:rsidRPr="006627B4">
        <w:t>licence requires you to attribute the work (but not in any way that suggests that the Treasury endorse</w:t>
      </w:r>
      <w:r>
        <w:t>s you or your use of the work).</w:t>
      </w:r>
    </w:p>
    <w:p w14:paraId="674DADD8" w14:textId="77777777" w:rsidR="000E0B74" w:rsidRPr="002F1BC2" w:rsidRDefault="000E0B74" w:rsidP="000E0B74">
      <w:pPr>
        <w:ind w:left="709"/>
        <w:rPr>
          <w:i/>
        </w:rPr>
      </w:pPr>
      <w:r w:rsidRPr="002F1BC2">
        <w:rPr>
          <w:i/>
        </w:rPr>
        <w:t xml:space="preserve">Treasury material used </w:t>
      </w:r>
      <w:r>
        <w:rPr>
          <w:i/>
        </w:rPr>
        <w:t>‘</w:t>
      </w:r>
      <w:r w:rsidRPr="002F1BC2">
        <w:rPr>
          <w:i/>
        </w:rPr>
        <w:t>as supplied</w:t>
      </w:r>
      <w:r>
        <w:rPr>
          <w:i/>
        </w:rPr>
        <w:t>’.</w:t>
      </w:r>
    </w:p>
    <w:p w14:paraId="2A132A7C" w14:textId="77777777" w:rsidR="000E0B74" w:rsidRPr="00476F09" w:rsidRDefault="000E0B74" w:rsidP="000E0B74">
      <w:pPr>
        <w:spacing w:before="240"/>
      </w:pPr>
      <w:r w:rsidRPr="00476F09">
        <w:t>Provided you have not modified or transformed Treasury material in any way including, for example, by</w:t>
      </w:r>
      <w:r>
        <w:t xml:space="preserve"> </w:t>
      </w:r>
      <w:r w:rsidRPr="0096692D">
        <w:t>changing the Treasury text; calculating percentage changes; graphing or charting data</w:t>
      </w:r>
      <w:r>
        <w:t>;</w:t>
      </w:r>
      <w:r w:rsidRPr="0096692D">
        <w:t xml:space="preserve"> or deriving new statistics from published Treasury statistics</w:t>
      </w:r>
      <w:r>
        <w:t xml:space="preserve"> — then Treasury prefers t</w:t>
      </w:r>
      <w:r w:rsidRPr="00476F09">
        <w:t xml:space="preserve">he following attribution: </w:t>
      </w:r>
    </w:p>
    <w:p w14:paraId="3C51A9EB" w14:textId="7CABECD2" w:rsidR="000E0B74" w:rsidRPr="00A13A11" w:rsidRDefault="000E0B74" w:rsidP="000E0B74">
      <w:pPr>
        <w:ind w:firstLine="720"/>
      </w:pPr>
      <w:r w:rsidRPr="002F1BC2">
        <w:rPr>
          <w:i/>
        </w:rPr>
        <w:t xml:space="preserve">Source: The </w:t>
      </w:r>
      <w:r w:rsidRPr="002F1BC2">
        <w:rPr>
          <w:i/>
          <w:iCs/>
        </w:rPr>
        <w:t>Australian Government the Treasury</w:t>
      </w:r>
      <w:r w:rsidR="0074027D">
        <w:rPr>
          <w:i/>
          <w:iCs/>
        </w:rPr>
        <w:t>, Payment Times Reporting Regulator</w:t>
      </w:r>
      <w:r>
        <w:t>.</w:t>
      </w:r>
    </w:p>
    <w:p w14:paraId="23F0722B" w14:textId="77777777" w:rsidR="000E0B74" w:rsidRPr="006627B4" w:rsidRDefault="000E0B74" w:rsidP="000E0B74">
      <w:pPr>
        <w:spacing w:before="240"/>
      </w:pPr>
      <w:r w:rsidRPr="00CC63CC">
        <w:rPr>
          <w:b/>
        </w:rPr>
        <w:t>Derivative</w:t>
      </w:r>
      <w:r w:rsidRPr="006627B4">
        <w:t xml:space="preserve"> </w:t>
      </w:r>
      <w:r w:rsidRPr="00CC63CC">
        <w:rPr>
          <w:b/>
        </w:rPr>
        <w:t>material</w:t>
      </w:r>
    </w:p>
    <w:p w14:paraId="5A588E45" w14:textId="77777777" w:rsidR="000E0B74" w:rsidRPr="006627B4" w:rsidRDefault="000E0B74" w:rsidP="000E0B74">
      <w:r w:rsidRPr="006627B4">
        <w:t xml:space="preserve">If you have modified or transformed Treasury material, or derived new material from those of the Treasury in any way, then Treasury prefers the following attribution: </w:t>
      </w:r>
    </w:p>
    <w:p w14:paraId="1256E52E" w14:textId="28F37986" w:rsidR="000E0B74" w:rsidRPr="006627B4" w:rsidRDefault="000E0B74" w:rsidP="000E0B74">
      <w:pPr>
        <w:ind w:firstLine="720"/>
      </w:pPr>
      <w:r w:rsidRPr="002F1BC2">
        <w:rPr>
          <w:i/>
        </w:rPr>
        <w:t>Based on The Australian Government the Treasury</w:t>
      </w:r>
      <w:r w:rsidR="0074027D">
        <w:rPr>
          <w:i/>
        </w:rPr>
        <w:t xml:space="preserve">, </w:t>
      </w:r>
      <w:r w:rsidR="0074027D">
        <w:rPr>
          <w:i/>
          <w:iCs/>
        </w:rPr>
        <w:t>Payment Times Reporting Regulator</w:t>
      </w:r>
      <w:r w:rsidRPr="002F1BC2">
        <w:rPr>
          <w:i/>
        </w:rPr>
        <w:t xml:space="preserve"> data</w:t>
      </w:r>
      <w:r>
        <w:t>.</w:t>
      </w:r>
    </w:p>
    <w:p w14:paraId="2AA2CFB5" w14:textId="77777777" w:rsidR="000E0B74" w:rsidRPr="006627B4" w:rsidRDefault="000E0B74" w:rsidP="000E0B74">
      <w:pPr>
        <w:spacing w:before="240"/>
        <w:rPr>
          <w:b/>
        </w:rPr>
      </w:pPr>
      <w:r w:rsidRPr="006627B4">
        <w:rPr>
          <w:b/>
        </w:rPr>
        <w:t>Use of the Coat of Arms</w:t>
      </w:r>
    </w:p>
    <w:p w14:paraId="43071CDC" w14:textId="77777777" w:rsidR="005C503A" w:rsidRPr="005C503A" w:rsidRDefault="005C503A" w:rsidP="005C503A">
      <w:pPr>
        <w:spacing w:before="240"/>
      </w:pPr>
      <w:r w:rsidRPr="005C503A">
        <w:t xml:space="preserve">The terms under which the Coat of Arms can be used are set out on the Department of the Prime Minister and Cabinet website (see </w:t>
      </w:r>
      <w:hyperlink r:id="rId15" w:history="1">
        <w:r w:rsidRPr="005C503A">
          <w:rPr>
            <w:rStyle w:val="Hyperlink"/>
          </w:rPr>
          <w:t>www.pmc.gov.au/government/commonwealth-coat-arm</w:t>
        </w:r>
      </w:hyperlink>
      <w:r w:rsidRPr="005C503A">
        <w:t>s).</w:t>
      </w:r>
    </w:p>
    <w:p w14:paraId="02EAF00E" w14:textId="77777777" w:rsidR="000E0B74" w:rsidRPr="006627B4" w:rsidRDefault="000E0B74" w:rsidP="000E0B74">
      <w:pPr>
        <w:spacing w:before="240"/>
        <w:rPr>
          <w:b/>
        </w:rPr>
      </w:pPr>
      <w:r>
        <w:rPr>
          <w:b/>
        </w:rPr>
        <w:t>Other u</w:t>
      </w:r>
      <w:r w:rsidRPr="006627B4">
        <w:rPr>
          <w:b/>
        </w:rPr>
        <w:t>ses</w:t>
      </w:r>
    </w:p>
    <w:p w14:paraId="0A07EB2F" w14:textId="77777777" w:rsidR="000E0B74" w:rsidRPr="006627B4" w:rsidRDefault="000E0B74" w:rsidP="000E0B74">
      <w:r>
        <w:t>E</w:t>
      </w:r>
      <w:r w:rsidRPr="006627B4">
        <w:t>nquiries regarding this licence and any other use of this document are welcome at:</w:t>
      </w:r>
    </w:p>
    <w:p w14:paraId="603801C0" w14:textId="77777777" w:rsidR="00F77988" w:rsidRDefault="000E0B74" w:rsidP="000E0B74">
      <w:pPr>
        <w:ind w:left="720"/>
        <w:rPr>
          <w:rStyle w:val="Hyperlink"/>
        </w:rPr>
        <w:sectPr w:rsidR="00F77988" w:rsidSect="007F55E4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1544" w:right="1418" w:bottom="1418" w:left="1418" w:header="709" w:footer="0" w:gutter="0"/>
          <w:pgNumType w:start="1"/>
          <w:cols w:space="708"/>
          <w:docGrid w:linePitch="360"/>
        </w:sectPr>
      </w:pPr>
      <w:r w:rsidRPr="006627B4">
        <w:t>Manager</w:t>
      </w:r>
      <w:r w:rsidR="00A72960">
        <w:br/>
      </w:r>
      <w:r>
        <w:t>Media and Speeches Unit</w:t>
      </w:r>
      <w:r>
        <w:br/>
      </w:r>
      <w:r w:rsidRPr="006627B4">
        <w:t>The Treasury</w:t>
      </w:r>
      <w:r>
        <w:br/>
      </w:r>
      <w:r w:rsidRPr="006627B4">
        <w:t xml:space="preserve">Langton Crescent </w:t>
      </w:r>
      <w:r>
        <w:br/>
      </w:r>
      <w:proofErr w:type="gramStart"/>
      <w:r w:rsidRPr="006627B4">
        <w:t xml:space="preserve">Parkes </w:t>
      </w:r>
      <w:r>
        <w:t xml:space="preserve"> </w:t>
      </w:r>
      <w:r w:rsidRPr="006627B4">
        <w:t>ACT</w:t>
      </w:r>
      <w:proofErr w:type="gramEnd"/>
      <w:r w:rsidRPr="006627B4">
        <w:t xml:space="preserve"> </w:t>
      </w:r>
      <w:r>
        <w:t xml:space="preserve"> </w:t>
      </w:r>
      <w:r w:rsidRPr="006627B4">
        <w:t>2600</w:t>
      </w:r>
      <w:r>
        <w:br/>
      </w:r>
      <w:r w:rsidRPr="006627B4">
        <w:t xml:space="preserve">Email: </w:t>
      </w:r>
      <w:hyperlink r:id="rId20" w:history="1">
        <w:r w:rsidR="00FF447A" w:rsidRPr="000951A5">
          <w:rPr>
            <w:rStyle w:val="Hyperlink"/>
          </w:rPr>
          <w:t>media@treasury.gov.au</w:t>
        </w:r>
      </w:hyperlink>
      <w:r w:rsidR="00FF447A">
        <w:rPr>
          <w:rStyle w:val="Hyperlink"/>
        </w:rPr>
        <w:t xml:space="preserve"> </w:t>
      </w:r>
    </w:p>
    <w:p w14:paraId="6CD60FFD" w14:textId="76276419" w:rsidR="000E0B74" w:rsidRPr="002F1BC2" w:rsidRDefault="000E0B74" w:rsidP="000E0B74">
      <w:pPr>
        <w:ind w:left="720"/>
        <w:rPr>
          <w:rStyle w:val="Hyperlink"/>
        </w:rPr>
      </w:pPr>
    </w:p>
    <w:p w14:paraId="429105F7" w14:textId="5A36912D" w:rsidR="00851257" w:rsidRDefault="000E0B74" w:rsidP="0004322F">
      <w:pPr>
        <w:pStyle w:val="Heading1"/>
        <w:spacing w:after="0"/>
      </w:pPr>
      <w:bookmarkStart w:id="1" w:name="_Toc475947791"/>
      <w:bookmarkStart w:id="2" w:name="_Toc107319835"/>
      <w:bookmarkStart w:id="3" w:name="_Toc108699036"/>
      <w:bookmarkStart w:id="4" w:name="_Toc108703448"/>
      <w:bookmarkStart w:id="5" w:name="_Toc108703826"/>
      <w:bookmarkStart w:id="6" w:name="_Toc108717280"/>
      <w:bookmarkStart w:id="7" w:name="_Toc108717930"/>
      <w:bookmarkStart w:id="8" w:name="_Toc108783597"/>
      <w:bookmarkStart w:id="9" w:name="_Toc109041176"/>
      <w:bookmarkStart w:id="10" w:name="_Toc109117617"/>
      <w:r w:rsidRPr="0004322F">
        <w:t>Contents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noProof/>
          <w:color w:val="004A7F"/>
          <w:szCs w:val="22"/>
        </w:rPr>
        <w:fldChar w:fldCharType="begin"/>
      </w:r>
      <w:r w:rsidRPr="0025652F">
        <w:instrText xml:space="preserve"> TOC \o "1-3" \h \z \u </w:instrText>
      </w:r>
      <w:r>
        <w:rPr>
          <w:noProof/>
          <w:color w:val="004A7F"/>
          <w:szCs w:val="22"/>
        </w:rPr>
        <w:fldChar w:fldCharType="separate"/>
      </w:r>
    </w:p>
    <w:sdt>
      <w:sdtPr>
        <w:rPr>
          <w:b w:val="0"/>
          <w:noProof w:val="0"/>
          <w:color w:val="262626" w:themeColor="text1" w:themeTint="D9"/>
          <w:szCs w:val="20"/>
        </w:rPr>
        <w:id w:val="-81302154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E6CDA81" w14:textId="1009EE2D" w:rsidR="00C420BF" w:rsidRDefault="00851257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</w:rPr>
          </w:pPr>
          <w:r>
            <w:rPr>
              <w:rFonts w:asciiTheme="majorHAnsi" w:eastAsiaTheme="majorEastAsia" w:hAnsiTheme="majorHAnsi" w:cstheme="majorBidi"/>
              <w:b w:val="0"/>
              <w:noProof w:val="0"/>
              <w:color w:val="002035" w:themeColor="accent1" w:themeShade="BF"/>
              <w:sz w:val="32"/>
              <w:szCs w:val="32"/>
              <w:lang w:val="en-US" w:eastAsia="en-US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b w:val="0"/>
              <w:noProof w:val="0"/>
              <w:color w:val="002035" w:themeColor="accent1" w:themeShade="BF"/>
              <w:sz w:val="32"/>
              <w:szCs w:val="32"/>
              <w:lang w:val="en-US" w:eastAsia="en-US"/>
            </w:rPr>
            <w:fldChar w:fldCharType="separate"/>
          </w:r>
          <w:hyperlink w:anchor="_Toc109117617" w:history="1">
            <w:r w:rsidR="00C420BF" w:rsidRPr="00170103">
              <w:rPr>
                <w:rStyle w:val="Hyperlink"/>
              </w:rPr>
              <w:t>Contents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_Toc109117617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2</w:t>
            </w:r>
            <w:r w:rsidR="00C420BF">
              <w:rPr>
                <w:webHidden/>
              </w:rPr>
              <w:fldChar w:fldCharType="end"/>
            </w:r>
          </w:hyperlink>
        </w:p>
        <w:p w14:paraId="010730D4" w14:textId="5D74E145" w:rsidR="00C420BF" w:rsidRDefault="00A72E16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</w:rPr>
          </w:pPr>
          <w:hyperlink w:anchor="_Toc109117618" w:history="1">
            <w:r w:rsidR="00C420BF" w:rsidRPr="00170103">
              <w:rPr>
                <w:rStyle w:val="Hyperlink"/>
              </w:rPr>
              <w:t>Letter from the Regulator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_Toc109117618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3</w:t>
            </w:r>
            <w:r w:rsidR="00C420BF">
              <w:rPr>
                <w:webHidden/>
              </w:rPr>
              <w:fldChar w:fldCharType="end"/>
            </w:r>
          </w:hyperlink>
        </w:p>
        <w:p w14:paraId="0BE8DDB5" w14:textId="6D27D441" w:rsidR="00C420BF" w:rsidRDefault="00A72E16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</w:rPr>
          </w:pPr>
          <w:hyperlink w:anchor="_Toc109117619" w:history="1">
            <w:r w:rsidR="00C420BF" w:rsidRPr="00170103">
              <w:rPr>
                <w:rStyle w:val="Hyperlink"/>
              </w:rPr>
              <w:t>Insights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_Toc109117619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4</w:t>
            </w:r>
            <w:r w:rsidR="00C420BF">
              <w:rPr>
                <w:webHidden/>
              </w:rPr>
              <w:fldChar w:fldCharType="end"/>
            </w:r>
          </w:hyperlink>
        </w:p>
        <w:p w14:paraId="7F8E0E11" w14:textId="16C848D2" w:rsidR="00C420BF" w:rsidRDefault="00A72E16">
          <w:pPr>
            <w:pStyle w:val="TOC2"/>
            <w:rPr>
              <w:rFonts w:asciiTheme="minorHAnsi" w:eastAsiaTheme="minorEastAsia" w:hAnsiTheme="minorHAnsi" w:cstheme="minorBidi"/>
              <w:color w:val="auto"/>
              <w:szCs w:val="22"/>
            </w:rPr>
          </w:pPr>
          <w:hyperlink w:anchor="_Toc109117620" w:history="1">
            <w:r w:rsidR="00C420BF" w:rsidRPr="00170103">
              <w:rPr>
                <w:rStyle w:val="Hyperlink"/>
              </w:rPr>
              <w:t>Reports by Industry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_Toc109117620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6</w:t>
            </w:r>
            <w:r w:rsidR="00C420BF">
              <w:rPr>
                <w:webHidden/>
              </w:rPr>
              <w:fldChar w:fldCharType="end"/>
            </w:r>
          </w:hyperlink>
        </w:p>
        <w:p w14:paraId="07BE990E" w14:textId="0347DDA0" w:rsidR="00C420BF" w:rsidRDefault="00A72E16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</w:rPr>
          </w:pPr>
          <w:hyperlink w:anchor="_Toc109117621" w:history="1">
            <w:r w:rsidR="00C420BF" w:rsidRPr="00170103">
              <w:rPr>
                <w:rStyle w:val="Hyperlink"/>
              </w:rPr>
              <w:t>Policy updates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_Toc109117621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7</w:t>
            </w:r>
            <w:r w:rsidR="00C420BF">
              <w:rPr>
                <w:webHidden/>
              </w:rPr>
              <w:fldChar w:fldCharType="end"/>
            </w:r>
          </w:hyperlink>
        </w:p>
        <w:p w14:paraId="36025520" w14:textId="6EC59797" w:rsidR="00C420BF" w:rsidRDefault="00A72E16">
          <w:pPr>
            <w:pStyle w:val="TOC2"/>
            <w:rPr>
              <w:rFonts w:asciiTheme="minorHAnsi" w:eastAsiaTheme="minorEastAsia" w:hAnsiTheme="minorHAnsi" w:cstheme="minorBidi"/>
              <w:color w:val="auto"/>
              <w:szCs w:val="22"/>
            </w:rPr>
          </w:pPr>
          <w:hyperlink w:anchor="_Toc109117622" w:history="1">
            <w:r w:rsidR="00C420BF" w:rsidRPr="00170103">
              <w:rPr>
                <w:rStyle w:val="Hyperlink"/>
              </w:rPr>
              <w:t>Updates to legislation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_Toc109117622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7</w:t>
            </w:r>
            <w:r w:rsidR="00C420BF">
              <w:rPr>
                <w:webHidden/>
              </w:rPr>
              <w:fldChar w:fldCharType="end"/>
            </w:r>
          </w:hyperlink>
        </w:p>
        <w:p w14:paraId="12887875" w14:textId="4134F7D6" w:rsidR="00C420BF" w:rsidRDefault="00A72E16">
          <w:pPr>
            <w:pStyle w:val="TOC2"/>
            <w:rPr>
              <w:rFonts w:asciiTheme="minorHAnsi" w:eastAsiaTheme="minorEastAsia" w:hAnsiTheme="minorHAnsi" w:cstheme="minorBidi"/>
              <w:color w:val="auto"/>
              <w:szCs w:val="22"/>
            </w:rPr>
          </w:pPr>
          <w:hyperlink w:anchor="_Toc109117623" w:history="1">
            <w:r w:rsidR="00C420BF" w:rsidRPr="00170103">
              <w:rPr>
                <w:rStyle w:val="Hyperlink"/>
              </w:rPr>
              <w:t>Regulator publications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_Toc109117623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7</w:t>
            </w:r>
            <w:r w:rsidR="00C420BF">
              <w:rPr>
                <w:webHidden/>
              </w:rPr>
              <w:fldChar w:fldCharType="end"/>
            </w:r>
          </w:hyperlink>
        </w:p>
        <w:p w14:paraId="1881CD17" w14:textId="3CFF4004" w:rsidR="00C420BF" w:rsidRDefault="00A72E16">
          <w:pPr>
            <w:pStyle w:val="TOC2"/>
            <w:rPr>
              <w:rFonts w:asciiTheme="minorHAnsi" w:eastAsiaTheme="minorEastAsia" w:hAnsiTheme="minorHAnsi" w:cstheme="minorBidi"/>
              <w:color w:val="auto"/>
              <w:szCs w:val="22"/>
            </w:rPr>
          </w:pPr>
          <w:hyperlink w:anchor="_Toc109117624" w:history="1">
            <w:r w:rsidR="00C420BF" w:rsidRPr="00170103">
              <w:rPr>
                <w:rStyle w:val="Hyperlink"/>
              </w:rPr>
              <w:t>Updated guidance material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_Toc109117624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7</w:t>
            </w:r>
            <w:r w:rsidR="00C420BF">
              <w:rPr>
                <w:webHidden/>
              </w:rPr>
              <w:fldChar w:fldCharType="end"/>
            </w:r>
          </w:hyperlink>
        </w:p>
        <w:p w14:paraId="46A5A1C1" w14:textId="0223D38A" w:rsidR="00C420BF" w:rsidRDefault="00A72E16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</w:rPr>
          </w:pPr>
          <w:hyperlink w:anchor="_Toc109117625" w:history="1">
            <w:r w:rsidR="00C420BF" w:rsidRPr="00170103">
              <w:rPr>
                <w:rStyle w:val="Hyperlink"/>
                <w:lang w:eastAsia="en-US"/>
              </w:rPr>
              <w:t>Consultation on guidance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_Toc109117625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7</w:t>
            </w:r>
            <w:r w:rsidR="00C420BF">
              <w:rPr>
                <w:webHidden/>
              </w:rPr>
              <w:fldChar w:fldCharType="end"/>
            </w:r>
          </w:hyperlink>
        </w:p>
        <w:p w14:paraId="5B3B3E01" w14:textId="763395A1" w:rsidR="00C420BF" w:rsidRDefault="00A72E16">
          <w:pPr>
            <w:pStyle w:val="TOC3"/>
            <w:rPr>
              <w:rFonts w:asciiTheme="minorHAnsi" w:eastAsiaTheme="minorEastAsia" w:hAnsiTheme="minorHAnsi" w:cstheme="minorBidi"/>
              <w:color w:val="auto"/>
              <w:szCs w:val="22"/>
            </w:rPr>
          </w:pPr>
          <w:hyperlink w:anchor="_Toc109117626" w:history="1">
            <w:r w:rsidR="00C420BF" w:rsidRPr="00170103">
              <w:rPr>
                <w:rStyle w:val="Hyperlink"/>
                <w:lang w:eastAsia="en-US"/>
              </w:rPr>
              <w:t>Using the new guidance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_Toc109117626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8</w:t>
            </w:r>
            <w:r w:rsidR="00C420BF">
              <w:rPr>
                <w:webHidden/>
              </w:rPr>
              <w:fldChar w:fldCharType="end"/>
            </w:r>
          </w:hyperlink>
        </w:p>
        <w:p w14:paraId="0AC6A4DA" w14:textId="0A5AA43D" w:rsidR="00C420BF" w:rsidRDefault="00A72E16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</w:rPr>
          </w:pPr>
          <w:hyperlink w:anchor="_Toc109117627" w:history="1">
            <w:r w:rsidR="00C420BF" w:rsidRPr="00170103">
              <w:rPr>
                <w:rStyle w:val="Hyperlink"/>
              </w:rPr>
              <w:t>Compliance and enforcement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_Toc109117627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8</w:t>
            </w:r>
            <w:r w:rsidR="00C420BF">
              <w:rPr>
                <w:webHidden/>
              </w:rPr>
              <w:fldChar w:fldCharType="end"/>
            </w:r>
          </w:hyperlink>
        </w:p>
        <w:p w14:paraId="01AEF5AC" w14:textId="196AF04F" w:rsidR="00C420BF" w:rsidRDefault="00A72E16">
          <w:pPr>
            <w:pStyle w:val="TOC2"/>
            <w:rPr>
              <w:rFonts w:asciiTheme="minorHAnsi" w:eastAsiaTheme="minorEastAsia" w:hAnsiTheme="minorHAnsi" w:cstheme="minorBidi"/>
              <w:color w:val="auto"/>
              <w:szCs w:val="22"/>
            </w:rPr>
          </w:pPr>
          <w:hyperlink w:anchor="_Toc109117628" w:history="1">
            <w:r w:rsidR="00C420BF" w:rsidRPr="00170103">
              <w:rPr>
                <w:rStyle w:val="Hyperlink"/>
              </w:rPr>
              <w:t>Commencement of enforcement powers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_Toc109117628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8</w:t>
            </w:r>
            <w:r w:rsidR="00C420BF">
              <w:rPr>
                <w:webHidden/>
              </w:rPr>
              <w:fldChar w:fldCharType="end"/>
            </w:r>
          </w:hyperlink>
        </w:p>
        <w:p w14:paraId="30137CFC" w14:textId="13B39314" w:rsidR="00C420BF" w:rsidRDefault="00A72E16">
          <w:pPr>
            <w:pStyle w:val="TOC2"/>
            <w:rPr>
              <w:rFonts w:asciiTheme="minorHAnsi" w:eastAsiaTheme="minorEastAsia" w:hAnsiTheme="minorHAnsi" w:cstheme="minorBidi"/>
              <w:color w:val="auto"/>
              <w:szCs w:val="22"/>
            </w:rPr>
          </w:pPr>
          <w:hyperlink w:anchor="_Toc109117629" w:history="1">
            <w:r w:rsidR="00C420BF" w:rsidRPr="00170103">
              <w:rPr>
                <w:rStyle w:val="Hyperlink"/>
              </w:rPr>
              <w:t>Compliance programs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_Toc109117629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9</w:t>
            </w:r>
            <w:r w:rsidR="00C420BF">
              <w:rPr>
                <w:webHidden/>
              </w:rPr>
              <w:fldChar w:fldCharType="end"/>
            </w:r>
          </w:hyperlink>
        </w:p>
        <w:p w14:paraId="76AE9D8C" w14:textId="7CC5C014" w:rsidR="00C420BF" w:rsidRDefault="00A72E16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</w:rPr>
          </w:pPr>
          <w:hyperlink w:anchor="_Toc109117630" w:history="1">
            <w:r w:rsidR="00C420BF" w:rsidRPr="00170103">
              <w:rPr>
                <w:rStyle w:val="Hyperlink"/>
              </w:rPr>
              <w:t>Appendix A – Reports by ANZSIC division code</w:t>
            </w:r>
            <w:r w:rsidR="00C420BF">
              <w:rPr>
                <w:webHidden/>
              </w:rPr>
              <w:tab/>
            </w:r>
            <w:r w:rsidR="00C420BF">
              <w:rPr>
                <w:webHidden/>
              </w:rPr>
              <w:fldChar w:fldCharType="begin"/>
            </w:r>
            <w:r w:rsidR="00C420BF">
              <w:rPr>
                <w:webHidden/>
              </w:rPr>
              <w:instrText xml:space="preserve"> PAGEREF _Toc109117630 \h </w:instrText>
            </w:r>
            <w:r w:rsidR="00C420BF">
              <w:rPr>
                <w:webHidden/>
              </w:rPr>
            </w:r>
            <w:r w:rsidR="00C420BF">
              <w:rPr>
                <w:webHidden/>
              </w:rPr>
              <w:fldChar w:fldCharType="separate"/>
            </w:r>
            <w:r w:rsidR="00751F88">
              <w:rPr>
                <w:webHidden/>
              </w:rPr>
              <w:t>10</w:t>
            </w:r>
            <w:r w:rsidR="00C420BF">
              <w:rPr>
                <w:webHidden/>
              </w:rPr>
              <w:fldChar w:fldCharType="end"/>
            </w:r>
          </w:hyperlink>
        </w:p>
        <w:p w14:paraId="730EE389" w14:textId="5AC1E1EE" w:rsidR="00851257" w:rsidRDefault="00851257">
          <w:r>
            <w:rPr>
              <w:b/>
              <w:bCs/>
              <w:noProof/>
            </w:rPr>
            <w:fldChar w:fldCharType="end"/>
          </w:r>
        </w:p>
      </w:sdtContent>
    </w:sdt>
    <w:p w14:paraId="0AD39541" w14:textId="0B1F15B9" w:rsidR="00976FBD" w:rsidRDefault="000E0B74" w:rsidP="0056582C">
      <w:pPr>
        <w:pStyle w:val="SingleParagraph"/>
        <w:ind w:right="-2"/>
      </w:pPr>
      <w:r>
        <w:fldChar w:fldCharType="end"/>
      </w:r>
      <w:bookmarkStart w:id="11" w:name="_Toc432067103"/>
      <w:bookmarkStart w:id="12" w:name="_Toc452635030"/>
    </w:p>
    <w:p w14:paraId="7211A784" w14:textId="77777777" w:rsidR="00976FBD" w:rsidRDefault="00976FBD">
      <w:pPr>
        <w:spacing w:before="0" w:after="160"/>
      </w:pPr>
    </w:p>
    <w:bookmarkEnd w:id="11"/>
    <w:bookmarkEnd w:id="12"/>
    <w:p w14:paraId="50223F05" w14:textId="77777777" w:rsidR="00494936" w:rsidRDefault="00494936" w:rsidP="00F836F9">
      <w:pPr>
        <w:pStyle w:val="Heading1"/>
        <w:sectPr w:rsidR="00494936" w:rsidSect="007F55E4">
          <w:footerReference w:type="default" r:id="rId21"/>
          <w:pgSz w:w="11906" w:h="16838" w:code="9"/>
          <w:pgMar w:top="1544" w:right="1418" w:bottom="1418" w:left="1418" w:header="709" w:footer="0" w:gutter="0"/>
          <w:cols w:space="708"/>
          <w:docGrid w:linePitch="360"/>
        </w:sectPr>
      </w:pPr>
    </w:p>
    <w:p w14:paraId="034E88AB" w14:textId="0D9CB6EC" w:rsidR="00475085" w:rsidRPr="00C66F11" w:rsidRDefault="009B5922" w:rsidP="00F836F9">
      <w:pPr>
        <w:pStyle w:val="Heading1"/>
      </w:pPr>
      <w:bookmarkStart w:id="13" w:name="_Toc109117618"/>
      <w:r>
        <w:lastRenderedPageBreak/>
        <w:t>Letter from the Regulator</w:t>
      </w:r>
      <w:bookmarkEnd w:id="13"/>
    </w:p>
    <w:p w14:paraId="42838210" w14:textId="698EB2CA" w:rsidR="0017787D" w:rsidRDefault="00D9013E" w:rsidP="00AE473E">
      <w:pPr>
        <w:spacing w:line="276" w:lineRule="auto"/>
      </w:pPr>
      <w:r>
        <w:t xml:space="preserve">Welcome to the first issue of the Regulator’s </w:t>
      </w:r>
      <w:r w:rsidR="00C730AC">
        <w:t>u</w:t>
      </w:r>
      <w:r w:rsidR="00263E9E">
        <w:t>pdate</w:t>
      </w:r>
      <w:r w:rsidR="00500299">
        <w:t>.</w:t>
      </w:r>
      <w:r>
        <w:t xml:space="preserve"> </w:t>
      </w:r>
    </w:p>
    <w:p w14:paraId="7EFA40F4" w14:textId="79AC0353" w:rsidR="0017787D" w:rsidRDefault="0017787D" w:rsidP="00AE473E">
      <w:pPr>
        <w:spacing w:line="276" w:lineRule="auto"/>
      </w:pPr>
      <w:r>
        <w:t xml:space="preserve">The </w:t>
      </w:r>
      <w:hyperlink r:id="rId22" w:history="1">
        <w:r w:rsidR="00500299" w:rsidRPr="000D17FE">
          <w:rPr>
            <w:rStyle w:val="Hyperlink"/>
            <w:i/>
            <w:iCs/>
          </w:rPr>
          <w:t>Payment Times Reporting Act 2020</w:t>
        </w:r>
      </w:hyperlink>
      <w:r w:rsidR="00500299">
        <w:t xml:space="preserve"> </w:t>
      </w:r>
      <w:r w:rsidR="00CD27EC">
        <w:t>(</w:t>
      </w:r>
      <w:r w:rsidR="00A662BC">
        <w:t xml:space="preserve">the </w:t>
      </w:r>
      <w:r w:rsidR="00CD27EC">
        <w:t xml:space="preserve">Act) </w:t>
      </w:r>
      <w:r>
        <w:t>has been in operation for over 12 months</w:t>
      </w:r>
      <w:r w:rsidR="00F61B74">
        <w:t>,</w:t>
      </w:r>
      <w:r>
        <w:t xml:space="preserve"> with </w:t>
      </w:r>
      <w:r w:rsidR="00876581" w:rsidRPr="0042640E">
        <w:t>8,8</w:t>
      </w:r>
      <w:r w:rsidR="0042640E" w:rsidRPr="0042640E">
        <w:t>85 reporting entities</w:t>
      </w:r>
      <w:r w:rsidRPr="0042640E">
        <w:t xml:space="preserve"> r</w:t>
      </w:r>
      <w:r w:rsidR="0042640E">
        <w:t xml:space="preserve">eporting under the scheme </w:t>
      </w:r>
      <w:r w:rsidRPr="0042640E">
        <w:t xml:space="preserve">and </w:t>
      </w:r>
      <w:r w:rsidR="00876581" w:rsidRPr="0042640E">
        <w:t>16,801</w:t>
      </w:r>
      <w:r w:rsidRPr="0042640E">
        <w:t xml:space="preserve"> </w:t>
      </w:r>
      <w:r w:rsidR="00F61B74" w:rsidRPr="0042640E">
        <w:t xml:space="preserve">payment times </w:t>
      </w:r>
      <w:r w:rsidRPr="0042640E">
        <w:t>reports received</w:t>
      </w:r>
      <w:r w:rsidR="00C730AC">
        <w:t xml:space="preserve"> as </w:t>
      </w:r>
      <w:proofErr w:type="gramStart"/>
      <w:r w:rsidR="00C730AC">
        <w:t>at</w:t>
      </w:r>
      <w:proofErr w:type="gramEnd"/>
      <w:r w:rsidR="00C730AC">
        <w:t xml:space="preserve"> 30 June 2022</w:t>
      </w:r>
      <w:r w:rsidRPr="0042640E">
        <w:t>.</w:t>
      </w:r>
      <w:r>
        <w:t xml:space="preserve"> </w:t>
      </w:r>
    </w:p>
    <w:p w14:paraId="763A5810" w14:textId="0CBEEF5C" w:rsidR="0017787D" w:rsidRDefault="0017787D" w:rsidP="00AE473E">
      <w:pPr>
        <w:spacing w:line="276" w:lineRule="auto"/>
      </w:pPr>
      <w:r w:rsidRPr="00781EF0">
        <w:rPr>
          <w:rFonts w:asciiTheme="minorHAnsi" w:hAnsiTheme="minorHAnsi" w:cstheme="minorHAnsi"/>
          <w:color w:val="000000"/>
          <w:szCs w:val="22"/>
        </w:rPr>
        <w:t>Now that most reporting entities have reported twice</w:t>
      </w:r>
      <w:r>
        <w:t xml:space="preserve">, </w:t>
      </w:r>
      <w:r w:rsidR="00500299">
        <w:t>we</w:t>
      </w:r>
      <w:r>
        <w:t xml:space="preserve"> </w:t>
      </w:r>
      <w:r w:rsidR="00500299">
        <w:t>will</w:t>
      </w:r>
      <w:r>
        <w:t xml:space="preserve"> </w:t>
      </w:r>
      <w:r w:rsidR="003019DC">
        <w:t xml:space="preserve">be </w:t>
      </w:r>
      <w:r w:rsidRPr="00781EF0">
        <w:rPr>
          <w:rFonts w:asciiTheme="minorHAnsi" w:hAnsiTheme="minorHAnsi" w:cstheme="minorHAnsi"/>
          <w:color w:val="000000"/>
          <w:szCs w:val="22"/>
        </w:rPr>
        <w:t>publish</w:t>
      </w:r>
      <w:r w:rsidR="003019DC">
        <w:rPr>
          <w:rFonts w:asciiTheme="minorHAnsi" w:hAnsiTheme="minorHAnsi" w:cstheme="minorHAnsi"/>
          <w:color w:val="000000"/>
          <w:szCs w:val="22"/>
        </w:rPr>
        <w:t>ing</w:t>
      </w:r>
      <w:r>
        <w:rPr>
          <w:rFonts w:asciiTheme="minorHAnsi" w:hAnsiTheme="minorHAnsi" w:cstheme="minorHAnsi"/>
          <w:color w:val="000000"/>
          <w:szCs w:val="22"/>
        </w:rPr>
        <w:t xml:space="preserve"> </w:t>
      </w:r>
      <w:r w:rsidRPr="00781EF0">
        <w:rPr>
          <w:rFonts w:asciiTheme="minorHAnsi" w:hAnsiTheme="minorHAnsi" w:cstheme="minorHAnsi"/>
          <w:color w:val="000000"/>
          <w:szCs w:val="22"/>
        </w:rPr>
        <w:t xml:space="preserve">updates on </w:t>
      </w:r>
      <w:r w:rsidR="00296C2C">
        <w:rPr>
          <w:rFonts w:asciiTheme="minorHAnsi" w:hAnsiTheme="minorHAnsi" w:cstheme="minorHAnsi"/>
          <w:color w:val="000000"/>
          <w:szCs w:val="22"/>
        </w:rPr>
        <w:t xml:space="preserve">payment times reporting </w:t>
      </w:r>
      <w:r w:rsidR="00500299">
        <w:rPr>
          <w:rFonts w:asciiTheme="minorHAnsi" w:hAnsiTheme="minorHAnsi" w:cstheme="minorHAnsi"/>
          <w:color w:val="000000"/>
          <w:szCs w:val="22"/>
        </w:rPr>
        <w:t xml:space="preserve">activities </w:t>
      </w:r>
      <w:r w:rsidR="00944A88">
        <w:rPr>
          <w:rFonts w:asciiTheme="minorHAnsi" w:hAnsiTheme="minorHAnsi" w:cstheme="minorHAnsi"/>
          <w:color w:val="000000"/>
          <w:szCs w:val="22"/>
        </w:rPr>
        <w:t>twice per year</w:t>
      </w:r>
      <w:r w:rsidRPr="00781EF0">
        <w:rPr>
          <w:rFonts w:asciiTheme="minorHAnsi" w:hAnsiTheme="minorHAnsi" w:cstheme="minorHAnsi"/>
          <w:color w:val="000000"/>
          <w:szCs w:val="22"/>
        </w:rPr>
        <w:t xml:space="preserve">. </w:t>
      </w:r>
    </w:p>
    <w:p w14:paraId="30847003" w14:textId="0AEB93D7" w:rsidR="00475085" w:rsidRDefault="00D9013E" w:rsidP="00AE473E">
      <w:pPr>
        <w:spacing w:line="276" w:lineRule="auto"/>
      </w:pPr>
      <w:r>
        <w:t xml:space="preserve">Each </w:t>
      </w:r>
      <w:r w:rsidR="00E959E2">
        <w:t>update</w:t>
      </w:r>
      <w:r>
        <w:t xml:space="preserve"> will </w:t>
      </w:r>
      <w:r w:rsidR="00E959E2">
        <w:t xml:space="preserve">include </w:t>
      </w:r>
      <w:r w:rsidR="00296C2C">
        <w:t>details of</w:t>
      </w:r>
      <w:r w:rsidR="00CD27EC">
        <w:t xml:space="preserve"> changes to</w:t>
      </w:r>
      <w:r w:rsidR="00296C2C">
        <w:t xml:space="preserve"> legislation, rule</w:t>
      </w:r>
      <w:r w:rsidR="00C24F91">
        <w:t>s</w:t>
      </w:r>
      <w:r w:rsidR="00296C2C">
        <w:t xml:space="preserve"> or guidance</w:t>
      </w:r>
      <w:r w:rsidR="00CD27EC">
        <w:t>,</w:t>
      </w:r>
      <w:r w:rsidR="00296C2C">
        <w:t xml:space="preserve"> </w:t>
      </w:r>
      <w:r w:rsidR="00CD27EC">
        <w:t xml:space="preserve">background to </w:t>
      </w:r>
      <w:r w:rsidR="00E959E2">
        <w:t xml:space="preserve">major </w:t>
      </w:r>
      <w:r w:rsidR="007D0F3C">
        <w:t xml:space="preserve">policy </w:t>
      </w:r>
      <w:r w:rsidR="00E959E2">
        <w:t>activities</w:t>
      </w:r>
      <w:r w:rsidR="00534A94">
        <w:t>,</w:t>
      </w:r>
      <w:r w:rsidR="00E959E2">
        <w:t xml:space="preserve"> </w:t>
      </w:r>
      <w:r w:rsidR="00CD27EC">
        <w:t xml:space="preserve">information about </w:t>
      </w:r>
      <w:r w:rsidR="00E959E2">
        <w:t>compliance and enforcement</w:t>
      </w:r>
      <w:r w:rsidR="0017787D">
        <w:t xml:space="preserve"> priorities</w:t>
      </w:r>
      <w:r w:rsidR="00296C2C">
        <w:t xml:space="preserve"> and </w:t>
      </w:r>
      <w:r>
        <w:t xml:space="preserve">insights </w:t>
      </w:r>
      <w:r w:rsidR="00500299">
        <w:t>from payment times report data</w:t>
      </w:r>
      <w:r>
        <w:t>.</w:t>
      </w:r>
    </w:p>
    <w:p w14:paraId="25E2F7EF" w14:textId="298E3F15" w:rsidR="008017D2" w:rsidRDefault="008017D2" w:rsidP="00AE473E">
      <w:pPr>
        <w:spacing w:line="276" w:lineRule="auto"/>
      </w:pPr>
      <w:r>
        <w:t xml:space="preserve">Following </w:t>
      </w:r>
      <w:r w:rsidR="007643CF">
        <w:t xml:space="preserve">publication </w:t>
      </w:r>
      <w:r>
        <w:t xml:space="preserve">of each update we will hold a </w:t>
      </w:r>
      <w:r w:rsidR="00CD27EC">
        <w:t>liaison forum</w:t>
      </w:r>
      <w:r>
        <w:t xml:space="preserve"> </w:t>
      </w:r>
      <w:r w:rsidR="007643CF">
        <w:t>for</w:t>
      </w:r>
      <w:r>
        <w:t xml:space="preserve"> stakeholders </w:t>
      </w:r>
      <w:r w:rsidR="007643CF">
        <w:t>to</w:t>
      </w:r>
      <w:r>
        <w:t xml:space="preserve"> </w:t>
      </w:r>
      <w:r w:rsidR="00CD27EC">
        <w:t xml:space="preserve">discuss the update and </w:t>
      </w:r>
      <w:r w:rsidR="00C24F91">
        <w:t xml:space="preserve">provide </w:t>
      </w:r>
      <w:r w:rsidR="00CD27EC">
        <w:t>feedback on reporting</w:t>
      </w:r>
      <w:r>
        <w:t xml:space="preserve">. If you would like to participate in these forums, or would like further information, please send your details to </w:t>
      </w:r>
      <w:hyperlink r:id="rId23" w:history="1">
        <w:r w:rsidRPr="00F50F45">
          <w:rPr>
            <w:rStyle w:val="Hyperlink"/>
          </w:rPr>
          <w:t>support@paymenttimes.gov.au</w:t>
        </w:r>
      </w:hyperlink>
      <w:r>
        <w:t xml:space="preserve">. </w:t>
      </w:r>
    </w:p>
    <w:p w14:paraId="1A375D35" w14:textId="778E35AE" w:rsidR="0017787D" w:rsidRDefault="007D0F3C" w:rsidP="00AE473E">
      <w:pPr>
        <w:spacing w:line="276" w:lineRule="auto"/>
      </w:pPr>
      <w:r>
        <w:t xml:space="preserve">To better support </w:t>
      </w:r>
      <w:r w:rsidR="001F751E">
        <w:t xml:space="preserve">our </w:t>
      </w:r>
      <w:r>
        <w:t xml:space="preserve">reporting entities </w:t>
      </w:r>
      <w:r w:rsidR="00296C2C">
        <w:t>with their reporting obligations</w:t>
      </w:r>
      <w:r>
        <w:t xml:space="preserve">, we have </w:t>
      </w:r>
      <w:r w:rsidR="00CD27EC">
        <w:t xml:space="preserve">recently </w:t>
      </w:r>
      <w:r w:rsidR="00C24F91">
        <w:t xml:space="preserve">drafted </w:t>
      </w:r>
      <w:r w:rsidR="00296C2C">
        <w:t>update</w:t>
      </w:r>
      <w:r w:rsidR="00C24F91">
        <w:t>d</w:t>
      </w:r>
      <w:r>
        <w:t xml:space="preserve"> </w:t>
      </w:r>
      <w:r w:rsidR="00744601">
        <w:t>guidance</w:t>
      </w:r>
      <w:r w:rsidR="00F61B74">
        <w:t xml:space="preserve"> materials</w:t>
      </w:r>
      <w:r w:rsidR="00744601">
        <w:t xml:space="preserve">. </w:t>
      </w:r>
      <w:r>
        <w:t xml:space="preserve">Before </w:t>
      </w:r>
      <w:r w:rsidR="001F751E">
        <w:t xml:space="preserve">finalising </w:t>
      </w:r>
      <w:r w:rsidR="00296C2C">
        <w:t xml:space="preserve">guidance </w:t>
      </w:r>
      <w:r>
        <w:t xml:space="preserve">materials, </w:t>
      </w:r>
      <w:r w:rsidR="003019DC">
        <w:t xml:space="preserve">they will be </w:t>
      </w:r>
      <w:r>
        <w:t>available for public consultation and feedback</w:t>
      </w:r>
      <w:r w:rsidR="00296C2C">
        <w:t xml:space="preserve"> commencing</w:t>
      </w:r>
      <w:r w:rsidR="0042640E">
        <w:t xml:space="preserve"> </w:t>
      </w:r>
      <w:r w:rsidR="0042640E" w:rsidRPr="0042640E">
        <w:t xml:space="preserve">in </w:t>
      </w:r>
      <w:r w:rsidR="00876581" w:rsidRPr="0042640E">
        <w:t>July 2022</w:t>
      </w:r>
      <w:r w:rsidR="00083FA5" w:rsidRPr="0042640E">
        <w:t>.</w:t>
      </w:r>
      <w:r w:rsidR="00083FA5">
        <w:t xml:space="preserve"> </w:t>
      </w:r>
      <w:r>
        <w:t xml:space="preserve">We will </w:t>
      </w:r>
      <w:r w:rsidR="008017D2">
        <w:t xml:space="preserve">email all reporting entities </w:t>
      </w:r>
      <w:r w:rsidR="00AE473E">
        <w:t xml:space="preserve">a </w:t>
      </w:r>
      <w:r w:rsidR="008017D2">
        <w:t xml:space="preserve">link to </w:t>
      </w:r>
      <w:r w:rsidR="003019DC">
        <w:t xml:space="preserve">the </w:t>
      </w:r>
      <w:r w:rsidR="008017D2">
        <w:t xml:space="preserve">consultation materials </w:t>
      </w:r>
      <w:r w:rsidR="0017787D">
        <w:t xml:space="preserve">once </w:t>
      </w:r>
      <w:r w:rsidR="008017D2">
        <w:t xml:space="preserve">they are available </w:t>
      </w:r>
      <w:r w:rsidR="0017787D">
        <w:t xml:space="preserve">on the </w:t>
      </w:r>
      <w:r w:rsidR="0017787D" w:rsidRPr="00FA6D0F">
        <w:t xml:space="preserve">Treasury </w:t>
      </w:r>
      <w:hyperlink r:id="rId24" w:history="1">
        <w:r w:rsidR="00FA6D0F" w:rsidRPr="00FA6D0F">
          <w:rPr>
            <w:rStyle w:val="Hyperlink"/>
          </w:rPr>
          <w:t>c</w:t>
        </w:r>
        <w:r w:rsidR="0017787D" w:rsidRPr="00FA6D0F">
          <w:rPr>
            <w:rStyle w:val="Hyperlink"/>
          </w:rPr>
          <w:t>onsultation web</w:t>
        </w:r>
        <w:r w:rsidR="003019DC" w:rsidRPr="00FA6D0F">
          <w:rPr>
            <w:rStyle w:val="Hyperlink"/>
          </w:rPr>
          <w:t xml:space="preserve"> </w:t>
        </w:r>
        <w:r w:rsidR="0017787D" w:rsidRPr="00FA6D0F">
          <w:rPr>
            <w:rStyle w:val="Hyperlink"/>
          </w:rPr>
          <w:t>page</w:t>
        </w:r>
      </w:hyperlink>
      <w:r w:rsidR="0017787D">
        <w:t xml:space="preserve">. </w:t>
      </w:r>
    </w:p>
    <w:p w14:paraId="1A2D3799" w14:textId="148CC8C6" w:rsidR="008017D2" w:rsidRDefault="008017D2" w:rsidP="00AE473E">
      <w:pPr>
        <w:spacing w:line="276" w:lineRule="auto"/>
      </w:pPr>
      <w:r>
        <w:t>I encourage all organisations that prepare reports</w:t>
      </w:r>
      <w:r w:rsidR="00F61B74">
        <w:t>,</w:t>
      </w:r>
      <w:r>
        <w:t xml:space="preserve"> or have an interest in the scheme</w:t>
      </w:r>
      <w:r w:rsidR="00F61B74">
        <w:t>,</w:t>
      </w:r>
      <w:r>
        <w:t xml:space="preserve"> to review the materials closely and take advantage of the opportunity to provide feedback.</w:t>
      </w:r>
    </w:p>
    <w:p w14:paraId="4CC127A6" w14:textId="550B0CBB" w:rsidR="00796343" w:rsidRDefault="00796343" w:rsidP="00AE473E">
      <w:pPr>
        <w:spacing w:line="276" w:lineRule="auto"/>
      </w:pPr>
      <w:r>
        <w:t>Thank you for your ongoing support of the Payment Times Reporting Scheme.</w:t>
      </w:r>
    </w:p>
    <w:p w14:paraId="422C7AA6" w14:textId="69C6ABE9" w:rsidR="00E30110" w:rsidRDefault="00796343" w:rsidP="00AE473E">
      <w:pPr>
        <w:spacing w:line="276" w:lineRule="auto"/>
      </w:pPr>
      <w:r>
        <w:t>Kind regards,</w:t>
      </w:r>
    </w:p>
    <w:p w14:paraId="63C9EE8A" w14:textId="54C97807" w:rsidR="00475085" w:rsidRPr="000B3279" w:rsidRDefault="009B5922" w:rsidP="00AE473E">
      <w:pPr>
        <w:pStyle w:val="SingleParagraph"/>
        <w:spacing w:line="276" w:lineRule="auto"/>
        <w:rPr>
          <w:rFonts w:cs="Calibri"/>
          <w:b/>
          <w:bCs/>
        </w:rPr>
      </w:pPr>
      <w:r w:rsidRPr="000B3279">
        <w:rPr>
          <w:b/>
          <w:bCs/>
        </w:rPr>
        <w:t>Mary Jeffries</w:t>
      </w:r>
    </w:p>
    <w:p w14:paraId="54D120F6" w14:textId="5A1F1708" w:rsidR="00025495" w:rsidRDefault="004375BA" w:rsidP="00AE473E">
      <w:pPr>
        <w:pStyle w:val="SingleParagraph"/>
        <w:spacing w:line="276" w:lineRule="auto"/>
      </w:pPr>
      <w:r>
        <w:t xml:space="preserve">Payment Times Reporting </w:t>
      </w:r>
      <w:r w:rsidR="009B5922">
        <w:t>Regulator</w:t>
      </w:r>
      <w:r w:rsidR="008017D2">
        <w:t xml:space="preserve"> (statutory position)</w:t>
      </w:r>
    </w:p>
    <w:p w14:paraId="16365CE9" w14:textId="21434962" w:rsidR="009B5922" w:rsidRDefault="008017D2" w:rsidP="00AE473E">
      <w:pPr>
        <w:pStyle w:val="SingleParagraph"/>
        <w:spacing w:line="276" w:lineRule="auto"/>
      </w:pPr>
      <w:r>
        <w:t>Assistant Secretary, Payment Performance Branch</w:t>
      </w:r>
    </w:p>
    <w:p w14:paraId="290D76B0" w14:textId="3392734D" w:rsidR="008017D2" w:rsidRDefault="00DA56BF" w:rsidP="00AE473E">
      <w:pPr>
        <w:pStyle w:val="SingleParagraph"/>
        <w:spacing w:line="276" w:lineRule="auto"/>
      </w:pPr>
      <w:r>
        <w:t xml:space="preserve">The </w:t>
      </w:r>
      <w:r w:rsidR="008017D2">
        <w:t>Treasury</w:t>
      </w:r>
    </w:p>
    <w:p w14:paraId="75EA6EBB" w14:textId="77777777" w:rsidR="006C5B73" w:rsidRDefault="006C5B73" w:rsidP="00475085">
      <w:pPr>
        <w:pStyle w:val="SingleParagraph"/>
        <w:rPr>
          <w:rFonts w:cs="Arial"/>
          <w:b/>
          <w:szCs w:val="24"/>
        </w:rPr>
      </w:pPr>
    </w:p>
    <w:p w14:paraId="3DA6F551" w14:textId="77777777" w:rsidR="003C24B4" w:rsidRDefault="003C24B4" w:rsidP="00475085">
      <w:pPr>
        <w:pStyle w:val="SingleParagraph"/>
        <w:rPr>
          <w:rFonts w:cs="Arial"/>
          <w:b/>
          <w:szCs w:val="24"/>
        </w:rPr>
        <w:sectPr w:rsidR="003C24B4" w:rsidSect="00070A0B">
          <w:pgSz w:w="11906" w:h="16838" w:code="9"/>
          <w:pgMar w:top="1542" w:right="1418" w:bottom="1418" w:left="1418" w:header="709" w:footer="0" w:gutter="0"/>
          <w:cols w:space="708"/>
          <w:docGrid w:linePitch="360"/>
        </w:sectPr>
      </w:pPr>
    </w:p>
    <w:p w14:paraId="491E0828" w14:textId="6E1C849B" w:rsidR="006C5B73" w:rsidRDefault="009B5922" w:rsidP="00131FBE">
      <w:pPr>
        <w:pStyle w:val="Heading1"/>
        <w:spacing w:before="0" w:after="120"/>
      </w:pPr>
      <w:bookmarkStart w:id="14" w:name="_Toc109117619"/>
      <w:r>
        <w:lastRenderedPageBreak/>
        <w:t>Insights</w:t>
      </w:r>
      <w:bookmarkEnd w:id="14"/>
    </w:p>
    <w:p w14:paraId="64BB8DCF" w14:textId="20868F76" w:rsidR="009644D6" w:rsidRDefault="002D7F42" w:rsidP="002D7F42">
      <w:pPr>
        <w:spacing w:after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FEBC32" wp14:editId="2E55759F">
            <wp:simplePos x="0" y="0"/>
            <wp:positionH relativeFrom="margin">
              <wp:posOffset>-121920</wp:posOffset>
            </wp:positionH>
            <wp:positionV relativeFrom="paragraph">
              <wp:posOffset>1144715</wp:posOffset>
            </wp:positionV>
            <wp:extent cx="5859780" cy="34099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B16">
        <w:t xml:space="preserve">The </w:t>
      </w:r>
      <w:hyperlink r:id="rId26" w:history="1">
        <w:r w:rsidR="005C2B16" w:rsidRPr="00305D27">
          <w:rPr>
            <w:rStyle w:val="Hyperlink"/>
          </w:rPr>
          <w:t>Payment Times Reports Register</w:t>
        </w:r>
      </w:hyperlink>
      <w:r w:rsidR="005C2B16">
        <w:t xml:space="preserve"> (the </w:t>
      </w:r>
      <w:r w:rsidR="00F61B74">
        <w:t>r</w:t>
      </w:r>
      <w:r w:rsidR="005C2B16">
        <w:t xml:space="preserve">egister) was launched in November 2021 and provides both a downloadable Excel file and an interactive dashboard to search and view payment times information. Since its launch the </w:t>
      </w:r>
      <w:r w:rsidR="00F61B74">
        <w:t>r</w:t>
      </w:r>
      <w:r w:rsidR="005C2B16">
        <w:t xml:space="preserve">egister has been updated in December 2021, February 2022 and April 2022. The </w:t>
      </w:r>
      <w:r w:rsidR="00F61B74">
        <w:t>r</w:t>
      </w:r>
      <w:r w:rsidR="005C2B16">
        <w:t xml:space="preserve">egister’s latest release (July 2022) saw a 91% increase in the number of reports on the </w:t>
      </w:r>
      <w:r w:rsidR="00F61B74">
        <w:t>r</w:t>
      </w:r>
      <w:r w:rsidR="005C2B16">
        <w:t>egister, from 8,353 to 15,982.</w:t>
      </w:r>
    </w:p>
    <w:p w14:paraId="7BAA9462" w14:textId="1C63176E" w:rsidR="00141F26" w:rsidRPr="00141F26" w:rsidRDefault="00141F26" w:rsidP="009644D6">
      <w:pPr>
        <w:spacing w:before="0"/>
        <w:rPr>
          <w:sz w:val="2"/>
          <w:szCs w:val="2"/>
        </w:rPr>
      </w:pPr>
    </w:p>
    <w:p w14:paraId="163B519B" w14:textId="75281829" w:rsidR="005C2B16" w:rsidRDefault="001856BD" w:rsidP="002D7F42">
      <w:pPr>
        <w:spacing w:before="360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38B93432" wp14:editId="5D80FE4F">
            <wp:simplePos x="0" y="0"/>
            <wp:positionH relativeFrom="margin">
              <wp:align>left</wp:align>
            </wp:positionH>
            <wp:positionV relativeFrom="paragraph">
              <wp:posOffset>1309666</wp:posOffset>
            </wp:positionV>
            <wp:extent cx="5746750" cy="2136775"/>
            <wp:effectExtent l="0" t="0" r="0" b="0"/>
            <wp:wrapTopAndBottom/>
            <wp:docPr id="4" name="Picture 4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diagra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37C">
        <w:t>A</w:t>
      </w:r>
      <w:r w:rsidR="005C2B16">
        <w:t xml:space="preserve">s of 30 June 2022, the Payment Times Reporting Regulator has received 16,801 reports from 8,885 reporting entities of which 15,982 (95%) have been published to the </w:t>
      </w:r>
      <w:r w:rsidR="00F61B74">
        <w:t>r</w:t>
      </w:r>
      <w:r w:rsidR="005C2B16">
        <w:t xml:space="preserve">egister. Reports received by 30 June 2022 but not published in the current register will be included in the next </w:t>
      </w:r>
      <w:r w:rsidR="00F61B74">
        <w:t>r</w:t>
      </w:r>
      <w:r w:rsidR="005C2B16">
        <w:t xml:space="preserve">egister update. There were 7,139 reports received for a second reporting period </w:t>
      </w:r>
      <w:r w:rsidR="3C87A15E">
        <w:t>allowing the public to identify early changes in payment practices</w:t>
      </w:r>
      <w:r w:rsidR="005C2B16">
        <w:t>.</w:t>
      </w:r>
    </w:p>
    <w:p w14:paraId="45606BC6" w14:textId="50BCC6EB" w:rsidR="002D7F42" w:rsidRDefault="002D7F42">
      <w:pPr>
        <w:spacing w:before="0" w:after="160"/>
      </w:pPr>
      <w:r>
        <w:br w:type="page"/>
      </w:r>
    </w:p>
    <w:p w14:paraId="0C7963BC" w14:textId="5A689E4F" w:rsidR="002300D1" w:rsidRDefault="002D7F42" w:rsidP="00481AB4">
      <w:pPr>
        <w:spacing w:before="360" w:after="80"/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0374A5F7" wp14:editId="7E18E9F5">
            <wp:simplePos x="0" y="0"/>
            <wp:positionH relativeFrom="margin">
              <wp:posOffset>363772</wp:posOffset>
            </wp:positionH>
            <wp:positionV relativeFrom="paragraph">
              <wp:posOffset>101600</wp:posOffset>
            </wp:positionV>
            <wp:extent cx="5017135" cy="3331210"/>
            <wp:effectExtent l="0" t="0" r="0" b="2540"/>
            <wp:wrapTopAndBottom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B16">
        <w:t xml:space="preserve">Of the reports currently </w:t>
      </w:r>
      <w:r w:rsidR="008A33E2">
        <w:t>i</w:t>
      </w:r>
      <w:r w:rsidR="005C2B16">
        <w:t xml:space="preserve">n the </w:t>
      </w:r>
      <w:r w:rsidR="00F61B74">
        <w:t>r</w:t>
      </w:r>
      <w:r w:rsidR="005C2B16">
        <w:t>egister, 77% of reporting entities make payments to small businesses. Across all sectors, reports for second reporting periods show a median payment term offered in contracts to small businesses of 30 calendar days</w:t>
      </w:r>
      <w:r w:rsidR="00053763">
        <w:t>,</w:t>
      </w:r>
      <w:r w:rsidR="005C2B16">
        <w:t xml:space="preserve"> with an average of 36.2 calendar days. </w:t>
      </w:r>
    </w:p>
    <w:p w14:paraId="4EB07930" w14:textId="7FD21D7F" w:rsidR="000106CD" w:rsidRDefault="00372317" w:rsidP="00C02548">
      <w:pPr>
        <w:spacing w:after="240"/>
      </w:pPr>
      <w:r>
        <w:t>The majority of r</w:t>
      </w:r>
      <w:r w:rsidR="001E35D2" w:rsidRPr="00C02548">
        <w:t xml:space="preserve">eports submitted for </w:t>
      </w:r>
      <w:r w:rsidR="00396AED" w:rsidRPr="00C02548">
        <w:t xml:space="preserve">a </w:t>
      </w:r>
      <w:r w:rsidR="00757EBB" w:rsidRPr="00C02548">
        <w:t xml:space="preserve">second reporting period </w:t>
      </w:r>
      <w:r w:rsidR="00350730" w:rsidRPr="00C02548">
        <w:t>indicate</w:t>
      </w:r>
      <w:r w:rsidR="001E35D2" w:rsidRPr="00C02548">
        <w:t xml:space="preserve"> </w:t>
      </w:r>
      <w:r w:rsidR="00F3259B" w:rsidRPr="00C02548">
        <w:t xml:space="preserve">that </w:t>
      </w:r>
      <w:r>
        <w:t xml:space="preserve">entities were not meeting </w:t>
      </w:r>
      <w:r w:rsidR="00350730" w:rsidRPr="00C02548">
        <w:t>their own payment terms</w:t>
      </w:r>
      <w:r w:rsidR="00F3259B" w:rsidRPr="00C02548">
        <w:t xml:space="preserve"> offered to small business</w:t>
      </w:r>
      <w:r w:rsidR="00053763" w:rsidRPr="00C02548">
        <w:t xml:space="preserve">. </w:t>
      </w:r>
      <w:r w:rsidR="007A6696">
        <w:t>Using a benchmark of 80% of invoices (by number), o</w:t>
      </w:r>
      <w:r w:rsidR="000C13EF" w:rsidRPr="000C13EF">
        <w:t xml:space="preserve">nly 47% of reports submitted for second </w:t>
      </w:r>
      <w:r>
        <w:t>reporting periods</w:t>
      </w:r>
      <w:r w:rsidRPr="000C13EF">
        <w:t xml:space="preserve"> </w:t>
      </w:r>
      <w:r w:rsidR="007A6696">
        <w:t xml:space="preserve">showed payment </w:t>
      </w:r>
      <w:r w:rsidR="000C13EF" w:rsidRPr="000C13EF">
        <w:t xml:space="preserve">within the terms offered. </w:t>
      </w:r>
      <w:r w:rsidR="007A6696">
        <w:t xml:space="preserve">Using the same benchmark </w:t>
      </w:r>
      <w:r w:rsidR="003C27DC">
        <w:t xml:space="preserve">only </w:t>
      </w:r>
      <w:r w:rsidRPr="000C13EF">
        <w:t>31%</w:t>
      </w:r>
      <w:r w:rsidR="007A6696">
        <w:t xml:space="preserve"> </w:t>
      </w:r>
      <w:r w:rsidRPr="000C13EF">
        <w:t>of reports</w:t>
      </w:r>
      <w:r w:rsidR="003C27DC">
        <w:t xml:space="preserve"> </w:t>
      </w:r>
      <w:r w:rsidRPr="000C13EF">
        <w:t xml:space="preserve">show </w:t>
      </w:r>
      <w:r w:rsidR="007A6696">
        <w:t xml:space="preserve">payment within </w:t>
      </w:r>
      <w:r w:rsidRPr="000C13EF">
        <w:t>30 days.</w:t>
      </w:r>
    </w:p>
    <w:tbl>
      <w:tblPr>
        <w:tblStyle w:val="TableGrid"/>
        <w:tblW w:w="9070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815"/>
        <w:gridCol w:w="2126"/>
        <w:gridCol w:w="2129"/>
      </w:tblGrid>
      <w:tr w:rsidR="00E05991" w:rsidRPr="00267767" w14:paraId="55D387A2" w14:textId="77777777" w:rsidTr="00372295">
        <w:trPr>
          <w:jc w:val="center"/>
        </w:trPr>
        <w:tc>
          <w:tcPr>
            <w:tcW w:w="4815" w:type="dxa"/>
            <w:shd w:val="clear" w:color="auto" w:fill="002C47"/>
            <w:tcMar>
              <w:left w:w="57" w:type="dxa"/>
              <w:right w:w="57" w:type="dxa"/>
            </w:tcMar>
          </w:tcPr>
          <w:p w14:paraId="12712CE5" w14:textId="02BF98FB" w:rsidR="00E05991" w:rsidRPr="00E10DC8" w:rsidRDefault="00E05991" w:rsidP="00423139">
            <w:pPr>
              <w:spacing w:before="0"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10DC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Reports with more than:</w:t>
            </w:r>
          </w:p>
        </w:tc>
        <w:tc>
          <w:tcPr>
            <w:tcW w:w="2126" w:type="dxa"/>
            <w:shd w:val="clear" w:color="auto" w:fill="002C47"/>
            <w:tcMar>
              <w:left w:w="57" w:type="dxa"/>
              <w:right w:w="57" w:type="dxa"/>
            </w:tcMar>
          </w:tcPr>
          <w:p w14:paraId="23E582A1" w14:textId="452876F8" w:rsidR="00E05991" w:rsidRPr="00E10DC8" w:rsidRDefault="00E05991" w:rsidP="00E0177A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10DC8">
              <w:rPr>
                <w:b/>
                <w:bCs/>
                <w:color w:val="FFFFFF" w:themeColor="background1"/>
              </w:rPr>
              <w:t>1</w:t>
            </w:r>
            <w:r w:rsidRPr="00E10DC8">
              <w:rPr>
                <w:b/>
                <w:bCs/>
                <w:color w:val="FFFFFF" w:themeColor="background1"/>
                <w:vertAlign w:val="superscript"/>
              </w:rPr>
              <w:t>st</w:t>
            </w:r>
            <w:r w:rsidRPr="00E10DC8">
              <w:rPr>
                <w:b/>
                <w:bCs/>
                <w:color w:val="FFFFFF" w:themeColor="background1"/>
              </w:rPr>
              <w:t xml:space="preserve"> Reports</w:t>
            </w:r>
          </w:p>
        </w:tc>
        <w:tc>
          <w:tcPr>
            <w:tcW w:w="2129" w:type="dxa"/>
            <w:shd w:val="clear" w:color="auto" w:fill="002C47"/>
          </w:tcPr>
          <w:p w14:paraId="1AD41919" w14:textId="7131BD59" w:rsidR="00E05991" w:rsidRPr="00E10DC8" w:rsidRDefault="00E05991" w:rsidP="00E0177A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E10DC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2</w:t>
            </w:r>
            <w:r w:rsidRPr="00E10DC8">
              <w:rPr>
                <w:rFonts w:asciiTheme="minorHAnsi" w:hAnsiTheme="minorHAnsi" w:cstheme="minorHAnsi"/>
                <w:b/>
                <w:bCs/>
                <w:color w:val="FFFFFF" w:themeColor="background1"/>
                <w:vertAlign w:val="superscript"/>
              </w:rPr>
              <w:t>nd</w:t>
            </w:r>
            <w:r w:rsidRPr="00E10DC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Reports</w:t>
            </w:r>
          </w:p>
        </w:tc>
      </w:tr>
      <w:tr w:rsidR="00E05991" w:rsidRPr="00267767" w14:paraId="75915ACF" w14:textId="77777777" w:rsidTr="00372295">
        <w:trPr>
          <w:jc w:val="center"/>
        </w:trPr>
        <w:tc>
          <w:tcPr>
            <w:tcW w:w="4815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072A7E" w14:textId="779B2244" w:rsidR="00E05991" w:rsidRPr="00E10DC8" w:rsidRDefault="00E05991" w:rsidP="00423139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E10DC8">
              <w:t xml:space="preserve">80% of invoices paid </w:t>
            </w:r>
            <w:r w:rsidR="003C27DC">
              <w:t xml:space="preserve">(by number) </w:t>
            </w:r>
            <w:r w:rsidRPr="00E10DC8">
              <w:t xml:space="preserve">within </w:t>
            </w:r>
            <w:r w:rsidR="00E0177A">
              <w:t>payment</w:t>
            </w:r>
            <w:r w:rsidRPr="00E10DC8">
              <w:t xml:space="preserve"> terms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F5F90B" w14:textId="4D4792D5" w:rsidR="00E05991" w:rsidRPr="00E10DC8" w:rsidRDefault="00AF7FBB" w:rsidP="00E0177A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10DC8">
              <w:t>45%</w:t>
            </w:r>
          </w:p>
        </w:tc>
        <w:tc>
          <w:tcPr>
            <w:tcW w:w="21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5FE999" w14:textId="1B10D1D0" w:rsidR="00E05991" w:rsidRPr="00E10DC8" w:rsidRDefault="00AF7FBB" w:rsidP="00E0177A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10DC8">
              <w:t>47%</w:t>
            </w:r>
          </w:p>
        </w:tc>
      </w:tr>
      <w:tr w:rsidR="00E05991" w:rsidRPr="00267767" w14:paraId="7554E202" w14:textId="77777777" w:rsidTr="00372295">
        <w:trPr>
          <w:jc w:val="center"/>
        </w:trPr>
        <w:tc>
          <w:tcPr>
            <w:tcW w:w="4815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718A2E" w14:textId="2D8FC818" w:rsidR="00E05991" w:rsidRPr="00E10DC8" w:rsidRDefault="00E05991" w:rsidP="00E05991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</w:rPr>
            </w:pPr>
            <w:r w:rsidRPr="00E10DC8">
              <w:t xml:space="preserve">80% of invoices paid </w:t>
            </w:r>
            <w:r w:rsidR="003C27DC">
              <w:t xml:space="preserve">(by number) </w:t>
            </w:r>
            <w:r w:rsidRPr="00E10DC8">
              <w:t>within 30 days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CED1DD" w14:textId="35E2ABAB" w:rsidR="00E05991" w:rsidRPr="00E10DC8" w:rsidRDefault="00AF7FBB" w:rsidP="00E0177A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10DC8">
              <w:t>25%</w:t>
            </w:r>
          </w:p>
        </w:tc>
        <w:tc>
          <w:tcPr>
            <w:tcW w:w="21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55EC3E" w14:textId="124BDE7F" w:rsidR="00E05991" w:rsidRPr="00E10DC8" w:rsidRDefault="00AF7FBB" w:rsidP="00E0177A">
            <w:pPr>
              <w:spacing w:before="0"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10DC8">
              <w:t>31%</w:t>
            </w:r>
          </w:p>
        </w:tc>
      </w:tr>
    </w:tbl>
    <w:p w14:paraId="31F1F438" w14:textId="31C99263" w:rsidR="003C27DC" w:rsidRPr="00372295" w:rsidRDefault="003C27DC" w:rsidP="00372295">
      <w:pPr>
        <w:spacing w:before="0"/>
        <w:rPr>
          <w:i/>
          <w:iCs/>
          <w:color w:val="7F7F7F" w:themeColor="text1" w:themeTint="80"/>
          <w:sz w:val="16"/>
          <w:szCs w:val="14"/>
        </w:rPr>
      </w:pPr>
      <w:r w:rsidRPr="00372295">
        <w:rPr>
          <w:i/>
          <w:iCs/>
          <w:color w:val="7F7F7F" w:themeColor="text1" w:themeTint="80"/>
          <w:sz w:val="16"/>
          <w:szCs w:val="14"/>
        </w:rPr>
        <w:t xml:space="preserve">*Based on reports published to the register (excluding reports with nil small business procurement). </w:t>
      </w:r>
    </w:p>
    <w:p w14:paraId="38C08F59" w14:textId="66CF18A9" w:rsidR="005C2B16" w:rsidRDefault="00806346" w:rsidP="009644D6">
      <w:pPr>
        <w:spacing w:before="240"/>
      </w:pPr>
      <w:r>
        <w:rPr>
          <w:noProof/>
        </w:rPr>
        <w:drawing>
          <wp:anchor distT="0" distB="0" distL="114300" distR="114300" simplePos="0" relativeHeight="251660292" behindDoc="1" locked="0" layoutInCell="1" allowOverlap="1" wp14:anchorId="27146FDE" wp14:editId="7EDF2021">
            <wp:simplePos x="0" y="0"/>
            <wp:positionH relativeFrom="margin">
              <wp:posOffset>365042</wp:posOffset>
            </wp:positionH>
            <wp:positionV relativeFrom="paragraph">
              <wp:posOffset>535305</wp:posOffset>
            </wp:positionV>
            <wp:extent cx="4929505" cy="2026285"/>
            <wp:effectExtent l="0" t="0" r="4445" b="0"/>
            <wp:wrapSquare wrapText="bothSides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 administering the Act, we have received 4,054 enquiries, 1,431 applications and 49 notices from entities to volunteer to report.</w:t>
      </w:r>
      <w:r>
        <w:br/>
      </w:r>
    </w:p>
    <w:p w14:paraId="47A9E61D" w14:textId="46E4B305" w:rsidR="00806346" w:rsidRDefault="00806346">
      <w:pPr>
        <w:spacing w:before="0" w:after="160"/>
        <w:rPr>
          <w:rFonts w:cs="Arial"/>
          <w:b/>
          <w:iCs/>
          <w:color w:val="004C7A"/>
          <w:kern w:val="32"/>
          <w:sz w:val="32"/>
          <w:szCs w:val="28"/>
        </w:rPr>
      </w:pPr>
      <w:bookmarkStart w:id="15" w:name="_Toc109117620"/>
      <w:r>
        <w:br w:type="page"/>
      </w:r>
    </w:p>
    <w:p w14:paraId="54D0ABA5" w14:textId="7F6E5B1A" w:rsidR="00131FBE" w:rsidRDefault="0042640E" w:rsidP="00B9784B">
      <w:pPr>
        <w:pStyle w:val="Heading2"/>
        <w:spacing w:before="0"/>
      </w:pPr>
      <w:r>
        <w:lastRenderedPageBreak/>
        <w:t>Report</w:t>
      </w:r>
      <w:r w:rsidR="008E2C2F">
        <w:t>s</w:t>
      </w:r>
      <w:r>
        <w:t xml:space="preserve"> by </w:t>
      </w:r>
      <w:r w:rsidR="00B348BD">
        <w:t>Industry</w:t>
      </w:r>
      <w:bookmarkEnd w:id="15"/>
    </w:p>
    <w:p w14:paraId="390CD016" w14:textId="6EC9FE13" w:rsidR="002300D1" w:rsidRDefault="001C3AB5" w:rsidP="0004322F">
      <w:r>
        <w:t xml:space="preserve">The </w:t>
      </w:r>
      <w:r w:rsidR="00A358AC">
        <w:t xml:space="preserve">highest </w:t>
      </w:r>
      <w:r w:rsidR="005F63BE">
        <w:t xml:space="preserve">number </w:t>
      </w:r>
      <w:r>
        <w:t xml:space="preserve">of reports published on the </w:t>
      </w:r>
      <w:r w:rsidR="002D5F34">
        <w:t>r</w:t>
      </w:r>
      <w:r>
        <w:t xml:space="preserve">egister were </w:t>
      </w:r>
      <w:r w:rsidR="005F63BE">
        <w:t xml:space="preserve">received </w:t>
      </w:r>
      <w:r w:rsidR="00D54EAA">
        <w:t xml:space="preserve">from </w:t>
      </w:r>
      <w:r>
        <w:t xml:space="preserve">the </w:t>
      </w:r>
      <w:r w:rsidR="005F63BE">
        <w:t>Financial and Insurance Services with 2,736 reports.</w:t>
      </w:r>
      <w:r w:rsidR="00B348BD">
        <w:t xml:space="preserve"> </w:t>
      </w:r>
      <w:r w:rsidR="00EA0B00">
        <w:t xml:space="preserve">Agriculture, Forestry and Fishing </w:t>
      </w:r>
      <w:r w:rsidR="008E2C2F">
        <w:t xml:space="preserve">reported </w:t>
      </w:r>
      <w:r w:rsidR="00EA0B00">
        <w:t xml:space="preserve">the highest average proportion of its </w:t>
      </w:r>
      <w:r w:rsidR="00D54EAA">
        <w:t xml:space="preserve">procurement </w:t>
      </w:r>
      <w:r w:rsidR="00EA0B00">
        <w:t xml:space="preserve">with small business </w:t>
      </w:r>
      <w:r w:rsidR="008E2C2F">
        <w:t xml:space="preserve">with </w:t>
      </w:r>
      <w:r w:rsidR="00EA0B00">
        <w:t>40.64%</w:t>
      </w:r>
      <w:r>
        <w:t xml:space="preserve"> of total procurement (by value)</w:t>
      </w:r>
      <w:r w:rsidR="008E2C2F">
        <w:t xml:space="preserve"> being undertaken by small business</w:t>
      </w:r>
      <w:r w:rsidR="00EA0B00">
        <w:t xml:space="preserve">. </w:t>
      </w:r>
      <w:r>
        <w:t xml:space="preserve">Figure 1 </w:t>
      </w:r>
      <w:r w:rsidR="008E2C2F">
        <w:t xml:space="preserve">sets out reports </w:t>
      </w:r>
      <w:r>
        <w:t xml:space="preserve">by </w:t>
      </w:r>
      <w:r w:rsidR="00EA0B00">
        <w:t>ANZSIC division</w:t>
      </w:r>
      <w:r>
        <w:t xml:space="preserve"> with </w:t>
      </w:r>
      <w:r w:rsidR="008E2C2F">
        <w:t xml:space="preserve">additional </w:t>
      </w:r>
      <w:r>
        <w:t xml:space="preserve">information </w:t>
      </w:r>
      <w:r w:rsidR="008E2C2F">
        <w:t xml:space="preserve">on the </w:t>
      </w:r>
      <w:r>
        <w:t xml:space="preserve">number of reporting entities by division available in </w:t>
      </w:r>
      <w:hyperlink w:anchor="_Appendix_1_–" w:history="1">
        <w:r w:rsidRPr="006F7C78">
          <w:rPr>
            <w:rStyle w:val="Hyperlink"/>
          </w:rPr>
          <w:t>Appendix A</w:t>
        </w:r>
      </w:hyperlink>
      <w:r>
        <w:t>.</w:t>
      </w:r>
    </w:p>
    <w:p w14:paraId="48941C70" w14:textId="09E75AAF" w:rsidR="00F3259B" w:rsidRDefault="002300D1" w:rsidP="00C02548">
      <w:pPr>
        <w:rPr>
          <w:rFonts w:cs="Arial"/>
          <w:b/>
          <w:color w:val="002C47"/>
          <w:kern w:val="32"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463AC5F2" wp14:editId="48A26C95">
            <wp:simplePos x="0" y="0"/>
            <wp:positionH relativeFrom="margin">
              <wp:posOffset>-684530</wp:posOffset>
            </wp:positionH>
            <wp:positionV relativeFrom="paragraph">
              <wp:posOffset>1299210</wp:posOffset>
            </wp:positionV>
            <wp:extent cx="7131050" cy="5013960"/>
            <wp:effectExtent l="0" t="8255" r="4445" b="4445"/>
            <wp:wrapTopAndBottom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105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05" w:rsidRPr="006F7C78">
        <w:rPr>
          <w:rStyle w:val="Heading4Char"/>
        </w:rPr>
        <w:t>Figure 1 – Reports by ANZSIC division code</w:t>
      </w:r>
      <w:r w:rsidR="003D3805">
        <w:t xml:space="preserve"> (</w:t>
      </w:r>
      <w:r w:rsidR="0006674F">
        <w:t>data</w:t>
      </w:r>
      <w:r w:rsidR="004A0F07">
        <w:t xml:space="preserve"> table</w:t>
      </w:r>
      <w:r w:rsidR="0006674F">
        <w:t xml:space="preserve"> </w:t>
      </w:r>
      <w:r w:rsidR="00A358AC">
        <w:t xml:space="preserve">in </w:t>
      </w:r>
      <w:hyperlink w:anchor="_Appendix_1_–" w:history="1">
        <w:r w:rsidR="0004322F" w:rsidRPr="0004322F">
          <w:rPr>
            <w:rStyle w:val="Hyperlink"/>
          </w:rPr>
          <w:t>Appendix A</w:t>
        </w:r>
      </w:hyperlink>
      <w:r w:rsidR="003D3805">
        <w:t>)</w:t>
      </w:r>
      <w:r w:rsidR="006F7C78">
        <w:t>.</w:t>
      </w:r>
      <w:r w:rsidR="00F3259B">
        <w:br w:type="page"/>
      </w:r>
    </w:p>
    <w:p w14:paraId="7FCCC99B" w14:textId="0E07494F" w:rsidR="006C5B73" w:rsidRPr="006453C7" w:rsidRDefault="009B5922" w:rsidP="00267767">
      <w:pPr>
        <w:pStyle w:val="Heading1"/>
      </w:pPr>
      <w:bookmarkStart w:id="16" w:name="_Toc109117621"/>
      <w:r>
        <w:lastRenderedPageBreak/>
        <w:t>Policy update</w:t>
      </w:r>
      <w:r w:rsidR="006A56CB">
        <w:t>s</w:t>
      </w:r>
      <w:bookmarkEnd w:id="16"/>
    </w:p>
    <w:p w14:paraId="773ABA94" w14:textId="77777777" w:rsidR="00C94436" w:rsidRDefault="00C94436" w:rsidP="00772AB6">
      <w:pPr>
        <w:pStyle w:val="Heading2"/>
      </w:pPr>
      <w:bookmarkStart w:id="17" w:name="_Toc109117622"/>
      <w:r w:rsidRPr="00C90865">
        <w:t>Updates to legislation</w:t>
      </w:r>
      <w:bookmarkEnd w:id="17"/>
    </w:p>
    <w:p w14:paraId="7B0BD135" w14:textId="544D9CC7" w:rsidR="00BB5331" w:rsidRDefault="00C94436" w:rsidP="00BB5331">
      <w:pPr>
        <w:rPr>
          <w:color w:val="auto"/>
        </w:rPr>
      </w:pPr>
      <w:bookmarkStart w:id="18" w:name="_Hlk108703886"/>
      <w:r>
        <w:rPr>
          <w:rFonts w:cs="Calibri"/>
        </w:rPr>
        <w:t xml:space="preserve">Technical amendments to the </w:t>
      </w:r>
      <w:hyperlink r:id="rId31" w:history="1">
        <w:r w:rsidRPr="00EB084D">
          <w:rPr>
            <w:rStyle w:val="Hyperlink"/>
            <w:rFonts w:cs="Calibri"/>
            <w:i/>
            <w:iCs/>
          </w:rPr>
          <w:t>Payment Times Reporting Act 2020</w:t>
        </w:r>
      </w:hyperlink>
      <w:r>
        <w:rPr>
          <w:rFonts w:cs="Calibri"/>
          <w:i/>
          <w:iCs/>
        </w:rPr>
        <w:t xml:space="preserve"> </w:t>
      </w:r>
      <w:r>
        <w:rPr>
          <w:rFonts w:cs="Calibri"/>
        </w:rPr>
        <w:t xml:space="preserve">(the Act) were </w:t>
      </w:r>
      <w:r w:rsidR="00BB5331">
        <w:rPr>
          <w:rFonts w:cs="Calibri"/>
        </w:rPr>
        <w:t>passed</w:t>
      </w:r>
      <w:r>
        <w:rPr>
          <w:rFonts w:cs="Calibri"/>
        </w:rPr>
        <w:t xml:space="preserve"> by Parliament </w:t>
      </w:r>
      <w:r w:rsidR="00CD27EC">
        <w:rPr>
          <w:rFonts w:cs="Calibri"/>
        </w:rPr>
        <w:t>on</w:t>
      </w:r>
      <w:r w:rsidR="00BB5331">
        <w:rPr>
          <w:rFonts w:cs="Calibri"/>
        </w:rPr>
        <w:t xml:space="preserve"> 10 </w:t>
      </w:r>
      <w:r w:rsidR="00BB5331" w:rsidRPr="00BB5331">
        <w:t>February</w:t>
      </w:r>
      <w:r w:rsidR="00CD27EC" w:rsidRPr="00BB5331">
        <w:t xml:space="preserve"> </w:t>
      </w:r>
      <w:r w:rsidR="00BB5331" w:rsidRPr="00BB5331">
        <w:t xml:space="preserve">2022 through the </w:t>
      </w:r>
      <w:hyperlink r:id="rId32" w:history="1">
        <w:r w:rsidR="00BB5331" w:rsidRPr="00BB5331">
          <w:rPr>
            <w:rStyle w:val="Hyperlink"/>
            <w:i/>
            <w:iCs/>
          </w:rPr>
          <w:t>Corporate Collective Investment Vehicle Framework and Other Measures Bill 2021</w:t>
        </w:r>
      </w:hyperlink>
      <w:r w:rsidR="00BB5331" w:rsidRPr="00BB5331">
        <w:rPr>
          <w:i/>
          <w:iCs/>
        </w:rPr>
        <w:t>.</w:t>
      </w:r>
    </w:p>
    <w:bookmarkEnd w:id="18"/>
    <w:p w14:paraId="56AEED6B" w14:textId="256C641B" w:rsidR="00C94436" w:rsidRDefault="00DF5F95" w:rsidP="00C94436">
      <w:pPr>
        <w:spacing w:after="0" w:line="240" w:lineRule="auto"/>
        <w:rPr>
          <w:rFonts w:cs="Calibri"/>
        </w:rPr>
      </w:pPr>
      <w:r>
        <w:rPr>
          <w:rFonts w:cs="Calibri"/>
        </w:rPr>
        <w:t>The c</w:t>
      </w:r>
      <w:r w:rsidR="00C94436">
        <w:rPr>
          <w:rFonts w:cs="Calibri"/>
        </w:rPr>
        <w:t>hange</w:t>
      </w:r>
      <w:r w:rsidR="00CD27EC">
        <w:rPr>
          <w:rFonts w:cs="Calibri"/>
        </w:rPr>
        <w:t>s</w:t>
      </w:r>
      <w:r w:rsidR="00C94436">
        <w:rPr>
          <w:rFonts w:cs="Calibri"/>
        </w:rPr>
        <w:t xml:space="preserve"> </w:t>
      </w:r>
      <w:r w:rsidR="00CD27EC">
        <w:rPr>
          <w:rFonts w:cs="Calibri"/>
        </w:rPr>
        <w:t xml:space="preserve">allow </w:t>
      </w:r>
      <w:r w:rsidR="00B77EF4">
        <w:rPr>
          <w:rFonts w:cs="Calibri"/>
        </w:rPr>
        <w:t>entities that volunteer to report</w:t>
      </w:r>
      <w:r w:rsidR="008E7BAF">
        <w:rPr>
          <w:rFonts w:cs="Calibri"/>
        </w:rPr>
        <w:t xml:space="preserve"> under the Act</w:t>
      </w:r>
      <w:r w:rsidR="00B77EF4">
        <w:rPr>
          <w:rFonts w:cs="Calibri"/>
        </w:rPr>
        <w:t xml:space="preserve"> </w:t>
      </w:r>
      <w:r w:rsidR="00CD27EC">
        <w:rPr>
          <w:rFonts w:cs="Calibri"/>
        </w:rPr>
        <w:t xml:space="preserve">to </w:t>
      </w:r>
      <w:r w:rsidR="00B77EF4">
        <w:rPr>
          <w:rFonts w:cs="Calibri"/>
        </w:rPr>
        <w:t xml:space="preserve">start </w:t>
      </w:r>
      <w:r w:rsidR="00CD27EC">
        <w:rPr>
          <w:rFonts w:cs="Calibri"/>
        </w:rPr>
        <w:t xml:space="preserve">reporting in the first </w:t>
      </w:r>
      <w:r w:rsidR="00B77EF4">
        <w:rPr>
          <w:rFonts w:cs="Calibri"/>
        </w:rPr>
        <w:t xml:space="preserve">reporting </w:t>
      </w:r>
      <w:r w:rsidR="00CD27EC">
        <w:rPr>
          <w:rFonts w:cs="Calibri"/>
        </w:rPr>
        <w:t xml:space="preserve">period </w:t>
      </w:r>
      <w:r w:rsidR="00B77EF4">
        <w:rPr>
          <w:rFonts w:cs="Calibri"/>
        </w:rPr>
        <w:t xml:space="preserve">commencing after it gave </w:t>
      </w:r>
      <w:r w:rsidR="00CD27EC">
        <w:rPr>
          <w:rFonts w:cs="Calibri"/>
        </w:rPr>
        <w:t xml:space="preserve">notice to volunteer. Previously, entities that volunteered </w:t>
      </w:r>
      <w:r w:rsidR="00B77EF4">
        <w:rPr>
          <w:rFonts w:cs="Calibri"/>
        </w:rPr>
        <w:t xml:space="preserve">to report </w:t>
      </w:r>
      <w:r w:rsidR="00CD27EC">
        <w:rPr>
          <w:rFonts w:cs="Calibri"/>
        </w:rPr>
        <w:t xml:space="preserve">were required to wait until </w:t>
      </w:r>
      <w:r w:rsidR="00B77EF4">
        <w:rPr>
          <w:rFonts w:cs="Calibri"/>
        </w:rPr>
        <w:t xml:space="preserve">commencement of </w:t>
      </w:r>
      <w:r w:rsidR="00CD27EC">
        <w:rPr>
          <w:rFonts w:cs="Calibri"/>
        </w:rPr>
        <w:t xml:space="preserve">its next income year before </w:t>
      </w:r>
      <w:r w:rsidR="00B77EF4">
        <w:rPr>
          <w:rFonts w:cs="Calibri"/>
        </w:rPr>
        <w:t>it could report</w:t>
      </w:r>
      <w:r w:rsidR="00C94436">
        <w:rPr>
          <w:rFonts w:cs="Calibri"/>
        </w:rPr>
        <w:t xml:space="preserve">. </w:t>
      </w:r>
    </w:p>
    <w:p w14:paraId="045E109A" w14:textId="64582075" w:rsidR="007F55E4" w:rsidRDefault="007F55E4" w:rsidP="007F55E4">
      <w:pPr>
        <w:pStyle w:val="Heading2"/>
        <w:rPr>
          <w:color w:val="auto"/>
        </w:rPr>
      </w:pPr>
      <w:bookmarkStart w:id="19" w:name="_Toc109117623"/>
      <w:r>
        <w:t xml:space="preserve">Regulator </w:t>
      </w:r>
      <w:r w:rsidR="00EB084D">
        <w:t>p</w:t>
      </w:r>
      <w:r>
        <w:t>ublications</w:t>
      </w:r>
      <w:bookmarkEnd w:id="19"/>
    </w:p>
    <w:p w14:paraId="45716380" w14:textId="6B481636" w:rsidR="00827E69" w:rsidRDefault="007F55E4" w:rsidP="007F55E4">
      <w:pPr>
        <w:rPr>
          <w:i/>
          <w:iCs/>
        </w:rPr>
      </w:pPr>
      <w:r w:rsidRPr="007F55E4">
        <w:t xml:space="preserve">Since 1 January 2022 we have </w:t>
      </w:r>
      <w:r w:rsidR="000D17FE">
        <w:t xml:space="preserve">started </w:t>
      </w:r>
      <w:r w:rsidRPr="007F55E4">
        <w:t>publish</w:t>
      </w:r>
      <w:r w:rsidR="000D17FE">
        <w:t>ing</w:t>
      </w:r>
      <w:r w:rsidRPr="007F55E4">
        <w:t xml:space="preserve"> additional regulatory resources on our website to assist reporting entities </w:t>
      </w:r>
      <w:r w:rsidR="009B47F9">
        <w:t>to</w:t>
      </w:r>
      <w:r w:rsidRPr="007F55E4">
        <w:t xml:space="preserve"> understand their obligations and how we administer the</w:t>
      </w:r>
      <w:r w:rsidR="00827E69">
        <w:br/>
      </w:r>
      <w:hyperlink r:id="rId33" w:history="1">
        <w:r w:rsidRPr="007F55E4">
          <w:rPr>
            <w:rStyle w:val="Hyperlink"/>
            <w:i/>
            <w:iCs/>
          </w:rPr>
          <w:t>Payment Times Reporting Act 2020</w:t>
        </w:r>
      </w:hyperlink>
      <w:r w:rsidR="00644452">
        <w:rPr>
          <w:i/>
          <w:iCs/>
        </w:rPr>
        <w:t xml:space="preserve">. </w:t>
      </w:r>
    </w:p>
    <w:p w14:paraId="174530EB" w14:textId="0AA70B83" w:rsidR="007F55E4" w:rsidRDefault="007F55E4" w:rsidP="007F55E4">
      <w:r w:rsidRPr="007F55E4">
        <w:t>Recent publications include:</w:t>
      </w:r>
    </w:p>
    <w:p w14:paraId="414231F2" w14:textId="05F28881" w:rsidR="007F55E4" w:rsidRPr="007F55E4" w:rsidRDefault="00A72E16" w:rsidP="007F55E4">
      <w:pPr>
        <w:pStyle w:val="ListParagraph"/>
        <w:spacing w:before="120"/>
      </w:pPr>
      <w:hyperlink r:id="rId34" w:history="1">
        <w:r w:rsidR="007F55E4" w:rsidRPr="007F55E4">
          <w:rPr>
            <w:rStyle w:val="Hyperlink"/>
          </w:rPr>
          <w:t>Information Sheet 1: Our approach to regulation</w:t>
        </w:r>
      </w:hyperlink>
      <w:r w:rsidR="00644452">
        <w:t>.</w:t>
      </w:r>
    </w:p>
    <w:p w14:paraId="2382E43D" w14:textId="2F1D62A8" w:rsidR="007F55E4" w:rsidRPr="007F55E4" w:rsidRDefault="00A72E16" w:rsidP="007F55E4">
      <w:pPr>
        <w:pStyle w:val="ListParagraph"/>
        <w:spacing w:before="120"/>
      </w:pPr>
      <w:hyperlink r:id="rId35" w:history="1">
        <w:r w:rsidR="007F55E4" w:rsidRPr="007F55E4">
          <w:rPr>
            <w:rStyle w:val="Hyperlink"/>
          </w:rPr>
          <w:t>Information Sheet 2: Regulator decisions – Your rights</w:t>
        </w:r>
      </w:hyperlink>
      <w:r w:rsidR="00644452">
        <w:t>.</w:t>
      </w:r>
    </w:p>
    <w:p w14:paraId="50005EEC" w14:textId="130F31AB" w:rsidR="007F55E4" w:rsidRPr="007F55E4" w:rsidRDefault="007F55E4" w:rsidP="007F55E4">
      <w:r w:rsidRPr="007F55E4">
        <w:t xml:space="preserve">We intend on adding to </w:t>
      </w:r>
      <w:r w:rsidR="00EB084D">
        <w:t>the</w:t>
      </w:r>
      <w:r w:rsidRPr="007F55E4">
        <w:t xml:space="preserve"> regulatory resources during the remainder of 2022, including guidance notes and additional information sheets</w:t>
      </w:r>
      <w:r w:rsidR="00644452">
        <w:t xml:space="preserve">. </w:t>
      </w:r>
      <w:r w:rsidR="00EB084D">
        <w:t>There will also be p</w:t>
      </w:r>
      <w:r w:rsidRPr="007F55E4">
        <w:t xml:space="preserve">eriodic updates </w:t>
      </w:r>
      <w:r w:rsidR="00EB084D">
        <w:t>made to the resources as required</w:t>
      </w:r>
      <w:r w:rsidRPr="007F55E4">
        <w:t>.</w:t>
      </w:r>
    </w:p>
    <w:p w14:paraId="5AA62BE7" w14:textId="7D7511D0" w:rsidR="007F55E4" w:rsidRDefault="007F55E4" w:rsidP="007F55E4">
      <w:r w:rsidRPr="007F55E4">
        <w:t>We encourage you to provide feedback on the content of existing and new regulatory resources</w:t>
      </w:r>
      <w:r w:rsidR="00827E69">
        <w:t xml:space="preserve"> </w:t>
      </w:r>
      <w:r w:rsidRPr="007F55E4">
        <w:t>via</w:t>
      </w:r>
      <w:r w:rsidR="00644452">
        <w:t xml:space="preserve"> </w:t>
      </w:r>
      <w:r w:rsidR="000D17FE">
        <w:t xml:space="preserve">our </w:t>
      </w:r>
      <w:hyperlink r:id="rId36" w:history="1">
        <w:r w:rsidR="000D17FE" w:rsidRPr="000D17FE">
          <w:rPr>
            <w:rStyle w:val="Hyperlink"/>
          </w:rPr>
          <w:t xml:space="preserve">contact </w:t>
        </w:r>
        <w:r w:rsidR="000D17FE">
          <w:rPr>
            <w:rStyle w:val="Hyperlink"/>
          </w:rPr>
          <w:t>form</w:t>
        </w:r>
      </w:hyperlink>
      <w:r w:rsidR="00644452">
        <w:t>.</w:t>
      </w:r>
    </w:p>
    <w:p w14:paraId="7729180F" w14:textId="69D2C99A" w:rsidR="007F55E4" w:rsidRDefault="007F55E4" w:rsidP="007F55E4">
      <w:pPr>
        <w:pStyle w:val="Heading2"/>
      </w:pPr>
      <w:bookmarkStart w:id="20" w:name="_Toc109117624"/>
      <w:r>
        <w:t xml:space="preserve">Updated </w:t>
      </w:r>
      <w:r w:rsidR="0054112D">
        <w:t>g</w:t>
      </w:r>
      <w:r>
        <w:t xml:space="preserve">uidance </w:t>
      </w:r>
      <w:r w:rsidR="0054112D">
        <w:t>m</w:t>
      </w:r>
      <w:r>
        <w:t>aterial</w:t>
      </w:r>
      <w:bookmarkEnd w:id="20"/>
    </w:p>
    <w:p w14:paraId="1BE7EF99" w14:textId="323F3BED" w:rsidR="0054112D" w:rsidRPr="00AB2EED" w:rsidRDefault="0054112D" w:rsidP="0054112D">
      <w:bookmarkStart w:id="21" w:name="_Hlk107328628"/>
      <w:r>
        <w:t>F</w:t>
      </w:r>
      <w:r w:rsidRPr="00AB2EED">
        <w:t xml:space="preserve">ollowing a review of enquiries and payment times reports </w:t>
      </w:r>
      <w:r>
        <w:t>received</w:t>
      </w:r>
      <w:r w:rsidR="00705E98">
        <w:t xml:space="preserve">, </w:t>
      </w:r>
      <w:r w:rsidRPr="00AB2EED">
        <w:t>we identified a need for updated guidance material.</w:t>
      </w:r>
    </w:p>
    <w:p w14:paraId="2BDF8AB0" w14:textId="39DBBF30" w:rsidR="0054112D" w:rsidRDefault="0054112D" w:rsidP="0054112D">
      <w:r>
        <w:t xml:space="preserve">To assist reporting entities to meet their obligations and understand the Regulator’s expectations, we have prepared </w:t>
      </w:r>
      <w:r w:rsidR="000D17FE">
        <w:t>3</w:t>
      </w:r>
      <w:r>
        <w:t xml:space="preserve"> draft guidance notes:</w:t>
      </w:r>
    </w:p>
    <w:p w14:paraId="39D84E11" w14:textId="77777777" w:rsidR="0054112D" w:rsidRDefault="0054112D" w:rsidP="00C02548">
      <w:pPr>
        <w:pStyle w:val="ListParagraph"/>
        <w:ind w:left="924" w:hanging="357"/>
      </w:pPr>
      <w:r>
        <w:t xml:space="preserve">Guidance </w:t>
      </w:r>
      <w:proofErr w:type="gramStart"/>
      <w:r>
        <w:t>note</w:t>
      </w:r>
      <w:proofErr w:type="gramEnd"/>
      <w:r>
        <w:t xml:space="preserve"> 1: Key concepts</w:t>
      </w:r>
    </w:p>
    <w:p w14:paraId="3A37AAA2" w14:textId="77777777" w:rsidR="0054112D" w:rsidRDefault="0054112D" w:rsidP="00C02548">
      <w:pPr>
        <w:pStyle w:val="ListParagraph"/>
        <w:ind w:left="924" w:hanging="357"/>
      </w:pPr>
      <w:r>
        <w:t xml:space="preserve">Guidance </w:t>
      </w:r>
      <w:proofErr w:type="gramStart"/>
      <w:r>
        <w:t>note</w:t>
      </w:r>
      <w:proofErr w:type="gramEnd"/>
      <w:r>
        <w:t xml:space="preserve"> 2: Preparing a payment times report</w:t>
      </w:r>
    </w:p>
    <w:p w14:paraId="0499D522" w14:textId="77777777" w:rsidR="0054112D" w:rsidRDefault="0054112D" w:rsidP="00C02548">
      <w:pPr>
        <w:pStyle w:val="ListParagraph"/>
        <w:ind w:left="924" w:hanging="357"/>
      </w:pPr>
      <w:r>
        <w:t xml:space="preserve">Guidance </w:t>
      </w:r>
      <w:proofErr w:type="gramStart"/>
      <w:r>
        <w:t>note</w:t>
      </w:r>
      <w:proofErr w:type="gramEnd"/>
      <w:r>
        <w:t xml:space="preserve"> 3: Applications and notifications</w:t>
      </w:r>
    </w:p>
    <w:p w14:paraId="1C922962" w14:textId="77777777" w:rsidR="0054112D" w:rsidRDefault="0054112D" w:rsidP="0054112D">
      <w:pPr>
        <w:rPr>
          <w:rFonts w:asciiTheme="minorHAnsi" w:hAnsiTheme="minorHAnsi" w:cstheme="minorHAnsi"/>
          <w:color w:val="000000"/>
          <w:szCs w:val="22"/>
          <w:lang w:eastAsia="en-US"/>
        </w:rPr>
      </w:pPr>
      <w:r>
        <w:t>The draft guidance notes include information that may be new or more detailed than existing guidance available on our website.</w:t>
      </w:r>
      <w:r>
        <w:rPr>
          <w:rFonts w:asciiTheme="minorHAnsi" w:hAnsiTheme="minorHAnsi" w:cstheme="minorHAnsi"/>
          <w:color w:val="000000"/>
          <w:szCs w:val="22"/>
          <w:lang w:eastAsia="en-US"/>
        </w:rPr>
        <w:t xml:space="preserve"> </w:t>
      </w:r>
    </w:p>
    <w:p w14:paraId="2E4A58A3" w14:textId="42694058" w:rsidR="0054112D" w:rsidRPr="00E81A69" w:rsidRDefault="0054112D" w:rsidP="004375BA">
      <w:pPr>
        <w:pStyle w:val="Heading3"/>
        <w:rPr>
          <w:lang w:eastAsia="en-US"/>
        </w:rPr>
      </w:pPr>
      <w:bookmarkStart w:id="22" w:name="_Toc109117625"/>
      <w:r w:rsidRPr="00E81A69">
        <w:rPr>
          <w:lang w:eastAsia="en-US"/>
        </w:rPr>
        <w:t xml:space="preserve">Consultation </w:t>
      </w:r>
      <w:r w:rsidR="000D17FE">
        <w:rPr>
          <w:lang w:eastAsia="en-US"/>
        </w:rPr>
        <w:t>on guidance</w:t>
      </w:r>
      <w:bookmarkEnd w:id="22"/>
    </w:p>
    <w:p w14:paraId="75373C5B" w14:textId="6D296B42" w:rsidR="0054112D" w:rsidRPr="006C2211" w:rsidRDefault="0054112D" w:rsidP="002300D1">
      <w:pPr>
        <w:rPr>
          <w:lang w:eastAsia="en-US"/>
        </w:rPr>
      </w:pPr>
      <w:r>
        <w:rPr>
          <w:lang w:eastAsia="en-US"/>
        </w:rPr>
        <w:t xml:space="preserve">The </w:t>
      </w:r>
      <w:r w:rsidR="000D17FE">
        <w:rPr>
          <w:lang w:eastAsia="en-US"/>
        </w:rPr>
        <w:t>3</w:t>
      </w:r>
      <w:r>
        <w:rPr>
          <w:lang w:eastAsia="en-US"/>
        </w:rPr>
        <w:t xml:space="preserve"> draft guidance notes </w:t>
      </w:r>
      <w:r w:rsidR="006A56CB" w:rsidRPr="00336216">
        <w:rPr>
          <w:lang w:eastAsia="en-US"/>
        </w:rPr>
        <w:t>will be</w:t>
      </w:r>
      <w:r>
        <w:rPr>
          <w:lang w:eastAsia="en-US"/>
        </w:rPr>
        <w:t xml:space="preserve"> available </w:t>
      </w:r>
      <w:r w:rsidR="00EB13D0">
        <w:rPr>
          <w:lang w:eastAsia="en-US"/>
        </w:rPr>
        <w:t xml:space="preserve">in July </w:t>
      </w:r>
      <w:r>
        <w:rPr>
          <w:lang w:eastAsia="en-US"/>
        </w:rPr>
        <w:t>for public consultation</w:t>
      </w:r>
      <w:r w:rsidR="00BB5331">
        <w:rPr>
          <w:lang w:eastAsia="en-US"/>
        </w:rPr>
        <w:t xml:space="preserve"> for </w:t>
      </w:r>
      <w:r w:rsidR="00BB5331" w:rsidRPr="0042640E">
        <w:rPr>
          <w:lang w:eastAsia="en-US"/>
        </w:rPr>
        <w:t>a 6-week period</w:t>
      </w:r>
      <w:r>
        <w:rPr>
          <w:lang w:eastAsia="en-US"/>
        </w:rPr>
        <w:t xml:space="preserve">. </w:t>
      </w:r>
      <w:r w:rsidRPr="006C2211">
        <w:rPr>
          <w:lang w:eastAsia="en-US"/>
        </w:rPr>
        <w:t>We encourage you to engage in the consultation process.</w:t>
      </w:r>
    </w:p>
    <w:p w14:paraId="63135269" w14:textId="13E7BD3A" w:rsidR="0054112D" w:rsidRDefault="0054112D" w:rsidP="002300D1">
      <w:pPr>
        <w:rPr>
          <w:rFonts w:asciiTheme="minorHAnsi" w:hAnsiTheme="minorHAnsi" w:cstheme="minorHAnsi"/>
          <w:color w:val="000000"/>
          <w:szCs w:val="22"/>
          <w:lang w:eastAsia="en-US"/>
        </w:rPr>
      </w:pPr>
      <w:r>
        <w:rPr>
          <w:rFonts w:asciiTheme="minorHAnsi" w:hAnsiTheme="minorHAnsi" w:cstheme="minorHAnsi"/>
          <w:color w:val="000000"/>
          <w:szCs w:val="22"/>
          <w:lang w:eastAsia="en-US"/>
        </w:rPr>
        <w:t xml:space="preserve">Information on how to access the draft guidance and provide feedback </w:t>
      </w:r>
      <w:r w:rsidR="00C22776">
        <w:rPr>
          <w:rFonts w:asciiTheme="minorHAnsi" w:hAnsiTheme="minorHAnsi" w:cstheme="minorHAnsi"/>
          <w:color w:val="000000"/>
          <w:szCs w:val="22"/>
          <w:lang w:eastAsia="en-US"/>
        </w:rPr>
        <w:t xml:space="preserve">will be </w:t>
      </w:r>
      <w:r>
        <w:rPr>
          <w:rFonts w:asciiTheme="minorHAnsi" w:hAnsiTheme="minorHAnsi" w:cstheme="minorHAnsi"/>
          <w:color w:val="000000"/>
          <w:szCs w:val="22"/>
          <w:lang w:eastAsia="en-US"/>
        </w:rPr>
        <w:t>available on the Treasury website</w:t>
      </w:r>
      <w:r w:rsidR="00B77711">
        <w:rPr>
          <w:rFonts w:asciiTheme="minorHAnsi" w:hAnsiTheme="minorHAnsi" w:cstheme="minorHAnsi"/>
          <w:color w:val="000000"/>
          <w:szCs w:val="22"/>
          <w:lang w:eastAsia="en-US"/>
        </w:rPr>
        <w:t xml:space="preserve"> </w:t>
      </w:r>
      <w:hyperlink r:id="rId37" w:history="1">
        <w:r w:rsidR="00B77711" w:rsidRPr="00B77711">
          <w:rPr>
            <w:rStyle w:val="Hyperlink"/>
            <w:rFonts w:asciiTheme="minorHAnsi" w:hAnsiTheme="minorHAnsi" w:cstheme="minorHAnsi"/>
            <w:szCs w:val="22"/>
            <w:lang w:eastAsia="en-US"/>
          </w:rPr>
          <w:t>consultation page</w:t>
        </w:r>
      </w:hyperlink>
      <w:r>
        <w:rPr>
          <w:rFonts w:asciiTheme="minorHAnsi" w:hAnsiTheme="minorHAnsi" w:cstheme="minorHAnsi"/>
          <w:color w:val="000000"/>
          <w:szCs w:val="22"/>
          <w:lang w:eastAsia="en-US"/>
        </w:rPr>
        <w:t>.</w:t>
      </w:r>
    </w:p>
    <w:p w14:paraId="774D80F3" w14:textId="77777777" w:rsidR="0054112D" w:rsidRPr="009A7481" w:rsidRDefault="0054112D" w:rsidP="004375BA">
      <w:pPr>
        <w:pStyle w:val="Heading3"/>
        <w:rPr>
          <w:lang w:eastAsia="en-US"/>
        </w:rPr>
      </w:pPr>
      <w:bookmarkStart w:id="23" w:name="_Toc109117626"/>
      <w:r w:rsidRPr="009A7481">
        <w:rPr>
          <w:lang w:eastAsia="en-US"/>
        </w:rPr>
        <w:lastRenderedPageBreak/>
        <w:t xml:space="preserve">Using the </w:t>
      </w:r>
      <w:r>
        <w:rPr>
          <w:lang w:eastAsia="en-US"/>
        </w:rPr>
        <w:t>new</w:t>
      </w:r>
      <w:r w:rsidRPr="009A7481">
        <w:rPr>
          <w:lang w:eastAsia="en-US"/>
        </w:rPr>
        <w:t xml:space="preserve"> guidance</w:t>
      </w:r>
      <w:bookmarkEnd w:id="23"/>
    </w:p>
    <w:p w14:paraId="7358DF50" w14:textId="0E44BB60" w:rsidR="0054112D" w:rsidRDefault="006A56CB" w:rsidP="0054112D">
      <w:pPr>
        <w:rPr>
          <w:color w:val="000000"/>
        </w:rPr>
      </w:pPr>
      <w:r>
        <w:rPr>
          <w:rFonts w:asciiTheme="minorHAnsi" w:hAnsiTheme="minorHAnsi" w:cstheme="minorHAnsi"/>
          <w:color w:val="000000"/>
          <w:szCs w:val="22"/>
          <w:lang w:eastAsia="en-US"/>
        </w:rPr>
        <w:t>During the consultation period</w:t>
      </w:r>
      <w:r w:rsidR="0054112D">
        <w:rPr>
          <w:rFonts w:asciiTheme="minorHAnsi" w:hAnsiTheme="minorHAnsi" w:cstheme="minorHAnsi"/>
          <w:color w:val="000000"/>
          <w:szCs w:val="22"/>
          <w:lang w:eastAsia="en-US"/>
        </w:rPr>
        <w:t xml:space="preserve">, reporting entities may choose to use the draft guidance to prepare reports or applications. </w:t>
      </w:r>
      <w:r w:rsidR="0054112D">
        <w:t xml:space="preserve">As consultation is during a reporting window for many entities, this </w:t>
      </w:r>
      <w:r>
        <w:t xml:space="preserve">may be an </w:t>
      </w:r>
      <w:r w:rsidR="0054112D">
        <w:t xml:space="preserve">opportunity to test </w:t>
      </w:r>
      <w:r>
        <w:t xml:space="preserve">our </w:t>
      </w:r>
      <w:r w:rsidR="0054112D">
        <w:t xml:space="preserve">guidance during report preparation and provide feedback. </w:t>
      </w:r>
    </w:p>
    <w:p w14:paraId="337BF5C7" w14:textId="7BD19ADE" w:rsidR="0054112D" w:rsidRDefault="0054112D" w:rsidP="002300D1">
      <w:pPr>
        <w:rPr>
          <w:rFonts w:asciiTheme="minorHAnsi" w:hAnsiTheme="minorHAnsi" w:cstheme="minorHAnsi"/>
          <w:szCs w:val="22"/>
          <w:lang w:eastAsia="en-US"/>
        </w:rPr>
      </w:pPr>
      <w:r>
        <w:rPr>
          <w:rFonts w:asciiTheme="minorHAnsi" w:hAnsiTheme="minorHAnsi" w:cstheme="minorHAnsi"/>
          <w:szCs w:val="22"/>
          <w:lang w:eastAsia="en-US"/>
        </w:rPr>
        <w:t>Alternatively, reporting entities can continue to use the existing guidance on our website until guidance is finalised.</w:t>
      </w:r>
      <w:r w:rsidR="006A56CB" w:rsidRPr="006A56CB">
        <w:t xml:space="preserve"> </w:t>
      </w:r>
      <w:r w:rsidR="006A56CB">
        <w:t>The guidance used prior to finalisation will not affect compliance.</w:t>
      </w:r>
    </w:p>
    <w:p w14:paraId="3590948E" w14:textId="62FCB65E" w:rsidR="0054112D" w:rsidRPr="00C94B5F" w:rsidRDefault="0054112D" w:rsidP="002300D1">
      <w:pPr>
        <w:rPr>
          <w:rFonts w:asciiTheme="minorHAnsi" w:hAnsiTheme="minorHAnsi" w:cstheme="minorHAnsi"/>
          <w:szCs w:val="22"/>
          <w:lang w:eastAsia="en-US"/>
        </w:rPr>
      </w:pPr>
      <w:r>
        <w:rPr>
          <w:rFonts w:asciiTheme="minorHAnsi" w:hAnsiTheme="minorHAnsi" w:cstheme="minorHAnsi"/>
          <w:szCs w:val="22"/>
          <w:lang w:eastAsia="en-US"/>
        </w:rPr>
        <w:t xml:space="preserve">We plan to publish </w:t>
      </w:r>
      <w:r w:rsidR="0042640E">
        <w:rPr>
          <w:rFonts w:asciiTheme="minorHAnsi" w:hAnsiTheme="minorHAnsi" w:cstheme="minorHAnsi"/>
          <w:szCs w:val="22"/>
          <w:lang w:eastAsia="en-US"/>
        </w:rPr>
        <w:t>finalised</w:t>
      </w:r>
      <w:r>
        <w:rPr>
          <w:rFonts w:asciiTheme="minorHAnsi" w:hAnsiTheme="minorHAnsi" w:cstheme="minorHAnsi"/>
          <w:szCs w:val="22"/>
          <w:lang w:eastAsia="en-US"/>
        </w:rPr>
        <w:t xml:space="preserve"> guidance notes </w:t>
      </w:r>
      <w:r w:rsidR="0042640E">
        <w:rPr>
          <w:rFonts w:asciiTheme="minorHAnsi" w:hAnsiTheme="minorHAnsi" w:cstheme="minorHAnsi"/>
          <w:szCs w:val="22"/>
          <w:lang w:eastAsia="en-US"/>
        </w:rPr>
        <w:t xml:space="preserve">after the consultation </w:t>
      </w:r>
      <w:r>
        <w:rPr>
          <w:rFonts w:asciiTheme="minorHAnsi" w:hAnsiTheme="minorHAnsi" w:cstheme="minorHAnsi"/>
          <w:szCs w:val="22"/>
          <w:lang w:eastAsia="en-US"/>
        </w:rPr>
        <w:t xml:space="preserve">in </w:t>
      </w:r>
      <w:r w:rsidRPr="0042640E">
        <w:rPr>
          <w:rFonts w:asciiTheme="minorHAnsi" w:hAnsiTheme="minorHAnsi" w:cstheme="minorHAnsi"/>
          <w:szCs w:val="22"/>
          <w:lang w:eastAsia="en-US"/>
        </w:rPr>
        <w:t>October</w:t>
      </w:r>
      <w:r>
        <w:rPr>
          <w:rFonts w:asciiTheme="minorHAnsi" w:hAnsiTheme="minorHAnsi" w:cstheme="minorHAnsi"/>
          <w:szCs w:val="22"/>
          <w:lang w:eastAsia="en-US"/>
        </w:rPr>
        <w:t xml:space="preserve"> 2022 in our new </w:t>
      </w:r>
      <w:hyperlink r:id="rId38" w:history="1">
        <w:r w:rsidRPr="002F301F">
          <w:rPr>
            <w:rStyle w:val="Hyperlink"/>
            <w:rFonts w:asciiTheme="minorHAnsi" w:hAnsiTheme="minorHAnsi" w:cstheme="minorHAnsi"/>
            <w:szCs w:val="22"/>
            <w:lang w:eastAsia="en-US"/>
          </w:rPr>
          <w:t>Regulatory resources</w:t>
        </w:r>
      </w:hyperlink>
      <w:r>
        <w:rPr>
          <w:rFonts w:asciiTheme="minorHAnsi" w:hAnsiTheme="minorHAnsi" w:cstheme="minorHAnsi"/>
          <w:szCs w:val="22"/>
          <w:lang w:eastAsia="en-US"/>
        </w:rPr>
        <w:t xml:space="preserve"> section of the website. Information </w:t>
      </w:r>
      <w:r w:rsidRPr="00C94B5F">
        <w:rPr>
          <w:rFonts w:asciiTheme="minorHAnsi" w:hAnsiTheme="minorHAnsi" w:cstheme="minorHAnsi"/>
          <w:szCs w:val="22"/>
          <w:lang w:eastAsia="en-US"/>
        </w:rPr>
        <w:t xml:space="preserve">sheets </w:t>
      </w:r>
      <w:r>
        <w:rPr>
          <w:rFonts w:asciiTheme="minorHAnsi" w:hAnsiTheme="minorHAnsi" w:cstheme="minorHAnsi"/>
          <w:szCs w:val="22"/>
          <w:lang w:eastAsia="en-US"/>
        </w:rPr>
        <w:t xml:space="preserve">are already available in this section with brief guidance on </w:t>
      </w:r>
      <w:r w:rsidRPr="00C94B5F">
        <w:rPr>
          <w:rFonts w:asciiTheme="minorHAnsi" w:hAnsiTheme="minorHAnsi" w:cstheme="minorHAnsi"/>
          <w:szCs w:val="22"/>
          <w:lang w:eastAsia="en-US"/>
        </w:rPr>
        <w:t xml:space="preserve">specific processes </w:t>
      </w:r>
      <w:r>
        <w:rPr>
          <w:rFonts w:asciiTheme="minorHAnsi" w:hAnsiTheme="minorHAnsi" w:cstheme="minorHAnsi"/>
          <w:szCs w:val="22"/>
          <w:lang w:eastAsia="en-US"/>
        </w:rPr>
        <w:t>and</w:t>
      </w:r>
      <w:r w:rsidRPr="00C94B5F">
        <w:rPr>
          <w:rFonts w:asciiTheme="minorHAnsi" w:hAnsiTheme="minorHAnsi" w:cstheme="minorHAnsi"/>
          <w:szCs w:val="22"/>
          <w:lang w:eastAsia="en-US"/>
        </w:rPr>
        <w:t xml:space="preserve"> functions.</w:t>
      </w:r>
    </w:p>
    <w:p w14:paraId="12176903" w14:textId="48969DDA" w:rsidR="007F55E4" w:rsidRDefault="007F55E4" w:rsidP="007F55E4">
      <w:pPr>
        <w:pStyle w:val="Heading1"/>
      </w:pPr>
      <w:bookmarkStart w:id="24" w:name="_Toc109117627"/>
      <w:bookmarkEnd w:id="21"/>
      <w:r>
        <w:t xml:space="preserve">Compliance and </w:t>
      </w:r>
      <w:r w:rsidR="0054112D">
        <w:t>e</w:t>
      </w:r>
      <w:r>
        <w:t>nforcement</w:t>
      </w:r>
      <w:bookmarkEnd w:id="24"/>
    </w:p>
    <w:p w14:paraId="27245755" w14:textId="5EE7C358" w:rsidR="007F55E4" w:rsidRDefault="007F55E4" w:rsidP="007F55E4">
      <w:pPr>
        <w:pStyle w:val="Heading2"/>
      </w:pPr>
      <w:bookmarkStart w:id="25" w:name="_Toc109117628"/>
      <w:r>
        <w:t xml:space="preserve">Commencement of </w:t>
      </w:r>
      <w:r w:rsidR="0054112D">
        <w:t>e</w:t>
      </w:r>
      <w:r>
        <w:t>nforcement powers</w:t>
      </w:r>
      <w:bookmarkEnd w:id="25"/>
    </w:p>
    <w:p w14:paraId="347BDF8E" w14:textId="2647F396" w:rsidR="007F55E4" w:rsidRPr="00644452" w:rsidRDefault="007F55E4" w:rsidP="00644452">
      <w:r w:rsidRPr="00644452">
        <w:t xml:space="preserve">Most reporting entities have now experienced </w:t>
      </w:r>
      <w:r w:rsidR="00644452" w:rsidRPr="00644452">
        <w:t>2</w:t>
      </w:r>
      <w:r w:rsidRPr="00644452">
        <w:t xml:space="preserve"> reporting cycles and submitted </w:t>
      </w:r>
      <w:r w:rsidR="00644452" w:rsidRPr="00644452">
        <w:t>2</w:t>
      </w:r>
      <w:r w:rsidRPr="00644452">
        <w:t xml:space="preserve"> payment times reports</w:t>
      </w:r>
      <w:r w:rsidR="00644452">
        <w:t xml:space="preserve">. </w:t>
      </w:r>
      <w:r w:rsidRPr="00644452">
        <w:t xml:space="preserve">These cycles have provided reporting entities with time to register </w:t>
      </w:r>
      <w:r w:rsidR="006A56CB">
        <w:t>to report</w:t>
      </w:r>
      <w:r w:rsidRPr="00644452">
        <w:t xml:space="preserve">, understand their obligations and </w:t>
      </w:r>
      <w:r w:rsidR="006A56CB">
        <w:t xml:space="preserve">implement the </w:t>
      </w:r>
      <w:r w:rsidRPr="00644452">
        <w:t xml:space="preserve">processes </w:t>
      </w:r>
      <w:r w:rsidR="006A56CB">
        <w:t xml:space="preserve">needed </w:t>
      </w:r>
      <w:r w:rsidRPr="00644452">
        <w:t xml:space="preserve">to prepare and submit their </w:t>
      </w:r>
      <w:r w:rsidR="006A56CB">
        <w:t>report</w:t>
      </w:r>
      <w:r w:rsidR="00644452">
        <w:t xml:space="preserve">. </w:t>
      </w:r>
    </w:p>
    <w:p w14:paraId="12A16C03" w14:textId="7639A5D4" w:rsidR="007F55E4" w:rsidRPr="00644452" w:rsidRDefault="007F55E4" w:rsidP="00644452">
      <w:r w:rsidRPr="00644452">
        <w:t xml:space="preserve">The compliance and enforcement powers in the </w:t>
      </w:r>
      <w:hyperlink r:id="rId39" w:history="1">
        <w:r w:rsidRPr="00644452">
          <w:rPr>
            <w:rStyle w:val="Hyperlink"/>
            <w:i/>
            <w:iCs/>
          </w:rPr>
          <w:t>Payment Times Reporting Act 2020</w:t>
        </w:r>
      </w:hyperlink>
      <w:r w:rsidRPr="00644452">
        <w:t xml:space="preserve"> commenced on 1</w:t>
      </w:r>
      <w:r w:rsidR="00B77711">
        <w:t> </w:t>
      </w:r>
      <w:r w:rsidRPr="00644452">
        <w:t>January 2022</w:t>
      </w:r>
      <w:r w:rsidR="00644452">
        <w:t xml:space="preserve">. </w:t>
      </w:r>
      <w:r w:rsidRPr="00644452">
        <w:t xml:space="preserve">Prior to commencement of these powers, we relied on reporting entities voluntarily complying with their obligations and our approach to non-compliance was focused on </w:t>
      </w:r>
      <w:r w:rsidR="00667F21">
        <w:t xml:space="preserve">facilitation and </w:t>
      </w:r>
      <w:proofErr w:type="gramStart"/>
      <w:r w:rsidR="00667F21">
        <w:t xml:space="preserve">providing </w:t>
      </w:r>
      <w:r w:rsidRPr="00644452">
        <w:t>assist</w:t>
      </w:r>
      <w:r w:rsidR="00667F21">
        <w:t>ance</w:t>
      </w:r>
      <w:proofErr w:type="gramEnd"/>
      <w:r w:rsidR="00644452">
        <w:t xml:space="preserve">. </w:t>
      </w:r>
    </w:p>
    <w:p w14:paraId="45D311A8" w14:textId="1B1931A5" w:rsidR="007F55E4" w:rsidRPr="00644452" w:rsidRDefault="007F55E4" w:rsidP="00644452">
      <w:r w:rsidRPr="00644452">
        <w:t xml:space="preserve">The Regulator has not used </w:t>
      </w:r>
      <w:r w:rsidR="00667F21">
        <w:t>its</w:t>
      </w:r>
      <w:r w:rsidR="00667F21" w:rsidRPr="00644452">
        <w:t xml:space="preserve"> </w:t>
      </w:r>
      <w:r w:rsidRPr="00644452">
        <w:t xml:space="preserve">compliance and enforcement powers under the </w:t>
      </w:r>
      <w:hyperlink r:id="rId40" w:history="1">
        <w:r w:rsidRPr="00644452">
          <w:rPr>
            <w:rStyle w:val="Hyperlink"/>
            <w:i/>
            <w:iCs/>
          </w:rPr>
          <w:t>Payment Times Reporting Act 2020</w:t>
        </w:r>
      </w:hyperlink>
      <w:r w:rsidRPr="00644452">
        <w:t xml:space="preserve"> between 1 January 2022 and </w:t>
      </w:r>
      <w:r w:rsidR="00667F21">
        <w:t>June 2022</w:t>
      </w:r>
      <w:r w:rsidRPr="00644452">
        <w:t xml:space="preserve">, however as entities have now had an opportunity to prepare to meet their obligations, we may now consider using the compliance and enforcement powers in the </w:t>
      </w:r>
      <w:hyperlink r:id="rId41" w:history="1">
        <w:r w:rsidRPr="00644452">
          <w:rPr>
            <w:rStyle w:val="Hyperlink"/>
            <w:i/>
            <w:iCs/>
          </w:rPr>
          <w:t>Payment Times Reporting Act 2020</w:t>
        </w:r>
      </w:hyperlink>
      <w:r w:rsidRPr="00644452">
        <w:t xml:space="preserve"> to address non-compliance</w:t>
      </w:r>
      <w:r w:rsidR="00644452">
        <w:t xml:space="preserve">. </w:t>
      </w:r>
      <w:r w:rsidRPr="00644452">
        <w:t>This may include:</w:t>
      </w:r>
    </w:p>
    <w:p w14:paraId="710290DF" w14:textId="645EBD85" w:rsidR="007F55E4" w:rsidRPr="00644452" w:rsidRDefault="00644452" w:rsidP="00644452">
      <w:pPr>
        <w:pStyle w:val="ListParagraph"/>
      </w:pPr>
      <w:r>
        <w:t>p</w:t>
      </w:r>
      <w:r w:rsidR="007F55E4" w:rsidRPr="00644452">
        <w:t xml:space="preserve">ublishing non-compliance on the </w:t>
      </w:r>
      <w:hyperlink r:id="rId42" w:history="1">
        <w:r w:rsidR="007F55E4" w:rsidRPr="00644452">
          <w:rPr>
            <w:rStyle w:val="Hyperlink"/>
          </w:rPr>
          <w:t>Payment Times Reports Register</w:t>
        </w:r>
      </w:hyperlink>
      <w:r w:rsidR="00C80355">
        <w:rPr>
          <w:rStyle w:val="Hyperlink"/>
        </w:rPr>
        <w:t xml:space="preserve"> (the </w:t>
      </w:r>
      <w:r w:rsidR="00F61B74">
        <w:rPr>
          <w:rStyle w:val="Hyperlink"/>
        </w:rPr>
        <w:t>r</w:t>
      </w:r>
      <w:r w:rsidR="00C80355">
        <w:rPr>
          <w:rStyle w:val="Hyperlink"/>
        </w:rPr>
        <w:t>egister)</w:t>
      </w:r>
    </w:p>
    <w:p w14:paraId="0A7CB91F" w14:textId="2ED7BEB7" w:rsidR="007F55E4" w:rsidRPr="00644452" w:rsidRDefault="00644452" w:rsidP="00644452">
      <w:pPr>
        <w:pStyle w:val="ListParagraph"/>
      </w:pPr>
      <w:r>
        <w:t>r</w:t>
      </w:r>
      <w:r w:rsidR="007F55E4" w:rsidRPr="00644452">
        <w:t>equiring a reporting entity to undergo a compliance audit</w:t>
      </w:r>
    </w:p>
    <w:p w14:paraId="6DD68259" w14:textId="035A2DC0" w:rsidR="007F55E4" w:rsidRPr="00644452" w:rsidRDefault="00644452" w:rsidP="00644452">
      <w:pPr>
        <w:pStyle w:val="ListParagraph"/>
      </w:pPr>
      <w:r>
        <w:t>u</w:t>
      </w:r>
      <w:r w:rsidR="007F55E4" w:rsidRPr="00644452">
        <w:t xml:space="preserve">ndertaking monitoring or investigation activities under the </w:t>
      </w:r>
      <w:hyperlink r:id="rId43" w:history="1">
        <w:r w:rsidR="007F55E4" w:rsidRPr="00C80355">
          <w:rPr>
            <w:rStyle w:val="Hyperlink"/>
          </w:rPr>
          <w:t>Regulatory Powers Act 2014</w:t>
        </w:r>
      </w:hyperlink>
    </w:p>
    <w:p w14:paraId="595370FD" w14:textId="517A1D25" w:rsidR="007F55E4" w:rsidRPr="00644452" w:rsidRDefault="00644452" w:rsidP="00644452">
      <w:pPr>
        <w:pStyle w:val="ListParagraph"/>
      </w:pPr>
      <w:r>
        <w:t>i</w:t>
      </w:r>
      <w:r w:rsidR="007F55E4" w:rsidRPr="00644452">
        <w:t>ssuing an infringement notice</w:t>
      </w:r>
    </w:p>
    <w:p w14:paraId="71228009" w14:textId="4125E5E1" w:rsidR="007F55E4" w:rsidRPr="00644452" w:rsidRDefault="00644452" w:rsidP="00644452">
      <w:pPr>
        <w:pStyle w:val="ListParagraph"/>
      </w:pPr>
      <w:r>
        <w:t>c</w:t>
      </w:r>
      <w:r w:rsidR="007F55E4" w:rsidRPr="00644452">
        <w:t>ommencing Court action for civil penalties</w:t>
      </w:r>
      <w:r w:rsidR="00C80355">
        <w:t>.</w:t>
      </w:r>
    </w:p>
    <w:p w14:paraId="5AB204D7" w14:textId="0F01305A" w:rsidR="007F55E4" w:rsidRDefault="007F55E4" w:rsidP="00644452">
      <w:r>
        <w:t xml:space="preserve">In the third quarter of the 2022 calendar </w:t>
      </w:r>
      <w:r w:rsidR="005418EE">
        <w:t>year,</w:t>
      </w:r>
      <w:r>
        <w:t xml:space="preserve"> we </w:t>
      </w:r>
      <w:r w:rsidR="0018414B">
        <w:t xml:space="preserve">plan </w:t>
      </w:r>
      <w:r>
        <w:t xml:space="preserve">on publishing an information sheet </w:t>
      </w:r>
      <w:r w:rsidR="00B77711">
        <w:t>with</w:t>
      </w:r>
      <w:r w:rsidR="0018414B">
        <w:t xml:space="preserve"> more information on our </w:t>
      </w:r>
      <w:r>
        <w:t>enforcement powers</w:t>
      </w:r>
      <w:r w:rsidR="00B77711">
        <w:t>. This</w:t>
      </w:r>
      <w:r>
        <w:t xml:space="preserve"> </w:t>
      </w:r>
      <w:r w:rsidR="00B77711">
        <w:t xml:space="preserve">will be available </w:t>
      </w:r>
      <w:r>
        <w:t>for reference by reporting entities</w:t>
      </w:r>
      <w:r w:rsidR="0018414B">
        <w:t xml:space="preserve"> contacted during our compliance activities</w:t>
      </w:r>
      <w:r w:rsidR="00644452">
        <w:t xml:space="preserve">. </w:t>
      </w:r>
      <w:r>
        <w:t xml:space="preserve">The proposed information sheet will not describe when we may consider using specific powers – this information is already set out in </w:t>
      </w:r>
      <w:hyperlink r:id="rId44" w:history="1">
        <w:r w:rsidRPr="005418EE">
          <w:rPr>
            <w:rStyle w:val="Hyperlink"/>
          </w:rPr>
          <w:t xml:space="preserve">Information </w:t>
        </w:r>
        <w:r w:rsidR="00DA0933">
          <w:rPr>
            <w:rStyle w:val="Hyperlink"/>
          </w:rPr>
          <w:t>s</w:t>
        </w:r>
        <w:r w:rsidRPr="005418EE">
          <w:rPr>
            <w:rStyle w:val="Hyperlink"/>
          </w:rPr>
          <w:t xml:space="preserve">heet 1: Our approach to </w:t>
        </w:r>
        <w:r w:rsidR="00B77711">
          <w:rPr>
            <w:rStyle w:val="Hyperlink"/>
          </w:rPr>
          <w:t>regulation</w:t>
        </w:r>
      </w:hyperlink>
      <w:r>
        <w:t>.</w:t>
      </w:r>
    </w:p>
    <w:p w14:paraId="1E102FED" w14:textId="77777777" w:rsidR="0012212D" w:rsidRDefault="0012212D">
      <w:pPr>
        <w:spacing w:before="0" w:after="160"/>
        <w:rPr>
          <w:rFonts w:cs="Arial"/>
          <w:b/>
          <w:iCs/>
          <w:color w:val="004C7A"/>
          <w:kern w:val="32"/>
          <w:sz w:val="32"/>
          <w:szCs w:val="28"/>
        </w:rPr>
      </w:pPr>
      <w:bookmarkStart w:id="26" w:name="_Toc109117629"/>
      <w:r>
        <w:br w:type="page"/>
      </w:r>
    </w:p>
    <w:p w14:paraId="4D9DDABE" w14:textId="3D952744" w:rsidR="007F55E4" w:rsidRDefault="007F55E4" w:rsidP="007F55E4">
      <w:pPr>
        <w:pStyle w:val="Heading2"/>
      </w:pPr>
      <w:r>
        <w:lastRenderedPageBreak/>
        <w:t xml:space="preserve">Compliance </w:t>
      </w:r>
      <w:r w:rsidR="00C80355">
        <w:t>p</w:t>
      </w:r>
      <w:r>
        <w:t>rograms</w:t>
      </w:r>
      <w:bookmarkEnd w:id="26"/>
    </w:p>
    <w:p w14:paraId="46DF4CB0" w14:textId="77777777" w:rsidR="002300D1" w:rsidRDefault="007F55E4" w:rsidP="005418EE">
      <w:r w:rsidRPr="005418EE">
        <w:t xml:space="preserve">To ensure reporting entities are complying with their obligations under the </w:t>
      </w:r>
      <w:hyperlink r:id="rId45" w:history="1">
        <w:r w:rsidRPr="005418EE">
          <w:rPr>
            <w:rStyle w:val="Hyperlink"/>
            <w:i/>
            <w:iCs/>
          </w:rPr>
          <w:t>Payment Times Reporting Act 2020</w:t>
        </w:r>
      </w:hyperlink>
      <w:r w:rsidRPr="005418EE">
        <w:t>, we have commenced and will continue to initiate both routine and targeted compliance programs</w:t>
      </w:r>
      <w:r w:rsidR="00644452" w:rsidRPr="005418EE">
        <w:t xml:space="preserve">. </w:t>
      </w:r>
    </w:p>
    <w:p w14:paraId="3F8BFDEF" w14:textId="71AE4D7B" w:rsidR="007F55E4" w:rsidRPr="005418EE" w:rsidRDefault="007F55E4" w:rsidP="005418EE">
      <w:r w:rsidRPr="005418EE">
        <w:t>The focus of our compliance programs for the remainder of 2022 are:</w:t>
      </w:r>
    </w:p>
    <w:p w14:paraId="39189788" w14:textId="6EE9A51C" w:rsidR="007F55E4" w:rsidRPr="005418EE" w:rsidRDefault="00C80355" w:rsidP="005418EE">
      <w:pPr>
        <w:pStyle w:val="ListParagraph"/>
      </w:pPr>
      <w:r>
        <w:t>q</w:t>
      </w:r>
      <w:r w:rsidR="007F55E4" w:rsidRPr="005418EE">
        <w:t xml:space="preserve">uality assurance of the </w:t>
      </w:r>
      <w:hyperlink r:id="rId46" w:history="1">
        <w:r w:rsidR="007F55E4" w:rsidRPr="005418EE">
          <w:rPr>
            <w:rStyle w:val="Hyperlink"/>
          </w:rPr>
          <w:t>Payment Times Report</w:t>
        </w:r>
        <w:r w:rsidR="00DA0933">
          <w:rPr>
            <w:rStyle w:val="Hyperlink"/>
          </w:rPr>
          <w:t>s</w:t>
        </w:r>
        <w:r w:rsidR="007F55E4" w:rsidRPr="005418EE">
          <w:rPr>
            <w:rStyle w:val="Hyperlink"/>
          </w:rPr>
          <w:t xml:space="preserve"> Register</w:t>
        </w:r>
      </w:hyperlink>
      <w:r w:rsidR="007F55E4" w:rsidRPr="005418EE">
        <w:t>, including the accuracy and completeness of reports</w:t>
      </w:r>
    </w:p>
    <w:p w14:paraId="7F7A08C1" w14:textId="64870F0D" w:rsidR="007F55E4" w:rsidRPr="005418EE" w:rsidRDefault="007F55E4" w:rsidP="005418EE">
      <w:pPr>
        <w:pStyle w:val="ListParagraph"/>
      </w:pPr>
      <w:r w:rsidRPr="005418EE">
        <w:t>reporting entities that have failed submit a report.</w:t>
      </w:r>
    </w:p>
    <w:p w14:paraId="599B132B" w14:textId="77777777" w:rsidR="007F55E4" w:rsidRPr="005418EE" w:rsidRDefault="007F55E4" w:rsidP="005418EE">
      <w:r w:rsidRPr="005418EE">
        <w:t>Although these are current areas of focus, we also undertake targeted compliance action in response to intelligence and emerging trends of non-compliance.</w:t>
      </w:r>
    </w:p>
    <w:p w14:paraId="78BA1CA5" w14:textId="77777777" w:rsidR="009506BE" w:rsidRDefault="007F55E4" w:rsidP="005418EE">
      <w:r w:rsidRPr="005418EE">
        <w:t xml:space="preserve">If we contact you in relation to </w:t>
      </w:r>
      <w:r w:rsidR="005418EE" w:rsidRPr="005418EE">
        <w:t>non-compliance,</w:t>
      </w:r>
      <w:r w:rsidRPr="005418EE">
        <w:t xml:space="preserve"> we encourage you to refer to our approach to non-compliance set out in </w:t>
      </w:r>
      <w:hyperlink r:id="rId47" w:history="1">
        <w:r w:rsidRPr="009506BE">
          <w:rPr>
            <w:rStyle w:val="Hyperlink"/>
          </w:rPr>
          <w:t xml:space="preserve">Information </w:t>
        </w:r>
        <w:r w:rsidR="00DA0933" w:rsidRPr="009506BE">
          <w:rPr>
            <w:rStyle w:val="Hyperlink"/>
          </w:rPr>
          <w:t>s</w:t>
        </w:r>
        <w:r w:rsidRPr="009506BE">
          <w:rPr>
            <w:rStyle w:val="Hyperlink"/>
          </w:rPr>
          <w:t>heet 1: Our approach to regulation</w:t>
        </w:r>
      </w:hyperlink>
      <w:r w:rsidR="00644452" w:rsidRPr="005418EE">
        <w:t xml:space="preserve">. </w:t>
      </w:r>
    </w:p>
    <w:p w14:paraId="54C9367E" w14:textId="2CD5A751" w:rsidR="007F55E4" w:rsidRPr="005418EE" w:rsidRDefault="00DA0933" w:rsidP="005418EE">
      <w:r>
        <w:t>N</w:t>
      </w:r>
      <w:r w:rsidR="007F55E4" w:rsidRPr="005418EE">
        <w:t>ote:</w:t>
      </w:r>
    </w:p>
    <w:p w14:paraId="1637F756" w14:textId="61525600" w:rsidR="007F55E4" w:rsidRPr="005418EE" w:rsidRDefault="007F55E4" w:rsidP="005418EE">
      <w:pPr>
        <w:pStyle w:val="ListParagraph"/>
      </w:pPr>
      <w:r w:rsidRPr="005418EE">
        <w:t xml:space="preserve">the attitude of the reporting entity to its reporting obligations may inform our approach to addressing non-compliance </w:t>
      </w:r>
    </w:p>
    <w:p w14:paraId="7C18613A" w14:textId="237D0864" w:rsidR="007F55E4" w:rsidRDefault="007F55E4" w:rsidP="005418EE">
      <w:pPr>
        <w:pStyle w:val="ListParagraph"/>
      </w:pPr>
      <w:r w:rsidRPr="005418EE">
        <w:t xml:space="preserve">our first action on identifying non-compliance when utilising the compliance and enforcement powers under the </w:t>
      </w:r>
      <w:hyperlink r:id="rId48" w:history="1">
        <w:r w:rsidRPr="005418EE">
          <w:rPr>
            <w:rStyle w:val="Hyperlink"/>
            <w:i/>
            <w:iCs/>
          </w:rPr>
          <w:t>Payment Times Reporting Act 2020</w:t>
        </w:r>
      </w:hyperlink>
      <w:r w:rsidRPr="005418EE">
        <w:t xml:space="preserve"> may be to publish details of the non-compliance on the </w:t>
      </w:r>
      <w:hyperlink r:id="rId49" w:history="1">
        <w:r w:rsidR="00DA0933">
          <w:rPr>
            <w:rStyle w:val="Hyperlink"/>
          </w:rPr>
          <w:t>r</w:t>
        </w:r>
        <w:r w:rsidRPr="005418EE">
          <w:rPr>
            <w:rStyle w:val="Hyperlink"/>
          </w:rPr>
          <w:t>egister</w:t>
        </w:r>
      </w:hyperlink>
      <w:r>
        <w:t>.</w:t>
      </w:r>
    </w:p>
    <w:p w14:paraId="74792DC8" w14:textId="6849F8DF" w:rsidR="007F55E4" w:rsidRPr="005418EE" w:rsidRDefault="007F55E4" w:rsidP="005418EE">
      <w:r w:rsidRPr="005418EE">
        <w:t xml:space="preserve">In addition to publication of non-compliance on the </w:t>
      </w:r>
      <w:r w:rsidR="00DA0933" w:rsidRPr="00DA0933">
        <w:t>r</w:t>
      </w:r>
      <w:r w:rsidRPr="00DA0933">
        <w:t>egister</w:t>
      </w:r>
      <w:r w:rsidRPr="005418EE">
        <w:t xml:space="preserve">, we may also publish information about how we have used our compliance and enforcement powers in other publications, such as </w:t>
      </w:r>
      <w:r w:rsidR="00C80355">
        <w:t xml:space="preserve">the </w:t>
      </w:r>
      <w:r w:rsidR="00DA0933">
        <w:t>Regulator’s Updates</w:t>
      </w:r>
      <w:r w:rsidR="00C80355">
        <w:t>.</w:t>
      </w:r>
    </w:p>
    <w:p w14:paraId="56649D30" w14:textId="2390AF44" w:rsidR="007F55E4" w:rsidRDefault="007F55E4" w:rsidP="005418EE">
      <w:r w:rsidRPr="005418EE">
        <w:t xml:space="preserve">If you have concerns or queries on how to remediate or remedy potential </w:t>
      </w:r>
      <w:r w:rsidR="009506BE" w:rsidRPr="005418EE">
        <w:t>non-compliance,</w:t>
      </w:r>
      <w:r w:rsidRPr="005418EE">
        <w:t xml:space="preserve"> we encourage you to contact us at </w:t>
      </w:r>
      <w:hyperlink r:id="rId50" w:history="1">
        <w:r w:rsidR="00DA0933" w:rsidRPr="00A344F9">
          <w:rPr>
            <w:rStyle w:val="Hyperlink"/>
          </w:rPr>
          <w:t>support@paymenttimes.gov.au</w:t>
        </w:r>
      </w:hyperlink>
      <w:r w:rsidR="00AB0730" w:rsidRPr="00C02548">
        <w:rPr>
          <w:rStyle w:val="Hyperlink"/>
          <w:color w:val="auto"/>
        </w:rPr>
        <w:t>.</w:t>
      </w:r>
      <w:r>
        <w:t xml:space="preserve"> </w:t>
      </w:r>
    </w:p>
    <w:p w14:paraId="24889509" w14:textId="77777777" w:rsidR="00267767" w:rsidRDefault="00267767" w:rsidP="009B5922">
      <w:pPr>
        <w:spacing w:before="0" w:after="160"/>
        <w:sectPr w:rsidR="00267767" w:rsidSect="002300D1">
          <w:footerReference w:type="default" r:id="rId51"/>
          <w:pgSz w:w="11906" w:h="16838" w:code="9"/>
          <w:pgMar w:top="1542" w:right="1418" w:bottom="1135" w:left="1418" w:header="709" w:footer="0" w:gutter="0"/>
          <w:cols w:space="708"/>
          <w:docGrid w:linePitch="360"/>
        </w:sectPr>
      </w:pPr>
    </w:p>
    <w:p w14:paraId="3C944AF7" w14:textId="3A0AC428" w:rsidR="009B5922" w:rsidRDefault="00267767" w:rsidP="0042640E">
      <w:pPr>
        <w:pStyle w:val="Heading1"/>
        <w:spacing w:before="120" w:after="120"/>
      </w:pPr>
      <w:bookmarkStart w:id="27" w:name="_Appendix_1_–"/>
      <w:bookmarkStart w:id="28" w:name="_Toc109117630"/>
      <w:bookmarkEnd w:id="27"/>
      <w:r>
        <w:lastRenderedPageBreak/>
        <w:t xml:space="preserve">Appendix </w:t>
      </w:r>
      <w:r w:rsidR="006F7C78">
        <w:t>A</w:t>
      </w:r>
      <w:r>
        <w:t xml:space="preserve"> – </w:t>
      </w:r>
      <w:r w:rsidR="0042640E">
        <w:t xml:space="preserve">Reports by </w:t>
      </w:r>
      <w:r w:rsidR="002300D1">
        <w:t xml:space="preserve">ANZSIC </w:t>
      </w:r>
      <w:r w:rsidR="00D6108B">
        <w:t>d</w:t>
      </w:r>
      <w:r w:rsidR="002300D1">
        <w:t>ivision code</w:t>
      </w:r>
      <w:bookmarkEnd w:id="28"/>
    </w:p>
    <w:tbl>
      <w:tblPr>
        <w:tblStyle w:val="TableGrid"/>
        <w:tblW w:w="9493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72"/>
        <w:gridCol w:w="1134"/>
        <w:gridCol w:w="1134"/>
        <w:gridCol w:w="1134"/>
        <w:gridCol w:w="1134"/>
        <w:gridCol w:w="1985"/>
      </w:tblGrid>
      <w:tr w:rsidR="00F94BB4" w:rsidRPr="00267767" w14:paraId="4A6C9A35" w14:textId="77777777" w:rsidTr="0042640E">
        <w:trPr>
          <w:jc w:val="center"/>
        </w:trPr>
        <w:tc>
          <w:tcPr>
            <w:tcW w:w="2972" w:type="dxa"/>
            <w:shd w:val="clear" w:color="auto" w:fill="002C47"/>
            <w:tcMar>
              <w:left w:w="57" w:type="dxa"/>
              <w:right w:w="57" w:type="dxa"/>
            </w:tcMar>
          </w:tcPr>
          <w:p w14:paraId="0B207048" w14:textId="77777777" w:rsidR="00F94BB4" w:rsidRPr="00267767" w:rsidRDefault="00F94BB4" w:rsidP="00267767">
            <w:pPr>
              <w:spacing w:before="0"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26776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Industry</w:t>
            </w:r>
          </w:p>
        </w:tc>
        <w:tc>
          <w:tcPr>
            <w:tcW w:w="2268" w:type="dxa"/>
            <w:gridSpan w:val="2"/>
            <w:shd w:val="clear" w:color="auto" w:fill="002C47"/>
            <w:tcMar>
              <w:left w:w="57" w:type="dxa"/>
              <w:right w:w="57" w:type="dxa"/>
            </w:tcMar>
          </w:tcPr>
          <w:p w14:paraId="76803439" w14:textId="26D02D90" w:rsidR="00F94BB4" w:rsidRPr="00267767" w:rsidRDefault="00F94BB4" w:rsidP="00475FD0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267767">
              <w:rPr>
                <w:b/>
                <w:bCs/>
                <w:color w:val="FFFFFF" w:themeColor="background1"/>
                <w:sz w:val="22"/>
                <w:szCs w:val="22"/>
              </w:rPr>
              <w:t>Number of reporting entities</w:t>
            </w:r>
          </w:p>
        </w:tc>
        <w:tc>
          <w:tcPr>
            <w:tcW w:w="1134" w:type="dxa"/>
            <w:shd w:val="clear" w:color="auto" w:fill="002C47"/>
            <w:tcMar>
              <w:left w:w="57" w:type="dxa"/>
              <w:right w:w="57" w:type="dxa"/>
            </w:tcMar>
          </w:tcPr>
          <w:p w14:paraId="2F606625" w14:textId="77777777" w:rsidR="00F94BB4" w:rsidRPr="00267767" w:rsidRDefault="00F94BB4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267767">
              <w:rPr>
                <w:b/>
                <w:bCs/>
                <w:color w:val="FFFFFF" w:themeColor="background1"/>
                <w:sz w:val="22"/>
                <w:szCs w:val="22"/>
              </w:rPr>
              <w:t>Total reports</w:t>
            </w:r>
          </w:p>
        </w:tc>
        <w:tc>
          <w:tcPr>
            <w:tcW w:w="1134" w:type="dxa"/>
            <w:shd w:val="clear" w:color="auto" w:fill="002C47"/>
            <w:tcMar>
              <w:left w:w="57" w:type="dxa"/>
              <w:right w:w="57" w:type="dxa"/>
            </w:tcMar>
          </w:tcPr>
          <w:p w14:paraId="203B619A" w14:textId="77777777" w:rsidR="00F94BB4" w:rsidRPr="00267767" w:rsidRDefault="00F94BB4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267767">
              <w:rPr>
                <w:b/>
                <w:bCs/>
                <w:color w:val="FFFFFF" w:themeColor="background1"/>
                <w:sz w:val="22"/>
                <w:szCs w:val="22"/>
              </w:rPr>
              <w:t>% Reports with payments to small business</w:t>
            </w:r>
          </w:p>
        </w:tc>
        <w:tc>
          <w:tcPr>
            <w:tcW w:w="1985" w:type="dxa"/>
            <w:shd w:val="clear" w:color="auto" w:fill="002C47"/>
            <w:tcMar>
              <w:left w:w="57" w:type="dxa"/>
              <w:right w:w="57" w:type="dxa"/>
            </w:tcMar>
          </w:tcPr>
          <w:p w14:paraId="211C015A" w14:textId="6D96DF8E" w:rsidR="00F94BB4" w:rsidRPr="00267767" w:rsidRDefault="00F94BB4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475FD0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% Avg. $ total small business procurement (value) excludes reports with nil payments to small business</w:t>
            </w:r>
          </w:p>
        </w:tc>
      </w:tr>
      <w:tr w:rsidR="00267767" w:rsidRPr="00267767" w14:paraId="1B0FDEA3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64CC27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Accommodation and Food Services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F8D966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114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B8E0BE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1.29%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92A5D3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198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F07076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88.38%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172C6B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33.65%</w:t>
            </w:r>
          </w:p>
        </w:tc>
      </w:tr>
      <w:tr w:rsidR="00267767" w:rsidRPr="00267767" w14:paraId="2DE7EF6A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DCDDEB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Administrative and Support Services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3A5DE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229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3074F3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2.59%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383EA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423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E88897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79.67%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CE7DD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36.72%</w:t>
            </w:r>
          </w:p>
        </w:tc>
      </w:tr>
      <w:tr w:rsidR="00267767" w:rsidRPr="00267767" w14:paraId="6E2C3692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D87F2A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Agriculture, Forestry and Fishing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9336F0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155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AF765F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1.75%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5CE48B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281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B86DA8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87.19%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53929C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40.64%</w:t>
            </w:r>
          </w:p>
        </w:tc>
      </w:tr>
      <w:tr w:rsidR="00267767" w:rsidRPr="00267767" w14:paraId="3FD29574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67F51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Arts and Recreation Services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F1F1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103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17A47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1.16%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0C7804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187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64F9B0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59.89%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CB8C4E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36.76%</w:t>
            </w:r>
          </w:p>
        </w:tc>
      </w:tr>
      <w:tr w:rsidR="00267767" w:rsidRPr="00267767" w14:paraId="49072CE2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BC6C91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Construction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9DBFF5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838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D9E635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9.48%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614EAD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1,416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14315E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88.49%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B6B9EA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39.64%</w:t>
            </w:r>
          </w:p>
        </w:tc>
      </w:tr>
      <w:tr w:rsidR="00267767" w:rsidRPr="00267767" w14:paraId="2AC7B3B8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51C301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Education and Training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B2BC3A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35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EBE61E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0.40%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E80010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55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5746B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70.91%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3FEF2F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35.44%</w:t>
            </w:r>
          </w:p>
        </w:tc>
      </w:tr>
      <w:tr w:rsidR="00267767" w:rsidRPr="00267767" w14:paraId="01A5A5E9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4664EC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Electricity, Gas, Water and Waste Services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9A8BBA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418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EF17D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4.73%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17E1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799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FE6DE1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74.47%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CA1573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27.46%</w:t>
            </w:r>
          </w:p>
        </w:tc>
      </w:tr>
      <w:tr w:rsidR="00267767" w:rsidRPr="00267767" w14:paraId="505BFFF8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DA99E9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Financial and Insurance Services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F5750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1,526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D56AEE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17.26%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4289E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2,736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70E6A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56.07%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00CA4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28.17%</w:t>
            </w:r>
          </w:p>
        </w:tc>
      </w:tr>
      <w:tr w:rsidR="00267767" w:rsidRPr="00267767" w14:paraId="599A1BA8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7BD90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Health Care and Social Assistance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B0207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345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D974E0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3.90%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65AFD0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611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166A8C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85.60%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02483E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35.12%</w:t>
            </w:r>
          </w:p>
        </w:tc>
      </w:tr>
      <w:tr w:rsidR="00267767" w:rsidRPr="00267767" w14:paraId="4EDC1404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23F186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Information Media and Telecommunications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F54DF6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241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BCBD9F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2.73%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C33BC6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440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D911EA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76.82%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9128EF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31.86%</w:t>
            </w:r>
          </w:p>
        </w:tc>
      </w:tr>
      <w:tr w:rsidR="00267767" w:rsidRPr="00267767" w14:paraId="689785CD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F8CA5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Manufacturing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76A91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962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40E5FD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10.88%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C3FB9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1,738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96CFA8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80.78%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A91BAC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25.59%</w:t>
            </w:r>
          </w:p>
        </w:tc>
      </w:tr>
      <w:tr w:rsidR="00267767" w:rsidRPr="00267767" w14:paraId="0B04D480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F50508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Mining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CECB8A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760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63397B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8.60%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A12769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1,391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71A735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66.79%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2881B4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21.04%</w:t>
            </w:r>
          </w:p>
        </w:tc>
      </w:tr>
      <w:tr w:rsidR="00267767" w:rsidRPr="00267767" w14:paraId="28EC862F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58DA96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Other Services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C68D27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85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1D0C8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0.96%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36AAA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156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2FC5B7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89.74%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C0BBAC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37.60%</w:t>
            </w:r>
          </w:p>
        </w:tc>
      </w:tr>
      <w:tr w:rsidR="00267767" w:rsidRPr="00267767" w14:paraId="649A23AB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E4849B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Professional, Scientific and Technical Services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BFE56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736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CFA77B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8.32%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591371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1,304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BB641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83.28%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9BE48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32.98%</w:t>
            </w:r>
          </w:p>
        </w:tc>
      </w:tr>
      <w:tr w:rsidR="00267767" w:rsidRPr="00267767" w14:paraId="409F923A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574C2A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Public Administration and Safety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119019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57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D1C255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0.64%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191A03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102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07A48F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88.24%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40AFA9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25.20%</w:t>
            </w:r>
          </w:p>
        </w:tc>
      </w:tr>
      <w:tr w:rsidR="00267767" w:rsidRPr="00267767" w14:paraId="25C4B78B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B99EE0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Rental, Hiring and Real Estate Services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10CF1E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265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E68046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3.00%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D3D71F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476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F083FF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76.89%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4AF45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35.25%</w:t>
            </w:r>
          </w:p>
        </w:tc>
      </w:tr>
      <w:tr w:rsidR="00267767" w:rsidRPr="00267767" w14:paraId="666E631F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C2224C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Retail Trade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AA6612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699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1A9DAE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7.91%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1FC739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1,285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2A9339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88.40%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5ED06B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22.56%</w:t>
            </w:r>
          </w:p>
        </w:tc>
      </w:tr>
      <w:tr w:rsidR="00267767" w:rsidRPr="00267767" w14:paraId="5AA94054" w14:textId="77777777" w:rsidTr="0042640E">
        <w:trPr>
          <w:trHeight w:val="15"/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DD9CB1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Transport, Postal and Warehousing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0F283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480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F47EFC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5.43%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B83289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892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7772F5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81.50%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81FBE5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28.28%</w:t>
            </w:r>
          </w:p>
        </w:tc>
      </w:tr>
      <w:tr w:rsidR="00267767" w:rsidRPr="00267767" w14:paraId="469F374F" w14:textId="77777777" w:rsidTr="0042640E">
        <w:trPr>
          <w:jc w:val="center"/>
        </w:trPr>
        <w:tc>
          <w:tcPr>
            <w:tcW w:w="2972" w:type="dxa"/>
            <w:shd w:val="clear" w:color="auto" w:fill="E7F6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15C2F0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Wholesale Trade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E444A9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858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2AC836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9.70%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4F77A9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 xml:space="preserve"> 1,492 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AE8980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88.14%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DDDE1F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267767">
              <w:rPr>
                <w:sz w:val="22"/>
                <w:szCs w:val="22"/>
              </w:rPr>
              <w:t>22.89%</w:t>
            </w:r>
          </w:p>
        </w:tc>
      </w:tr>
      <w:tr w:rsidR="00267767" w:rsidRPr="00267767" w14:paraId="14DF36A3" w14:textId="77777777" w:rsidTr="0042640E">
        <w:trPr>
          <w:jc w:val="center"/>
        </w:trPr>
        <w:tc>
          <w:tcPr>
            <w:tcW w:w="2972" w:type="dxa"/>
            <w:shd w:val="clear" w:color="auto" w:fill="002C47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519A8B0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267767">
              <w:rPr>
                <w:b/>
                <w:bCs/>
                <w:color w:val="FFFFFF" w:themeColor="background1"/>
                <w:sz w:val="22"/>
                <w:szCs w:val="22"/>
              </w:rPr>
              <w:t>Grand Total</w:t>
            </w:r>
          </w:p>
        </w:tc>
        <w:tc>
          <w:tcPr>
            <w:tcW w:w="1134" w:type="dxa"/>
            <w:shd w:val="clear" w:color="auto" w:fill="002C47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46963B9" w14:textId="77777777" w:rsidR="00267767" w:rsidRPr="00267767" w:rsidRDefault="00267767" w:rsidP="00267767">
            <w:pPr>
              <w:spacing w:before="0" w:after="0" w:line="240" w:lineRule="auto"/>
              <w:rPr>
                <w:rFonts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267767">
              <w:rPr>
                <w:b/>
                <w:bCs/>
                <w:color w:val="FFFFFF" w:themeColor="background1"/>
                <w:sz w:val="22"/>
                <w:szCs w:val="22"/>
              </w:rPr>
              <w:t xml:space="preserve"> 8,842 </w:t>
            </w:r>
          </w:p>
        </w:tc>
        <w:tc>
          <w:tcPr>
            <w:tcW w:w="1134" w:type="dxa"/>
            <w:shd w:val="clear" w:color="auto" w:fill="002C47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A236661" w14:textId="77777777" w:rsidR="00267767" w:rsidRPr="00267767" w:rsidRDefault="00267767" w:rsidP="00267767">
            <w:pPr>
              <w:spacing w:before="0" w:after="0" w:line="240" w:lineRule="auto"/>
              <w:rPr>
                <w:rFonts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267767">
              <w:rPr>
                <w:b/>
                <w:bCs/>
                <w:color w:val="FFFFFF" w:themeColor="background1"/>
                <w:sz w:val="22"/>
                <w:szCs w:val="22"/>
              </w:rPr>
              <w:t>100%</w:t>
            </w:r>
          </w:p>
        </w:tc>
        <w:tc>
          <w:tcPr>
            <w:tcW w:w="1134" w:type="dxa"/>
            <w:shd w:val="clear" w:color="auto" w:fill="002C47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1B7D97" w14:textId="77777777" w:rsidR="00267767" w:rsidRPr="00267767" w:rsidRDefault="00267767" w:rsidP="00267767">
            <w:pPr>
              <w:spacing w:before="0" w:after="0" w:line="240" w:lineRule="auto"/>
              <w:jc w:val="left"/>
              <w:rPr>
                <w:rFonts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267767">
              <w:rPr>
                <w:b/>
                <w:bCs/>
                <w:color w:val="FFFFFF" w:themeColor="background1"/>
                <w:sz w:val="22"/>
                <w:szCs w:val="22"/>
              </w:rPr>
              <w:t xml:space="preserve"> 15,982 </w:t>
            </w:r>
          </w:p>
        </w:tc>
        <w:tc>
          <w:tcPr>
            <w:tcW w:w="1134" w:type="dxa"/>
            <w:shd w:val="clear" w:color="auto" w:fill="002C47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8ADE87E" w14:textId="77777777" w:rsidR="00267767" w:rsidRPr="00267767" w:rsidRDefault="00267767" w:rsidP="00267767">
            <w:pPr>
              <w:spacing w:before="0" w:after="0" w:line="240" w:lineRule="auto"/>
              <w:rPr>
                <w:rFonts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267767">
              <w:rPr>
                <w:b/>
                <w:bCs/>
                <w:color w:val="FFFFFF" w:themeColor="background1"/>
                <w:sz w:val="22"/>
                <w:szCs w:val="22"/>
              </w:rPr>
              <w:t>77%</w:t>
            </w:r>
          </w:p>
        </w:tc>
        <w:tc>
          <w:tcPr>
            <w:tcW w:w="1985" w:type="dxa"/>
            <w:shd w:val="clear" w:color="auto" w:fill="002C47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2BCED0F" w14:textId="77777777" w:rsidR="00267767" w:rsidRPr="00267767" w:rsidRDefault="00267767" w:rsidP="00267767">
            <w:pPr>
              <w:spacing w:before="0" w:after="0" w:line="240" w:lineRule="auto"/>
              <w:rPr>
                <w:rFonts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267767">
              <w:rPr>
                <w:b/>
                <w:bCs/>
                <w:color w:val="FFFFFF" w:themeColor="background1"/>
                <w:sz w:val="22"/>
                <w:szCs w:val="22"/>
              </w:rPr>
              <w:t>29%</w:t>
            </w:r>
          </w:p>
        </w:tc>
      </w:tr>
    </w:tbl>
    <w:p w14:paraId="232D2985" w14:textId="266B18ED" w:rsidR="00267767" w:rsidRPr="00267767" w:rsidRDefault="00267767" w:rsidP="0042640E"/>
    <w:sectPr w:rsidR="00267767" w:rsidRPr="00267767" w:rsidSect="00A13536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 w:code="9"/>
      <w:pgMar w:top="1542" w:right="1418" w:bottom="1276" w:left="1418" w:header="709" w:footer="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13"/>
    </wne:keymap>
    <wne:keymap wne:kcmPrimary="0332">
      <wne:acd wne:acdName="acd15"/>
    </wne:keymap>
    <wne:keymap wne:kcmPrimary="0333">
      <wne:acd wne:acdName="acd16"/>
    </wne:keymap>
    <wne:keymap wne:kcmPrimary="0334">
      <wne:acd wne:acdName="acd17"/>
    </wne:keymap>
    <wne:keymap wne:kcmPrimary="0335">
      <wne:acd wne:acdName="acd18"/>
    </wne:keymap>
    <wne:keymap wne:kcmPrimary="0336">
      <wne:acd wne:acdName="acd19"/>
    </wne:keymap>
    <wne:keymap wne:kcmPrimary="0337">
      <wne:acd wne:acdName="acd14"/>
    </wne:keymap>
    <wne:keymap wne:kcmPrimary="0338">
      <wne:acd wne:acdName="acd20"/>
    </wne:keymap>
    <wne:keymap wne:kcmPrimary="0339">
      <wne:acd wne:acdName="acd21"/>
    </wne:keymap>
    <wne:keymap wne:kcmPrimary="0341">
      <wne:acd wne:acdName="acd4"/>
    </wne:keymap>
    <wne:keymap wne:kcmPrimary="0342">
      <wne:acd wne:acdName="acd7"/>
    </wne:keymap>
    <wne:keymap wne:kcmPrimary="0343">
      <wne:acd wne:acdName="acd0"/>
    </wne:keymap>
    <wne:keymap wne:kcmPrimary="0344">
      <wne:acd wne:acdName="acd8"/>
    </wne:keymap>
    <wne:keymap wne:kcmPrimary="0346">
      <wne:acd wne:acdName="acd3"/>
    </wne:keymap>
    <wne:keymap wne:kcmPrimary="034F">
      <wne:acd wne:acdName="acd9"/>
    </wne:keymap>
    <wne:keymap wne:kcmPrimary="0353">
      <wne:acd wne:acdName="acd6"/>
    </wne:keymap>
    <wne:keymap wne:kcmPrimary="0431">
      <wne:acd wne:acdName="acd10"/>
    </wne:keymap>
    <wne:keymap wne:kcmPrimary="0432">
      <wne:acd wne:acdName="acd11"/>
    </wne:keymap>
    <wne:keymap wne:kcmPrimary="0433">
      <wne:acd wne:acdName="acd12"/>
    </wne:keymap>
    <wne:keymap wne:kcmPrimary="0441">
      <wne:acd wne:acdName="acd22"/>
    </wne:keymap>
    <wne:keymap wne:kcmPrimary="0643">
      <wne:acd wne:acdName="acd1"/>
    </wne:keymap>
    <wne:keymap wne:kcmPrimary="0654">
      <wne:acd wne:acdName="acd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</wne:acdManifest>
  </wne:toolbars>
  <wne:acds>
    <wne:acd wne:argValue="AgBDAGgAYQByAHQAIABNAGEAaQBuACAASABlAGEAZABpAG4AZwA=" wne:acdName="acd0" wne:fciIndexBasedOn="0065"/>
    <wne:acd wne:argValue="AgBDAGgAYQByAHQAIABTAGUAYwBvAG4AZAAgAEgAZQBhAGQAaQBuAGcA" wne:acdName="acd1" wne:fciIndexBasedOn="0065"/>
    <wne:acd wne:argValue="AgBDAGgAYQByAHQAIABhAG4AZAAgAFQAYQBiAGwAZQAgAEYAbwBvAHQAbgBvAHQAZQAgAEEAbABw&#10;AGgAYQA=" wne:acdName="acd2" wne:fciIndexBasedOn="0065"/>
    <wne:acd wne:argValue="AgBDAGgAYQByAHQAIABvAHIAIABUAGEAYgBsAGUAIABOAG8AdABlAA==" wne:acdName="acd3" wne:fciIndexBasedOn="0065"/>
    <wne:acd wne:argValue="AgBUAGEAYgBsAGUAIABNAGEAaQBuACAASABlAGEAZABpAG4AZwA=" wne:acdName="acd4" wne:fciIndexBasedOn="0065"/>
    <wne:acd wne:acdName="acd5" wne:fciIndexBasedOn="0065"/>
    <wne:acd wne:argValue="AgBTAGkAbgBnAGwAZQAgAFAAYQByAGEAZwByAGEAcABoAA==" wne:acdName="acd6" wne:fciIndexBasedOn="0065"/>
    <wne:acd wne:argValue="AgBCAHUAbABsAGUAdAA=" wne:acdName="acd7" wne:fciIndexBasedOn="0065"/>
    <wne:acd wne:argValue="AgBEAGEAcwBoAA==" wne:acdName="acd8" wne:fciIndexBasedOn="0065"/>
    <wne:acd wne:argValue="AgBEAG8AdQBiAGwAZQAgAEQAbwB0AA==" wne:acdName="acd9" wne:fciIndexBasedOn="0065"/>
    <wne:acd wne:argValue="AgBPAHUAdABsAGkAbgBlACAATgB1AG0AYgBlAHIAZQBkACAAMQA=" wne:acdName="acd10" wne:fciIndexBasedOn="0065"/>
    <wne:acd wne:argValue="AgBPAHUAdABsAGkAbgBlACAATgB1AG0AYgBlAHIAZQBkACAAMgA=" wne:acdName="acd11" wne:fciIndexBasedOn="0065"/>
    <wne:acd wne:argValue="AgBPAHUAdABsAGkAbgBlACAATgB1AG0AYgBlAHIAZQBkACAAMwA=" wne:acdName="acd12" wne:fciIndexBasedOn="0065"/>
    <wne:acd wne:argValue="AQAAAAEA" wne:acdName="acd13" wne:fciIndexBasedOn="0065"/>
    <wne:acd wne:argValue="AgBIAGUAYQBkAGkAbgBnACAAMQAgAE4AdQBtAGIAZQByAGUAZAA=" wne:acdName="acd14" wne:fciIndexBasedOn="0065"/>
    <wne:acd wne:argValue="AQAAAAIA" wne:acdName="acd15" wne:fciIndexBasedOn="0065"/>
    <wne:acd wne:argValue="AQAAAAMA" wne:acdName="acd16" wne:fciIndexBasedOn="0065"/>
    <wne:acd wne:argValue="AQAAAAQA" wne:acdName="acd17" wne:fciIndexBasedOn="0065"/>
    <wne:acd wne:argValue="AQAAAAUA" wne:acdName="acd18" wne:fciIndexBasedOn="0065"/>
    <wne:acd wne:argValue="AQAAAAYA" wne:acdName="acd19" wne:fciIndexBasedOn="0065"/>
    <wne:acd wne:argValue="AgBIAGUAYQBkAGkAbgBnACAAMgAgAE4AdQBtAGIAZQByAGUAZAA=" wne:acdName="acd20" wne:fciIndexBasedOn="0065"/>
    <wne:acd wne:argValue="AgBIAGUAYQBkAGkAbgBnACAAMwAgAE4AdQBtAGIAZQByAGUAZAA=" wne:acdName="acd21" wne:fciIndexBasedOn="0065"/>
    <wne:acd wne:argValue="AgBUAGEAYgBsAGUAIABIAGUAYQBkAGkAbgBnACAAQwBvAG4AdABpAG4AdQBlAGQA" wne:acdName="acd2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DEFA2" w14:textId="77777777" w:rsidR="001C5193" w:rsidRDefault="001C5193">
      <w:pPr>
        <w:spacing w:before="0" w:after="0"/>
      </w:pPr>
      <w:r>
        <w:separator/>
      </w:r>
    </w:p>
  </w:endnote>
  <w:endnote w:type="continuationSeparator" w:id="0">
    <w:p w14:paraId="047246CF" w14:textId="77777777" w:rsidR="001C5193" w:rsidRDefault="001C5193">
      <w:pPr>
        <w:spacing w:before="0" w:after="0"/>
      </w:pPr>
      <w:r>
        <w:continuationSeparator/>
      </w:r>
    </w:p>
  </w:endnote>
  <w:endnote w:type="continuationNotice" w:id="1">
    <w:p w14:paraId="0D32875A" w14:textId="77777777" w:rsidR="001C5193" w:rsidRDefault="001C519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5B02F" w14:textId="77777777" w:rsidR="00F77988" w:rsidRDefault="00F779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851" w:type="dxa"/>
      <w:tblLook w:val="04A0" w:firstRow="1" w:lastRow="0" w:firstColumn="1" w:lastColumn="0" w:noHBand="0" w:noVBand="1"/>
    </w:tblPr>
    <w:tblGrid>
      <w:gridCol w:w="3403"/>
      <w:gridCol w:w="3969"/>
      <w:gridCol w:w="3260"/>
    </w:tblGrid>
    <w:tr w:rsidR="00F77988" w:rsidRPr="00C35086" w14:paraId="766B336B" w14:textId="77777777" w:rsidTr="00494936">
      <w:trPr>
        <w:trHeight w:val="574"/>
      </w:trPr>
      <w:tc>
        <w:tcPr>
          <w:tcW w:w="3403" w:type="dxa"/>
          <w:shd w:val="clear" w:color="auto" w:fill="auto"/>
          <w:vAlign w:val="center"/>
        </w:tcPr>
        <w:p w14:paraId="4B50F40E" w14:textId="0D94787E" w:rsidR="00F77988" w:rsidRPr="00C35086" w:rsidRDefault="00F77988" w:rsidP="00494936">
          <w:pPr>
            <w:pStyle w:val="HeaderOdd"/>
            <w:tabs>
              <w:tab w:val="left" w:pos="0"/>
              <w:tab w:val="left" w:pos="2552"/>
            </w:tabs>
            <w:jc w:val="left"/>
            <w:rPr>
              <w:rFonts w:asciiTheme="minorHAnsi" w:hAnsiTheme="minorHAnsi" w:cstheme="minorHAnsi"/>
              <w:b/>
              <w:bCs/>
            </w:rPr>
          </w:pPr>
          <w:r>
            <w:rPr>
              <w:rFonts w:cstheme="minorHAnsi"/>
              <w:b/>
              <w:bCs/>
              <w:noProof/>
              <w:color w:val="FFFFFF" w:themeColor="background1"/>
            </w:rPr>
            <mc:AlternateContent>
              <mc:Choice Requires="wpg">
                <w:drawing>
                  <wp:anchor distT="0" distB="0" distL="114300" distR="114300" simplePos="0" relativeHeight="251658246" behindDoc="1" locked="0" layoutInCell="1" allowOverlap="1" wp14:anchorId="6D5436C9" wp14:editId="73480863">
                    <wp:simplePos x="0" y="0"/>
                    <wp:positionH relativeFrom="column">
                      <wp:posOffset>-231775</wp:posOffset>
                    </wp:positionH>
                    <wp:positionV relativeFrom="paragraph">
                      <wp:posOffset>-29210</wp:posOffset>
                    </wp:positionV>
                    <wp:extent cx="179705" cy="179705"/>
                    <wp:effectExtent l="0" t="0" r="10795" b="29845"/>
                    <wp:wrapTight wrapText="bothSides">
                      <wp:wrapPolygon edited="0">
                        <wp:start x="0" y="0"/>
                        <wp:lineTo x="0" y="20608"/>
                        <wp:lineTo x="6869" y="22898"/>
                        <wp:lineTo x="16028" y="22898"/>
                        <wp:lineTo x="20608" y="18318"/>
                        <wp:lineTo x="20608" y="0"/>
                        <wp:lineTo x="0" y="0"/>
                      </wp:wrapPolygon>
                    </wp:wrapTight>
                    <wp:docPr id="182" name="Group 18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79705" cy="179705"/>
                              <a:chOff x="141694" y="0"/>
                              <a:chExt cx="1368152" cy="1368152"/>
                            </a:xfrm>
                          </wpg:grpSpPr>
                          <wps:wsp>
                            <wps:cNvPr id="183" name="Oval 183"/>
                            <wps:cNvSpPr/>
                            <wps:spPr>
                              <a:xfrm>
                                <a:off x="141694" y="0"/>
                                <a:ext cx="1368152" cy="136815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4" name="Oval 184"/>
                            <wps:cNvSpPr/>
                            <wps:spPr>
                              <a:xfrm>
                                <a:off x="429726" y="0"/>
                                <a:ext cx="792088" cy="136815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5" name="Straight Connector 185"/>
                            <wps:cNvCnPr/>
                            <wps:spPr>
                              <a:xfrm>
                                <a:off x="825770" y="0"/>
                                <a:ext cx="0" cy="136815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" name="Oval 186"/>
                            <wps:cNvSpPr/>
                            <wps:spPr>
                              <a:xfrm rot="5400000">
                                <a:off x="490879" y="8923"/>
                                <a:ext cx="669790" cy="1368144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97A0E42" id="Group 182" o:spid="_x0000_s1026" style="position:absolute;margin-left:-18.25pt;margin-top:-2.3pt;width:14.15pt;height:14.15pt;z-index:-251658234;mso-width-relative:margin;mso-height-relative:margin" coordorigin="1416" coordsize="13681,1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">
                    <o:lock v:ext="edit" aspectratio="t"/>
                    <v:oval id="Oval 183" o:spid="_x0000_s1027" style="position:absolute;left:1416;width:13682;height:1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" filled="f" strokecolor="#b1f0cf" strokeweight="1pt"/>
                    <v:oval id="Oval 184" o:spid="_x0000_s1028" style="position:absolute;left:4297;width:7921;height:1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" filled="f" strokecolor="#b1f0cf" strokeweight="1pt"/>
                    <v:line id="Straight Connector 185" o:spid="_x0000_s1029" style="position:absolute;visibility:visible;mso-wrap-style:square" from="8257,0" to="8257,1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" strokecolor="#b1f0cf" strokeweight="1pt"/>
                    <v:oval id="Oval 186" o:spid="_x0000_s1030" style="position:absolute;left:4909;top:89;width:6697;height:136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" filled="f" strokecolor="#b1f0cf" strokeweight="1pt"/>
                    <w10:wrap type="tight"/>
                  </v:group>
                </w:pict>
              </mc:Fallback>
            </mc:AlternateContent>
          </w:r>
          <w:r w:rsidRPr="00C35086">
            <w:rPr>
              <w:rFonts w:asciiTheme="minorHAnsi" w:hAnsiTheme="minorHAnsi" w:cstheme="minorHAnsi"/>
              <w:bCs/>
              <w:color w:val="FFFFFF" w:themeColor="background1"/>
            </w:rPr>
            <w:t>paymenttimes.gov.au</w:t>
          </w:r>
        </w:p>
      </w:tc>
      <w:tc>
        <w:tcPr>
          <w:tcW w:w="3969" w:type="dxa"/>
          <w:shd w:val="clear" w:color="auto" w:fill="auto"/>
          <w:vAlign w:val="center"/>
        </w:tcPr>
        <w:p w14:paraId="7BAF9499" w14:textId="77777777" w:rsidR="00F77988" w:rsidRPr="00C35086" w:rsidRDefault="00F77988" w:rsidP="00494936">
          <w:pPr>
            <w:pStyle w:val="HeaderOdd"/>
            <w:tabs>
              <w:tab w:val="left" w:pos="0"/>
              <w:tab w:val="left" w:pos="2552"/>
            </w:tabs>
            <w:jc w:val="center"/>
            <w:rPr>
              <w:rFonts w:asciiTheme="minorHAnsi" w:hAnsiTheme="minorHAnsi" w:cstheme="minorHAnsi"/>
            </w:rPr>
          </w:pPr>
          <w:r w:rsidRPr="00C35086">
            <w:rPr>
              <w:rFonts w:cstheme="minorHAnsi"/>
              <w:b/>
              <w:bCs/>
              <w:noProof/>
              <w:color w:val="FFFFFF" w:themeColor="background1"/>
            </w:rPr>
            <w:drawing>
              <wp:anchor distT="0" distB="0" distL="114300" distR="114300" simplePos="0" relativeHeight="251658245" behindDoc="1" locked="0" layoutInCell="1" allowOverlap="1" wp14:anchorId="2B64BBE7" wp14:editId="52896449">
                <wp:simplePos x="0" y="0"/>
                <wp:positionH relativeFrom="column">
                  <wp:posOffset>360680</wp:posOffset>
                </wp:positionH>
                <wp:positionV relativeFrom="paragraph">
                  <wp:posOffset>-62865</wp:posOffset>
                </wp:positionV>
                <wp:extent cx="194310" cy="194310"/>
                <wp:effectExtent l="0" t="0" r="0" b="0"/>
                <wp:wrapThrough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hrough>
                <wp:docPr id="187" name="Graphic 187" descr="Envelope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Graphic 64" descr="Envelope with solid fil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" cy="194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35086">
            <w:rPr>
              <w:rFonts w:asciiTheme="minorHAnsi" w:hAnsiTheme="minorHAnsi" w:cstheme="minorHAnsi"/>
              <w:bCs/>
              <w:color w:val="FFFFFF" w:themeColor="background1"/>
            </w:rPr>
            <w:t>support@paymenttimes.gov.au</w:t>
          </w:r>
        </w:p>
      </w:tc>
      <w:tc>
        <w:tcPr>
          <w:tcW w:w="3260" w:type="dxa"/>
          <w:shd w:val="clear" w:color="auto" w:fill="auto"/>
          <w:vAlign w:val="center"/>
        </w:tcPr>
        <w:p w14:paraId="19E4B7C8" w14:textId="77777777" w:rsidR="00F77988" w:rsidRPr="00C35086" w:rsidRDefault="00F77988" w:rsidP="00494936">
          <w:pPr>
            <w:pStyle w:val="HeaderOdd"/>
            <w:tabs>
              <w:tab w:val="left" w:pos="0"/>
              <w:tab w:val="left" w:pos="2269"/>
            </w:tabs>
            <w:ind w:right="31"/>
            <w:rPr>
              <w:rFonts w:asciiTheme="minorHAnsi" w:hAnsiTheme="minorHAnsi" w:cstheme="minorHAnsi"/>
            </w:rPr>
          </w:pPr>
          <w:r w:rsidRPr="00BB5F59">
            <w:rPr>
              <w:rFonts w:asciiTheme="minorHAnsi" w:hAnsiTheme="minorHAnsi" w:cstheme="minorHAnsi"/>
              <w:bCs/>
              <w:color w:val="FFFFFF" w:themeColor="background1"/>
            </w:rPr>
            <w:t>Page</w:t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t xml:space="preserve"> 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begin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instrText xml:space="preserve"> PAGE </w:instrTex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separate"/>
          </w:r>
          <w:r w:rsidRPr="00BB5F59">
            <w:rPr>
              <w:rFonts w:asciiTheme="minorHAnsi" w:hAnsiTheme="minorHAnsi" w:cstheme="minorHAnsi"/>
              <w:color w:val="FFFFFF" w:themeColor="background1"/>
              <w:sz w:val="24"/>
              <w:szCs w:val="24"/>
            </w:rPr>
            <w:t>2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end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t xml:space="preserve"> </w:t>
          </w:r>
          <w:r w:rsidRPr="00BB5F59">
            <w:rPr>
              <w:rFonts w:asciiTheme="minorHAnsi" w:hAnsiTheme="minorHAnsi" w:cstheme="minorHAnsi"/>
              <w:bCs/>
              <w:color w:val="FFFFFF" w:themeColor="background1"/>
            </w:rPr>
            <w:t xml:space="preserve">of </w:t>
          </w:r>
          <w:r w:rsidRPr="00BB5F59">
            <w:rPr>
              <w:rFonts w:cstheme="minorHAnsi"/>
              <w:color w:val="FFFFFF" w:themeColor="background1"/>
            </w:rPr>
            <w:fldChar w:fldCharType="begin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instrText xml:space="preserve"> NUMPAGES  </w:instrText>
          </w:r>
          <w:r w:rsidRPr="00BB5F59">
            <w:rPr>
              <w:rFonts w:cstheme="minorHAnsi"/>
              <w:color w:val="FFFFFF" w:themeColor="background1"/>
            </w:rPr>
            <w:fldChar w:fldCharType="separate"/>
          </w:r>
          <w:r w:rsidRPr="00BB5F59">
            <w:rPr>
              <w:rFonts w:asciiTheme="minorHAnsi" w:hAnsiTheme="minorHAnsi" w:cstheme="minorHAnsi"/>
              <w:color w:val="FFFFFF" w:themeColor="background1"/>
              <w:sz w:val="24"/>
              <w:szCs w:val="24"/>
            </w:rPr>
            <w:t>7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end"/>
          </w:r>
        </w:p>
      </w:tc>
    </w:tr>
  </w:tbl>
  <w:p w14:paraId="09A07FD1" w14:textId="3C429FD1" w:rsidR="00F77988" w:rsidRPr="00F60198" w:rsidRDefault="00F77988" w:rsidP="00F60198">
    <w:pPr>
      <w:pStyle w:val="FooterOdd"/>
    </w:pPr>
    <w:r w:rsidRPr="009B5922">
      <w:rPr>
        <w:noProof/>
        <w:color w:val="FFFFFF" w:themeColor="background1"/>
      </w:rPr>
      <w:drawing>
        <wp:anchor distT="0" distB="0" distL="114300" distR="114300" simplePos="0" relativeHeight="251658247" behindDoc="1" locked="0" layoutInCell="1" allowOverlap="1" wp14:anchorId="434C3627" wp14:editId="13C1F155">
          <wp:simplePos x="0" y="0"/>
          <wp:positionH relativeFrom="page">
            <wp:posOffset>-6028</wp:posOffset>
          </wp:positionH>
          <wp:positionV relativeFrom="paragraph">
            <wp:posOffset>-554355</wp:posOffset>
          </wp:positionV>
          <wp:extent cx="7543800" cy="890270"/>
          <wp:effectExtent l="0" t="0" r="0" b="5080"/>
          <wp:wrapNone/>
          <wp:docPr id="188" name="Picture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777" w:type="dxa"/>
      <w:tblLook w:val="04A0" w:firstRow="1" w:lastRow="0" w:firstColumn="1" w:lastColumn="0" w:noHBand="0" w:noVBand="1"/>
    </w:tblPr>
    <w:tblGrid>
      <w:gridCol w:w="3403"/>
      <w:gridCol w:w="3969"/>
      <w:gridCol w:w="3260"/>
    </w:tblGrid>
    <w:tr w:rsidR="00F77988" w:rsidRPr="00C35086" w14:paraId="1DD1880F" w14:textId="77777777" w:rsidTr="008A33E2">
      <w:trPr>
        <w:trHeight w:val="574"/>
      </w:trPr>
      <w:tc>
        <w:tcPr>
          <w:tcW w:w="3403" w:type="dxa"/>
          <w:shd w:val="clear" w:color="auto" w:fill="auto"/>
          <w:vAlign w:val="center"/>
        </w:tcPr>
        <w:p w14:paraId="434FC355" w14:textId="520F42E5" w:rsidR="00F77988" w:rsidRPr="00C35086" w:rsidRDefault="00F77988" w:rsidP="00494936">
          <w:pPr>
            <w:pStyle w:val="HeaderOdd"/>
            <w:tabs>
              <w:tab w:val="left" w:pos="0"/>
              <w:tab w:val="left" w:pos="2552"/>
            </w:tabs>
            <w:jc w:val="left"/>
            <w:rPr>
              <w:rFonts w:asciiTheme="minorHAnsi" w:hAnsiTheme="minorHAnsi" w:cstheme="minorHAnsi"/>
              <w:b/>
              <w:bCs/>
            </w:rPr>
          </w:pPr>
          <w:r>
            <w:rPr>
              <w:rFonts w:cstheme="minorHAnsi"/>
              <w:b/>
              <w:bCs/>
              <w:noProof/>
              <w:color w:val="FFFFFF" w:themeColor="background1"/>
            </w:rPr>
            <mc:AlternateContent>
              <mc:Choice Requires="wpg">
                <w:drawing>
                  <wp:anchor distT="0" distB="0" distL="114300" distR="114300" simplePos="0" relativeHeight="251658243" behindDoc="1" locked="0" layoutInCell="1" allowOverlap="1" wp14:anchorId="3B228003" wp14:editId="52035120">
                    <wp:simplePos x="0" y="0"/>
                    <wp:positionH relativeFrom="column">
                      <wp:posOffset>-231775</wp:posOffset>
                    </wp:positionH>
                    <wp:positionV relativeFrom="paragraph">
                      <wp:posOffset>-29210</wp:posOffset>
                    </wp:positionV>
                    <wp:extent cx="179705" cy="179705"/>
                    <wp:effectExtent l="0" t="0" r="10795" b="29845"/>
                    <wp:wrapTight wrapText="bothSides">
                      <wp:wrapPolygon edited="0">
                        <wp:start x="0" y="0"/>
                        <wp:lineTo x="0" y="20608"/>
                        <wp:lineTo x="6869" y="22898"/>
                        <wp:lineTo x="16028" y="22898"/>
                        <wp:lineTo x="20608" y="18318"/>
                        <wp:lineTo x="20608" y="0"/>
                        <wp:lineTo x="0" y="0"/>
                      </wp:wrapPolygon>
                    </wp:wrapTight>
                    <wp:docPr id="171" name="Group 1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79705" cy="179705"/>
                              <a:chOff x="141694" y="0"/>
                              <a:chExt cx="1368152" cy="1368152"/>
                            </a:xfrm>
                          </wpg:grpSpPr>
                          <wps:wsp>
                            <wps:cNvPr id="172" name="Oval 172"/>
                            <wps:cNvSpPr/>
                            <wps:spPr>
                              <a:xfrm>
                                <a:off x="141694" y="0"/>
                                <a:ext cx="1368152" cy="136815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3" name="Oval 173"/>
                            <wps:cNvSpPr/>
                            <wps:spPr>
                              <a:xfrm>
                                <a:off x="429726" y="0"/>
                                <a:ext cx="792088" cy="136815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4" name="Straight Connector 174"/>
                            <wps:cNvCnPr/>
                            <wps:spPr>
                              <a:xfrm>
                                <a:off x="825770" y="0"/>
                                <a:ext cx="0" cy="136815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5" name="Oval 175"/>
                            <wps:cNvSpPr/>
                            <wps:spPr>
                              <a:xfrm rot="5400000">
                                <a:off x="490879" y="8923"/>
                                <a:ext cx="669790" cy="1368144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D11C5D0" id="Group 171" o:spid="_x0000_s1026" style="position:absolute;margin-left:-18.25pt;margin-top:-2.3pt;width:14.15pt;height:14.15pt;z-index:-251658237;mso-width-relative:margin;mso-height-relative:margin" coordorigin="1416" coordsize="13681,1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">
                    <o:lock v:ext="edit" aspectratio="t"/>
                    <v:oval id="Oval 172" o:spid="_x0000_s1027" style="position:absolute;left:1416;width:13682;height:1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" filled="f" strokecolor="#b1f0cf" strokeweight="1pt"/>
                    <v:oval id="Oval 173" o:spid="_x0000_s1028" style="position:absolute;left:4297;width:7921;height:1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" filled="f" strokecolor="#b1f0cf" strokeweight="1pt"/>
                    <v:line id="Straight Connector 174" o:spid="_x0000_s1029" style="position:absolute;visibility:visible;mso-wrap-style:square" from="8257,0" to="8257,1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" strokecolor="#b1f0cf" strokeweight="1pt"/>
                    <v:oval id="Oval 175" o:spid="_x0000_s1030" style="position:absolute;left:4909;top:89;width:6697;height:136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" filled="f" strokecolor="#b1f0cf" strokeweight="1pt"/>
                    <w10:wrap type="tight"/>
                  </v:group>
                </w:pict>
              </mc:Fallback>
            </mc:AlternateContent>
          </w:r>
          <w:r w:rsidRPr="00C35086">
            <w:rPr>
              <w:rFonts w:asciiTheme="minorHAnsi" w:hAnsiTheme="minorHAnsi" w:cstheme="minorHAnsi"/>
              <w:bCs/>
              <w:color w:val="FFFFFF" w:themeColor="background1"/>
            </w:rPr>
            <w:t>paymenttimes.gov.au</w:t>
          </w:r>
        </w:p>
      </w:tc>
      <w:tc>
        <w:tcPr>
          <w:tcW w:w="3969" w:type="dxa"/>
          <w:shd w:val="clear" w:color="auto" w:fill="auto"/>
          <w:vAlign w:val="center"/>
        </w:tcPr>
        <w:p w14:paraId="66056194" w14:textId="77777777" w:rsidR="00F77988" w:rsidRPr="00C35086" w:rsidRDefault="00F77988" w:rsidP="00494936">
          <w:pPr>
            <w:pStyle w:val="HeaderOdd"/>
            <w:tabs>
              <w:tab w:val="left" w:pos="0"/>
              <w:tab w:val="left" w:pos="2552"/>
            </w:tabs>
            <w:jc w:val="center"/>
            <w:rPr>
              <w:rFonts w:asciiTheme="minorHAnsi" w:hAnsiTheme="minorHAnsi" w:cstheme="minorHAnsi"/>
            </w:rPr>
          </w:pPr>
          <w:r w:rsidRPr="00C35086">
            <w:rPr>
              <w:rFonts w:cstheme="minorHAnsi"/>
              <w:b/>
              <w:bCs/>
              <w:noProof/>
              <w:color w:val="FFFFFF" w:themeColor="background1"/>
            </w:rPr>
            <w:drawing>
              <wp:anchor distT="0" distB="0" distL="114300" distR="114300" simplePos="0" relativeHeight="251658242" behindDoc="1" locked="0" layoutInCell="1" allowOverlap="1" wp14:anchorId="4C42F665" wp14:editId="3FF35F53">
                <wp:simplePos x="0" y="0"/>
                <wp:positionH relativeFrom="column">
                  <wp:posOffset>360680</wp:posOffset>
                </wp:positionH>
                <wp:positionV relativeFrom="paragraph">
                  <wp:posOffset>-62865</wp:posOffset>
                </wp:positionV>
                <wp:extent cx="194310" cy="194310"/>
                <wp:effectExtent l="0" t="0" r="0" b="0"/>
                <wp:wrapThrough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hrough>
                <wp:docPr id="20" name="Graphic 20" descr="Envelope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Graphic 64" descr="Envelope with solid fil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" cy="194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35086">
            <w:rPr>
              <w:rFonts w:asciiTheme="minorHAnsi" w:hAnsiTheme="minorHAnsi" w:cstheme="minorHAnsi"/>
              <w:bCs/>
              <w:color w:val="FFFFFF" w:themeColor="background1"/>
            </w:rPr>
            <w:t>support@paymenttimes.gov.au</w:t>
          </w:r>
        </w:p>
      </w:tc>
      <w:tc>
        <w:tcPr>
          <w:tcW w:w="3260" w:type="dxa"/>
          <w:shd w:val="clear" w:color="auto" w:fill="auto"/>
          <w:vAlign w:val="center"/>
        </w:tcPr>
        <w:p w14:paraId="777D5277" w14:textId="77777777" w:rsidR="00F77988" w:rsidRPr="00C35086" w:rsidRDefault="00F77988" w:rsidP="00494936">
          <w:pPr>
            <w:pStyle w:val="HeaderOdd"/>
            <w:tabs>
              <w:tab w:val="left" w:pos="0"/>
              <w:tab w:val="left" w:pos="2269"/>
            </w:tabs>
            <w:ind w:right="31"/>
            <w:rPr>
              <w:rFonts w:asciiTheme="minorHAnsi" w:hAnsiTheme="minorHAnsi" w:cstheme="minorHAnsi"/>
            </w:rPr>
          </w:pPr>
          <w:r w:rsidRPr="00BB5F59">
            <w:rPr>
              <w:rFonts w:asciiTheme="minorHAnsi" w:hAnsiTheme="minorHAnsi" w:cstheme="minorHAnsi"/>
              <w:bCs/>
              <w:color w:val="FFFFFF" w:themeColor="background1"/>
            </w:rPr>
            <w:t>Page</w:t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t xml:space="preserve"> 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begin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instrText xml:space="preserve"> PAGE </w:instrTex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separate"/>
          </w:r>
          <w:r w:rsidRPr="00BB5F59">
            <w:rPr>
              <w:rFonts w:asciiTheme="minorHAnsi" w:hAnsiTheme="minorHAnsi" w:cstheme="minorHAnsi"/>
              <w:color w:val="FFFFFF" w:themeColor="background1"/>
              <w:sz w:val="24"/>
              <w:szCs w:val="24"/>
            </w:rPr>
            <w:t>2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end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t xml:space="preserve"> </w:t>
          </w:r>
          <w:r w:rsidRPr="00BB5F59">
            <w:rPr>
              <w:rFonts w:asciiTheme="minorHAnsi" w:hAnsiTheme="minorHAnsi" w:cstheme="minorHAnsi"/>
              <w:bCs/>
              <w:color w:val="FFFFFF" w:themeColor="background1"/>
            </w:rPr>
            <w:t xml:space="preserve">of </w:t>
          </w:r>
          <w:r w:rsidRPr="00BB5F59">
            <w:rPr>
              <w:rFonts w:cstheme="minorHAnsi"/>
              <w:color w:val="FFFFFF" w:themeColor="background1"/>
            </w:rPr>
            <w:fldChar w:fldCharType="begin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instrText xml:space="preserve"> NUMPAGES  </w:instrText>
          </w:r>
          <w:r w:rsidRPr="00BB5F59">
            <w:rPr>
              <w:rFonts w:cstheme="minorHAnsi"/>
              <w:color w:val="FFFFFF" w:themeColor="background1"/>
            </w:rPr>
            <w:fldChar w:fldCharType="separate"/>
          </w:r>
          <w:r w:rsidRPr="00BB5F59">
            <w:rPr>
              <w:rFonts w:asciiTheme="minorHAnsi" w:hAnsiTheme="minorHAnsi" w:cstheme="minorHAnsi"/>
              <w:color w:val="FFFFFF" w:themeColor="background1"/>
              <w:sz w:val="24"/>
              <w:szCs w:val="24"/>
            </w:rPr>
            <w:t>7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end"/>
          </w:r>
        </w:p>
      </w:tc>
    </w:tr>
  </w:tbl>
  <w:p w14:paraId="0A5D5F6D" w14:textId="461295A2" w:rsidR="00F77988" w:rsidRPr="00F60198" w:rsidRDefault="00F77988" w:rsidP="00F60198">
    <w:pPr>
      <w:pStyle w:val="FooterOdd"/>
    </w:pPr>
    <w:r w:rsidRPr="009B5922">
      <w:rPr>
        <w:noProof/>
        <w:color w:val="FFFFFF" w:themeColor="background1"/>
      </w:rPr>
      <w:drawing>
        <wp:anchor distT="0" distB="0" distL="114300" distR="114300" simplePos="0" relativeHeight="251658249" behindDoc="1" locked="0" layoutInCell="1" allowOverlap="1" wp14:anchorId="542883A7" wp14:editId="0D6E7E89">
          <wp:simplePos x="0" y="0"/>
          <wp:positionH relativeFrom="page">
            <wp:posOffset>10795</wp:posOffset>
          </wp:positionH>
          <wp:positionV relativeFrom="paragraph">
            <wp:posOffset>-519743</wp:posOffset>
          </wp:positionV>
          <wp:extent cx="7543800" cy="890270"/>
          <wp:effectExtent l="0" t="0" r="0" b="508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777" w:type="dxa"/>
      <w:tblLook w:val="04A0" w:firstRow="1" w:lastRow="0" w:firstColumn="1" w:lastColumn="0" w:noHBand="0" w:noVBand="1"/>
    </w:tblPr>
    <w:tblGrid>
      <w:gridCol w:w="3403"/>
      <w:gridCol w:w="3969"/>
      <w:gridCol w:w="3260"/>
    </w:tblGrid>
    <w:tr w:rsidR="00070A0B" w:rsidRPr="00C35086" w14:paraId="29B8C742" w14:textId="77777777" w:rsidTr="00070A0B">
      <w:trPr>
        <w:trHeight w:val="574"/>
      </w:trPr>
      <w:tc>
        <w:tcPr>
          <w:tcW w:w="3403" w:type="dxa"/>
          <w:shd w:val="clear" w:color="auto" w:fill="auto"/>
          <w:vAlign w:val="center"/>
        </w:tcPr>
        <w:p w14:paraId="12AB6332" w14:textId="370AA950" w:rsidR="00070A0B" w:rsidRPr="00C35086" w:rsidRDefault="00070A0B" w:rsidP="00494936">
          <w:pPr>
            <w:pStyle w:val="HeaderOdd"/>
            <w:tabs>
              <w:tab w:val="left" w:pos="0"/>
              <w:tab w:val="left" w:pos="2552"/>
            </w:tabs>
            <w:jc w:val="left"/>
            <w:rPr>
              <w:rFonts w:asciiTheme="minorHAnsi" w:hAnsiTheme="minorHAnsi" w:cstheme="minorHAnsi"/>
              <w:b/>
              <w:bCs/>
            </w:rPr>
          </w:pPr>
          <w:r>
            <w:rPr>
              <w:rFonts w:cstheme="minorHAnsi"/>
              <w:b/>
              <w:bCs/>
              <w:noProof/>
              <w:color w:val="FFFFFF" w:themeColor="background1"/>
            </w:rPr>
            <mc:AlternateContent>
              <mc:Choice Requires="wpg">
                <w:drawing>
                  <wp:anchor distT="0" distB="0" distL="114300" distR="114300" simplePos="0" relativeHeight="251658251" behindDoc="1" locked="0" layoutInCell="1" allowOverlap="1" wp14:anchorId="77C41F5F" wp14:editId="39F4891E">
                    <wp:simplePos x="0" y="0"/>
                    <wp:positionH relativeFrom="column">
                      <wp:posOffset>-231775</wp:posOffset>
                    </wp:positionH>
                    <wp:positionV relativeFrom="paragraph">
                      <wp:posOffset>-29210</wp:posOffset>
                    </wp:positionV>
                    <wp:extent cx="179705" cy="179705"/>
                    <wp:effectExtent l="0" t="0" r="10795" b="29845"/>
                    <wp:wrapTight wrapText="bothSides">
                      <wp:wrapPolygon edited="0">
                        <wp:start x="0" y="0"/>
                        <wp:lineTo x="0" y="20608"/>
                        <wp:lineTo x="6869" y="22898"/>
                        <wp:lineTo x="16028" y="22898"/>
                        <wp:lineTo x="20608" y="18318"/>
                        <wp:lineTo x="20608" y="0"/>
                        <wp:lineTo x="0" y="0"/>
                      </wp:wrapPolygon>
                    </wp:wrapTight>
                    <wp:docPr id="261" name="Group 26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79705" cy="179705"/>
                              <a:chOff x="141694" y="0"/>
                              <a:chExt cx="1368152" cy="1368152"/>
                            </a:xfrm>
                          </wpg:grpSpPr>
                          <wps:wsp>
                            <wps:cNvPr id="262" name="Oval 262"/>
                            <wps:cNvSpPr/>
                            <wps:spPr>
                              <a:xfrm>
                                <a:off x="141694" y="0"/>
                                <a:ext cx="1368152" cy="136815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9" name="Oval 269"/>
                            <wps:cNvSpPr/>
                            <wps:spPr>
                              <a:xfrm>
                                <a:off x="429726" y="0"/>
                                <a:ext cx="792088" cy="136815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70" name="Straight Connector 270"/>
                            <wps:cNvCnPr/>
                            <wps:spPr>
                              <a:xfrm>
                                <a:off x="825770" y="0"/>
                                <a:ext cx="0" cy="136815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1" name="Oval 271"/>
                            <wps:cNvSpPr/>
                            <wps:spPr>
                              <a:xfrm rot="5400000">
                                <a:off x="490879" y="8923"/>
                                <a:ext cx="669790" cy="1368144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06EB87F" id="Group 261" o:spid="_x0000_s1026" style="position:absolute;margin-left:-18.25pt;margin-top:-2.3pt;width:14.15pt;height:14.15pt;z-index:-251658229;mso-width-relative:margin;mso-height-relative:margin" coordorigin="1416" coordsize="13681,1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">
                    <o:lock v:ext="edit" aspectratio="t"/>
                    <v:oval id="Oval 262" o:spid="_x0000_s1027" style="position:absolute;left:1416;width:13682;height:1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" filled="f" strokecolor="#b1f0cf" strokeweight="1pt"/>
                    <v:oval id="Oval 269" o:spid="_x0000_s1028" style="position:absolute;left:4297;width:7921;height:1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" filled="f" strokecolor="#b1f0cf" strokeweight="1pt"/>
                    <v:line id="Straight Connector 270" o:spid="_x0000_s1029" style="position:absolute;visibility:visible;mso-wrap-style:square" from="8257,0" to="8257,1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" strokecolor="#b1f0cf" strokeweight="1pt"/>
                    <v:oval id="Oval 271" o:spid="_x0000_s1030" style="position:absolute;left:4909;top:89;width:6697;height:136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" filled="f" strokecolor="#b1f0cf" strokeweight="1pt"/>
                    <w10:wrap type="tight"/>
                  </v:group>
                </w:pict>
              </mc:Fallback>
            </mc:AlternateContent>
          </w:r>
          <w:r w:rsidRPr="00C35086">
            <w:rPr>
              <w:rFonts w:asciiTheme="minorHAnsi" w:hAnsiTheme="minorHAnsi" w:cstheme="minorHAnsi"/>
              <w:bCs/>
              <w:color w:val="FFFFFF" w:themeColor="background1"/>
            </w:rPr>
            <w:t>paymenttimes.gov.au</w:t>
          </w:r>
        </w:p>
      </w:tc>
      <w:tc>
        <w:tcPr>
          <w:tcW w:w="3969" w:type="dxa"/>
          <w:shd w:val="clear" w:color="auto" w:fill="auto"/>
          <w:vAlign w:val="center"/>
        </w:tcPr>
        <w:p w14:paraId="54093959" w14:textId="77777777" w:rsidR="00070A0B" w:rsidRPr="00C35086" w:rsidRDefault="00070A0B" w:rsidP="00494936">
          <w:pPr>
            <w:pStyle w:val="HeaderOdd"/>
            <w:tabs>
              <w:tab w:val="left" w:pos="0"/>
              <w:tab w:val="left" w:pos="2552"/>
            </w:tabs>
            <w:jc w:val="center"/>
            <w:rPr>
              <w:rFonts w:asciiTheme="minorHAnsi" w:hAnsiTheme="minorHAnsi" w:cstheme="minorHAnsi"/>
            </w:rPr>
          </w:pPr>
          <w:r w:rsidRPr="00C35086">
            <w:rPr>
              <w:rFonts w:cstheme="minorHAnsi"/>
              <w:b/>
              <w:bCs/>
              <w:noProof/>
              <w:color w:val="FFFFFF" w:themeColor="background1"/>
            </w:rPr>
            <w:drawing>
              <wp:anchor distT="0" distB="0" distL="114300" distR="114300" simplePos="0" relativeHeight="251658250" behindDoc="1" locked="0" layoutInCell="1" allowOverlap="1" wp14:anchorId="753D2108" wp14:editId="452927A4">
                <wp:simplePos x="0" y="0"/>
                <wp:positionH relativeFrom="column">
                  <wp:posOffset>360680</wp:posOffset>
                </wp:positionH>
                <wp:positionV relativeFrom="paragraph">
                  <wp:posOffset>-62865</wp:posOffset>
                </wp:positionV>
                <wp:extent cx="194310" cy="194310"/>
                <wp:effectExtent l="0" t="0" r="0" b="0"/>
                <wp:wrapThrough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hrough>
                <wp:docPr id="22" name="Graphic 22" descr="Envelope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Graphic 64" descr="Envelope with solid fil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" cy="194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35086">
            <w:rPr>
              <w:rFonts w:asciiTheme="minorHAnsi" w:hAnsiTheme="minorHAnsi" w:cstheme="minorHAnsi"/>
              <w:bCs/>
              <w:color w:val="FFFFFF" w:themeColor="background1"/>
            </w:rPr>
            <w:t>support@paymenttimes.gov.au</w:t>
          </w:r>
        </w:p>
      </w:tc>
      <w:tc>
        <w:tcPr>
          <w:tcW w:w="3260" w:type="dxa"/>
          <w:shd w:val="clear" w:color="auto" w:fill="auto"/>
          <w:vAlign w:val="center"/>
        </w:tcPr>
        <w:p w14:paraId="00E9F06A" w14:textId="77777777" w:rsidR="00070A0B" w:rsidRPr="00C35086" w:rsidRDefault="00070A0B" w:rsidP="00494936">
          <w:pPr>
            <w:pStyle w:val="HeaderOdd"/>
            <w:tabs>
              <w:tab w:val="left" w:pos="0"/>
              <w:tab w:val="left" w:pos="2269"/>
            </w:tabs>
            <w:ind w:right="31"/>
            <w:rPr>
              <w:rFonts w:asciiTheme="minorHAnsi" w:hAnsiTheme="minorHAnsi" w:cstheme="minorHAnsi"/>
            </w:rPr>
          </w:pPr>
          <w:r w:rsidRPr="00BB5F59">
            <w:rPr>
              <w:rFonts w:asciiTheme="minorHAnsi" w:hAnsiTheme="minorHAnsi" w:cstheme="minorHAnsi"/>
              <w:bCs/>
              <w:color w:val="FFFFFF" w:themeColor="background1"/>
            </w:rPr>
            <w:t>Page</w:t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t xml:space="preserve"> 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begin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instrText xml:space="preserve"> PAGE </w:instrTex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separate"/>
          </w:r>
          <w:r w:rsidRPr="00BB5F59">
            <w:rPr>
              <w:rFonts w:asciiTheme="minorHAnsi" w:hAnsiTheme="minorHAnsi" w:cstheme="minorHAnsi"/>
              <w:color w:val="FFFFFF" w:themeColor="background1"/>
              <w:sz w:val="24"/>
              <w:szCs w:val="24"/>
            </w:rPr>
            <w:t>2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end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t xml:space="preserve"> </w:t>
          </w:r>
          <w:r w:rsidRPr="00BB5F59">
            <w:rPr>
              <w:rFonts w:asciiTheme="minorHAnsi" w:hAnsiTheme="minorHAnsi" w:cstheme="minorHAnsi"/>
              <w:bCs/>
              <w:color w:val="FFFFFF" w:themeColor="background1"/>
            </w:rPr>
            <w:t xml:space="preserve">of </w:t>
          </w:r>
          <w:r w:rsidRPr="00BB5F59">
            <w:rPr>
              <w:rFonts w:cstheme="minorHAnsi"/>
              <w:color w:val="FFFFFF" w:themeColor="background1"/>
            </w:rPr>
            <w:fldChar w:fldCharType="begin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instrText xml:space="preserve"> NUMPAGES  </w:instrText>
          </w:r>
          <w:r w:rsidRPr="00BB5F59">
            <w:rPr>
              <w:rFonts w:cstheme="minorHAnsi"/>
              <w:color w:val="FFFFFF" w:themeColor="background1"/>
            </w:rPr>
            <w:fldChar w:fldCharType="separate"/>
          </w:r>
          <w:r w:rsidRPr="00BB5F59">
            <w:rPr>
              <w:rFonts w:asciiTheme="minorHAnsi" w:hAnsiTheme="minorHAnsi" w:cstheme="minorHAnsi"/>
              <w:color w:val="FFFFFF" w:themeColor="background1"/>
              <w:sz w:val="24"/>
              <w:szCs w:val="24"/>
            </w:rPr>
            <w:t>7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end"/>
          </w:r>
        </w:p>
      </w:tc>
    </w:tr>
  </w:tbl>
  <w:p w14:paraId="30C10406" w14:textId="77777777" w:rsidR="00070A0B" w:rsidRPr="00F60198" w:rsidRDefault="00070A0B" w:rsidP="00F60198">
    <w:pPr>
      <w:pStyle w:val="FooterOdd"/>
    </w:pPr>
    <w:r w:rsidRPr="009B5922">
      <w:rPr>
        <w:noProof/>
        <w:color w:val="FFFFFF" w:themeColor="background1"/>
      </w:rPr>
      <w:drawing>
        <wp:anchor distT="0" distB="0" distL="114300" distR="114300" simplePos="0" relativeHeight="251658252" behindDoc="1" locked="0" layoutInCell="1" allowOverlap="1" wp14:anchorId="56E2A29B" wp14:editId="4F8500F4">
          <wp:simplePos x="0" y="0"/>
          <wp:positionH relativeFrom="page">
            <wp:posOffset>10795</wp:posOffset>
          </wp:positionH>
          <wp:positionV relativeFrom="paragraph">
            <wp:posOffset>-519743</wp:posOffset>
          </wp:positionV>
          <wp:extent cx="7543800" cy="890270"/>
          <wp:effectExtent l="0" t="0" r="0" b="508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851" w:type="dxa"/>
      <w:tblLook w:val="04A0" w:firstRow="1" w:lastRow="0" w:firstColumn="1" w:lastColumn="0" w:noHBand="0" w:noVBand="1"/>
    </w:tblPr>
    <w:tblGrid>
      <w:gridCol w:w="3403"/>
      <w:gridCol w:w="3969"/>
      <w:gridCol w:w="3260"/>
    </w:tblGrid>
    <w:tr w:rsidR="00267767" w:rsidRPr="00C35086" w14:paraId="2BE9688D" w14:textId="77777777" w:rsidTr="00444EB8">
      <w:trPr>
        <w:trHeight w:val="574"/>
      </w:trPr>
      <w:tc>
        <w:tcPr>
          <w:tcW w:w="3403" w:type="dxa"/>
          <w:shd w:val="clear" w:color="auto" w:fill="auto"/>
          <w:vAlign w:val="center"/>
        </w:tcPr>
        <w:p w14:paraId="151B4761" w14:textId="77777777" w:rsidR="00267767" w:rsidRPr="00C35086" w:rsidRDefault="00267767" w:rsidP="00494936">
          <w:pPr>
            <w:pStyle w:val="HeaderOdd"/>
            <w:tabs>
              <w:tab w:val="left" w:pos="0"/>
              <w:tab w:val="left" w:pos="2552"/>
            </w:tabs>
            <w:jc w:val="left"/>
            <w:rPr>
              <w:rFonts w:asciiTheme="minorHAnsi" w:hAnsiTheme="minorHAnsi" w:cstheme="minorHAnsi"/>
              <w:b/>
              <w:bCs/>
            </w:rPr>
          </w:pPr>
          <w:r>
            <w:rPr>
              <w:rFonts w:cstheme="minorHAnsi"/>
              <w:b/>
              <w:bCs/>
              <w:noProof/>
              <w:color w:val="FFFFFF" w:themeColor="background1"/>
            </w:rPr>
            <mc:AlternateContent>
              <mc:Choice Requires="wpg">
                <w:drawing>
                  <wp:anchor distT="0" distB="0" distL="114300" distR="114300" simplePos="0" relativeHeight="251658255" behindDoc="1" locked="0" layoutInCell="1" allowOverlap="1" wp14:anchorId="19B9E070" wp14:editId="0AE3E4B5">
                    <wp:simplePos x="0" y="0"/>
                    <wp:positionH relativeFrom="column">
                      <wp:posOffset>-231775</wp:posOffset>
                    </wp:positionH>
                    <wp:positionV relativeFrom="paragraph">
                      <wp:posOffset>-29210</wp:posOffset>
                    </wp:positionV>
                    <wp:extent cx="179705" cy="179705"/>
                    <wp:effectExtent l="0" t="0" r="10795" b="29845"/>
                    <wp:wrapTight wrapText="bothSides">
                      <wp:wrapPolygon edited="0">
                        <wp:start x="0" y="0"/>
                        <wp:lineTo x="0" y="20608"/>
                        <wp:lineTo x="6869" y="22898"/>
                        <wp:lineTo x="16028" y="22898"/>
                        <wp:lineTo x="20608" y="18318"/>
                        <wp:lineTo x="20608" y="0"/>
                        <wp:lineTo x="0" y="0"/>
                      </wp:wrapPolygon>
                    </wp:wrapTight>
                    <wp:docPr id="136" name="Group 13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79705" cy="179705"/>
                              <a:chOff x="141694" y="0"/>
                              <a:chExt cx="1368152" cy="1368152"/>
                            </a:xfrm>
                          </wpg:grpSpPr>
                          <wps:wsp>
                            <wps:cNvPr id="137" name="Oval 137"/>
                            <wps:cNvSpPr/>
                            <wps:spPr>
                              <a:xfrm>
                                <a:off x="141694" y="0"/>
                                <a:ext cx="1368152" cy="136815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8" name="Oval 138"/>
                            <wps:cNvSpPr/>
                            <wps:spPr>
                              <a:xfrm>
                                <a:off x="429726" y="0"/>
                                <a:ext cx="792088" cy="136815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9" name="Straight Connector 139"/>
                            <wps:cNvCnPr/>
                            <wps:spPr>
                              <a:xfrm>
                                <a:off x="825770" y="0"/>
                                <a:ext cx="0" cy="136815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" name="Oval 140"/>
                            <wps:cNvSpPr/>
                            <wps:spPr>
                              <a:xfrm rot="5400000">
                                <a:off x="490879" y="8923"/>
                                <a:ext cx="669790" cy="1368144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8CE7FDB" id="Group 136" o:spid="_x0000_s1026" style="position:absolute;margin-left:-18.25pt;margin-top:-2.3pt;width:14.15pt;height:14.15pt;z-index:-251658225;mso-width-relative:margin;mso-height-relative:margin" coordorigin="1416" coordsize="13681,1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">
                    <o:lock v:ext="edit" aspectratio="t"/>
                    <v:oval id="Oval 137" o:spid="_x0000_s1027" style="position:absolute;left:1416;width:13682;height:1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" filled="f" strokecolor="#b1f0cf" strokeweight="1pt"/>
                    <v:oval id="Oval 138" o:spid="_x0000_s1028" style="position:absolute;left:4297;width:7921;height:1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" filled="f" strokecolor="#b1f0cf" strokeweight="1pt"/>
                    <v:line id="Straight Connector 139" o:spid="_x0000_s1029" style="position:absolute;visibility:visible;mso-wrap-style:square" from="8257,0" to="8257,1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" strokecolor="#b1f0cf" strokeweight="1pt"/>
                    <v:oval id="Oval 140" o:spid="_x0000_s1030" style="position:absolute;left:4909;top:89;width:6697;height:136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" filled="f" strokecolor="#b1f0cf" strokeweight="1pt"/>
                    <w10:wrap type="tight"/>
                  </v:group>
                </w:pict>
              </mc:Fallback>
            </mc:AlternateContent>
          </w:r>
          <w:r w:rsidRPr="00C35086">
            <w:rPr>
              <w:rFonts w:asciiTheme="minorHAnsi" w:hAnsiTheme="minorHAnsi" w:cstheme="minorHAnsi"/>
              <w:bCs/>
              <w:color w:val="FFFFFF" w:themeColor="background1"/>
            </w:rPr>
            <w:t>paymenttimes.gov.au</w:t>
          </w:r>
        </w:p>
      </w:tc>
      <w:tc>
        <w:tcPr>
          <w:tcW w:w="3969" w:type="dxa"/>
          <w:shd w:val="clear" w:color="auto" w:fill="auto"/>
          <w:vAlign w:val="center"/>
        </w:tcPr>
        <w:p w14:paraId="528E156D" w14:textId="77777777" w:rsidR="00267767" w:rsidRPr="00C35086" w:rsidRDefault="00267767" w:rsidP="00494936">
          <w:pPr>
            <w:pStyle w:val="HeaderOdd"/>
            <w:tabs>
              <w:tab w:val="left" w:pos="0"/>
              <w:tab w:val="left" w:pos="2552"/>
            </w:tabs>
            <w:jc w:val="center"/>
            <w:rPr>
              <w:rFonts w:asciiTheme="minorHAnsi" w:hAnsiTheme="minorHAnsi" w:cstheme="minorHAnsi"/>
            </w:rPr>
          </w:pPr>
          <w:r w:rsidRPr="00C35086">
            <w:rPr>
              <w:rFonts w:cstheme="minorHAnsi"/>
              <w:b/>
              <w:bCs/>
              <w:noProof/>
              <w:color w:val="FFFFFF" w:themeColor="background1"/>
            </w:rPr>
            <w:drawing>
              <wp:anchor distT="0" distB="0" distL="114300" distR="114300" simplePos="0" relativeHeight="251658254" behindDoc="1" locked="0" layoutInCell="1" allowOverlap="1" wp14:anchorId="63C9BA2F" wp14:editId="4CF89363">
                <wp:simplePos x="0" y="0"/>
                <wp:positionH relativeFrom="column">
                  <wp:posOffset>360680</wp:posOffset>
                </wp:positionH>
                <wp:positionV relativeFrom="paragraph">
                  <wp:posOffset>-62865</wp:posOffset>
                </wp:positionV>
                <wp:extent cx="194310" cy="194310"/>
                <wp:effectExtent l="0" t="0" r="0" b="0"/>
                <wp:wrapThrough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hrough>
                <wp:docPr id="9" name="Graphic 9" descr="Envelope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Graphic 64" descr="Envelope with solid fil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" cy="194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35086">
            <w:rPr>
              <w:rFonts w:asciiTheme="minorHAnsi" w:hAnsiTheme="minorHAnsi" w:cstheme="minorHAnsi"/>
              <w:bCs/>
              <w:color w:val="FFFFFF" w:themeColor="background1"/>
            </w:rPr>
            <w:t>support@paymenttimes.gov.au</w:t>
          </w:r>
        </w:p>
      </w:tc>
      <w:tc>
        <w:tcPr>
          <w:tcW w:w="3260" w:type="dxa"/>
          <w:shd w:val="clear" w:color="auto" w:fill="auto"/>
          <w:vAlign w:val="center"/>
        </w:tcPr>
        <w:p w14:paraId="2FD8D17D" w14:textId="77777777" w:rsidR="00267767" w:rsidRPr="00C35086" w:rsidRDefault="00267767" w:rsidP="00494936">
          <w:pPr>
            <w:pStyle w:val="HeaderOdd"/>
            <w:tabs>
              <w:tab w:val="left" w:pos="0"/>
              <w:tab w:val="left" w:pos="2269"/>
            </w:tabs>
            <w:ind w:right="31"/>
            <w:rPr>
              <w:rFonts w:asciiTheme="minorHAnsi" w:hAnsiTheme="minorHAnsi" w:cstheme="minorHAnsi"/>
            </w:rPr>
          </w:pPr>
          <w:r w:rsidRPr="00BB5F59">
            <w:rPr>
              <w:rFonts w:asciiTheme="minorHAnsi" w:hAnsiTheme="minorHAnsi" w:cstheme="minorHAnsi"/>
              <w:bCs/>
              <w:color w:val="FFFFFF" w:themeColor="background1"/>
            </w:rPr>
            <w:t>Page</w:t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t xml:space="preserve"> 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begin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instrText xml:space="preserve"> PAGE </w:instrTex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separate"/>
          </w:r>
          <w:r w:rsidRPr="00BB5F59">
            <w:rPr>
              <w:rFonts w:asciiTheme="minorHAnsi" w:hAnsiTheme="minorHAnsi" w:cstheme="minorHAnsi"/>
              <w:color w:val="FFFFFF" w:themeColor="background1"/>
              <w:sz w:val="24"/>
              <w:szCs w:val="24"/>
            </w:rPr>
            <w:t>2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end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t xml:space="preserve"> </w:t>
          </w:r>
          <w:r w:rsidRPr="00BB5F59">
            <w:rPr>
              <w:rFonts w:asciiTheme="minorHAnsi" w:hAnsiTheme="minorHAnsi" w:cstheme="minorHAnsi"/>
              <w:bCs/>
              <w:color w:val="FFFFFF" w:themeColor="background1"/>
            </w:rPr>
            <w:t xml:space="preserve">of </w:t>
          </w:r>
          <w:r w:rsidRPr="00BB5F59">
            <w:rPr>
              <w:rFonts w:cstheme="minorHAnsi"/>
              <w:color w:val="FFFFFF" w:themeColor="background1"/>
            </w:rPr>
            <w:fldChar w:fldCharType="begin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instrText xml:space="preserve"> NUMPAGES  </w:instrText>
          </w:r>
          <w:r w:rsidRPr="00BB5F59">
            <w:rPr>
              <w:rFonts w:cstheme="minorHAnsi"/>
              <w:color w:val="FFFFFF" w:themeColor="background1"/>
            </w:rPr>
            <w:fldChar w:fldCharType="separate"/>
          </w:r>
          <w:r w:rsidRPr="00BB5F59">
            <w:rPr>
              <w:rFonts w:asciiTheme="minorHAnsi" w:hAnsiTheme="minorHAnsi" w:cstheme="minorHAnsi"/>
              <w:color w:val="FFFFFF" w:themeColor="background1"/>
              <w:sz w:val="24"/>
              <w:szCs w:val="24"/>
            </w:rPr>
            <w:t>7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end"/>
          </w:r>
        </w:p>
      </w:tc>
    </w:tr>
  </w:tbl>
  <w:p w14:paraId="345CAF48" w14:textId="77777777" w:rsidR="00267767" w:rsidRPr="00494936" w:rsidRDefault="00267767" w:rsidP="00494936">
    <w:pPr>
      <w:pStyle w:val="Footer"/>
    </w:pPr>
    <w:r w:rsidRPr="009B5922">
      <w:rPr>
        <w:noProof/>
        <w:color w:val="FFFFFF" w:themeColor="background1"/>
      </w:rPr>
      <w:drawing>
        <wp:anchor distT="0" distB="0" distL="114300" distR="114300" simplePos="0" relativeHeight="251658253" behindDoc="1" locked="0" layoutInCell="1" allowOverlap="1" wp14:anchorId="773B0F88" wp14:editId="2FCFDB0E">
          <wp:simplePos x="0" y="0"/>
          <wp:positionH relativeFrom="page">
            <wp:posOffset>0</wp:posOffset>
          </wp:positionH>
          <wp:positionV relativeFrom="paragraph">
            <wp:posOffset>-519126</wp:posOffset>
          </wp:positionV>
          <wp:extent cx="7543800" cy="890270"/>
          <wp:effectExtent l="0" t="0" r="0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773" w:type="dxa"/>
      <w:tblLook w:val="04A0" w:firstRow="1" w:lastRow="0" w:firstColumn="1" w:lastColumn="0" w:noHBand="0" w:noVBand="1"/>
    </w:tblPr>
    <w:tblGrid>
      <w:gridCol w:w="3403"/>
      <w:gridCol w:w="3969"/>
      <w:gridCol w:w="3260"/>
    </w:tblGrid>
    <w:tr w:rsidR="00267767" w:rsidRPr="00C35086" w14:paraId="71E74B97" w14:textId="77777777" w:rsidTr="0042640E">
      <w:trPr>
        <w:trHeight w:val="574"/>
      </w:trPr>
      <w:tc>
        <w:tcPr>
          <w:tcW w:w="3403" w:type="dxa"/>
          <w:shd w:val="clear" w:color="auto" w:fill="auto"/>
          <w:vAlign w:val="center"/>
        </w:tcPr>
        <w:p w14:paraId="0EFF514E" w14:textId="5D905D6E" w:rsidR="00267767" w:rsidRPr="00C35086" w:rsidRDefault="00267767" w:rsidP="00494936">
          <w:pPr>
            <w:pStyle w:val="HeaderOdd"/>
            <w:tabs>
              <w:tab w:val="left" w:pos="0"/>
              <w:tab w:val="left" w:pos="2552"/>
            </w:tabs>
            <w:jc w:val="left"/>
            <w:rPr>
              <w:rFonts w:asciiTheme="minorHAnsi" w:hAnsiTheme="minorHAnsi" w:cstheme="minorHAnsi"/>
              <w:b/>
              <w:bCs/>
            </w:rPr>
          </w:pPr>
          <w:r>
            <w:rPr>
              <w:rFonts w:cstheme="minorHAnsi"/>
              <w:b/>
              <w:bCs/>
              <w:noProof/>
              <w:color w:val="FFFFFF" w:themeColor="background1"/>
            </w:rPr>
            <mc:AlternateContent>
              <mc:Choice Requires="wpg">
                <w:drawing>
                  <wp:anchor distT="0" distB="0" distL="114300" distR="114300" simplePos="0" relativeHeight="251658259" behindDoc="1" locked="0" layoutInCell="1" allowOverlap="1" wp14:anchorId="54136B4C" wp14:editId="080819D4">
                    <wp:simplePos x="0" y="0"/>
                    <wp:positionH relativeFrom="column">
                      <wp:posOffset>-231775</wp:posOffset>
                    </wp:positionH>
                    <wp:positionV relativeFrom="paragraph">
                      <wp:posOffset>-29210</wp:posOffset>
                    </wp:positionV>
                    <wp:extent cx="179705" cy="179705"/>
                    <wp:effectExtent l="0" t="0" r="10795" b="29845"/>
                    <wp:wrapTight wrapText="bothSides">
                      <wp:wrapPolygon edited="0">
                        <wp:start x="0" y="0"/>
                        <wp:lineTo x="0" y="20608"/>
                        <wp:lineTo x="6869" y="22898"/>
                        <wp:lineTo x="16028" y="22898"/>
                        <wp:lineTo x="20608" y="18318"/>
                        <wp:lineTo x="20608" y="0"/>
                        <wp:lineTo x="0" y="0"/>
                      </wp:wrapPolygon>
                    </wp:wrapTight>
                    <wp:docPr id="162" name="Group 16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79705" cy="179705"/>
                              <a:chOff x="141694" y="0"/>
                              <a:chExt cx="1368152" cy="1368152"/>
                            </a:xfrm>
                          </wpg:grpSpPr>
                          <wps:wsp>
                            <wps:cNvPr id="163" name="Oval 163"/>
                            <wps:cNvSpPr/>
                            <wps:spPr>
                              <a:xfrm>
                                <a:off x="141694" y="0"/>
                                <a:ext cx="1368152" cy="136815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4" name="Oval 164"/>
                            <wps:cNvSpPr/>
                            <wps:spPr>
                              <a:xfrm>
                                <a:off x="429726" y="0"/>
                                <a:ext cx="792088" cy="136815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5" name="Straight Connector 165"/>
                            <wps:cNvCnPr/>
                            <wps:spPr>
                              <a:xfrm>
                                <a:off x="825770" y="0"/>
                                <a:ext cx="0" cy="136815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6" name="Oval 166"/>
                            <wps:cNvSpPr/>
                            <wps:spPr>
                              <a:xfrm rot="5400000">
                                <a:off x="490879" y="8923"/>
                                <a:ext cx="669790" cy="1368144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B1F0C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49688F7" id="Group 162" o:spid="_x0000_s1026" style="position:absolute;margin-left:-18.25pt;margin-top:-2.3pt;width:14.15pt;height:14.15pt;z-index:-251658221;mso-width-relative:margin;mso-height-relative:margin" coordorigin="1416" coordsize="13681,1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">
                    <o:lock v:ext="edit" aspectratio="t"/>
                    <v:oval id="Oval 163" o:spid="_x0000_s1027" style="position:absolute;left:1416;width:13682;height:1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" filled="f" strokecolor="#b1f0cf" strokeweight="1pt"/>
                    <v:oval id="Oval 164" o:spid="_x0000_s1028" style="position:absolute;left:4297;width:7921;height:1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" filled="f" strokecolor="#b1f0cf" strokeweight="1pt"/>
                    <v:line id="Straight Connector 165" o:spid="_x0000_s1029" style="position:absolute;visibility:visible;mso-wrap-style:square" from="8257,0" to="8257,1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" strokecolor="#b1f0cf" strokeweight="1pt"/>
                    <v:oval id="Oval 166" o:spid="_x0000_s1030" style="position:absolute;left:4909;top:89;width:6697;height:136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" filled="f" strokecolor="#b1f0cf" strokeweight="1pt"/>
                    <w10:wrap type="tight"/>
                  </v:group>
                </w:pict>
              </mc:Fallback>
            </mc:AlternateContent>
          </w:r>
          <w:r w:rsidRPr="00C35086">
            <w:rPr>
              <w:rFonts w:asciiTheme="minorHAnsi" w:hAnsiTheme="minorHAnsi" w:cstheme="minorHAnsi"/>
              <w:bCs/>
              <w:color w:val="FFFFFF" w:themeColor="background1"/>
            </w:rPr>
            <w:t>paymenttimes.gov.au</w:t>
          </w:r>
        </w:p>
      </w:tc>
      <w:tc>
        <w:tcPr>
          <w:tcW w:w="3969" w:type="dxa"/>
          <w:shd w:val="clear" w:color="auto" w:fill="auto"/>
          <w:vAlign w:val="center"/>
        </w:tcPr>
        <w:p w14:paraId="73DED561" w14:textId="77777777" w:rsidR="00267767" w:rsidRPr="00C35086" w:rsidRDefault="00267767" w:rsidP="00494936">
          <w:pPr>
            <w:pStyle w:val="HeaderOdd"/>
            <w:tabs>
              <w:tab w:val="left" w:pos="0"/>
              <w:tab w:val="left" w:pos="2552"/>
            </w:tabs>
            <w:jc w:val="center"/>
            <w:rPr>
              <w:rFonts w:asciiTheme="minorHAnsi" w:hAnsiTheme="minorHAnsi" w:cstheme="minorHAnsi"/>
            </w:rPr>
          </w:pPr>
          <w:r w:rsidRPr="00C35086">
            <w:rPr>
              <w:rFonts w:cstheme="minorHAnsi"/>
              <w:b/>
              <w:bCs/>
              <w:noProof/>
              <w:color w:val="FFFFFF" w:themeColor="background1"/>
            </w:rPr>
            <w:drawing>
              <wp:anchor distT="0" distB="0" distL="114300" distR="114300" simplePos="0" relativeHeight="251658258" behindDoc="1" locked="0" layoutInCell="1" allowOverlap="1" wp14:anchorId="39D39DFA" wp14:editId="06604FFF">
                <wp:simplePos x="0" y="0"/>
                <wp:positionH relativeFrom="column">
                  <wp:posOffset>360680</wp:posOffset>
                </wp:positionH>
                <wp:positionV relativeFrom="paragraph">
                  <wp:posOffset>-62865</wp:posOffset>
                </wp:positionV>
                <wp:extent cx="194310" cy="194310"/>
                <wp:effectExtent l="0" t="0" r="0" b="0"/>
                <wp:wrapThrough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hrough>
                <wp:docPr id="11" name="Graphic 11" descr="Envelope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Graphic 64" descr="Envelope with solid fil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" cy="194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35086">
            <w:rPr>
              <w:rFonts w:asciiTheme="minorHAnsi" w:hAnsiTheme="minorHAnsi" w:cstheme="minorHAnsi"/>
              <w:bCs/>
              <w:color w:val="FFFFFF" w:themeColor="background1"/>
            </w:rPr>
            <w:t>support@paymenttimes.gov.au</w:t>
          </w:r>
        </w:p>
      </w:tc>
      <w:tc>
        <w:tcPr>
          <w:tcW w:w="3260" w:type="dxa"/>
          <w:shd w:val="clear" w:color="auto" w:fill="auto"/>
          <w:vAlign w:val="center"/>
        </w:tcPr>
        <w:p w14:paraId="46ACE558" w14:textId="77777777" w:rsidR="00267767" w:rsidRPr="00C35086" w:rsidRDefault="00267767" w:rsidP="00494936">
          <w:pPr>
            <w:pStyle w:val="HeaderOdd"/>
            <w:tabs>
              <w:tab w:val="left" w:pos="0"/>
              <w:tab w:val="left" w:pos="2269"/>
            </w:tabs>
            <w:ind w:right="31"/>
            <w:rPr>
              <w:rFonts w:asciiTheme="minorHAnsi" w:hAnsiTheme="minorHAnsi" w:cstheme="minorHAnsi"/>
            </w:rPr>
          </w:pPr>
          <w:r w:rsidRPr="00BB5F59">
            <w:rPr>
              <w:rFonts w:asciiTheme="minorHAnsi" w:hAnsiTheme="minorHAnsi" w:cstheme="minorHAnsi"/>
              <w:bCs/>
              <w:color w:val="FFFFFF" w:themeColor="background1"/>
            </w:rPr>
            <w:t>Page</w:t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t xml:space="preserve"> 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begin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instrText xml:space="preserve"> PAGE </w:instrTex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separate"/>
          </w:r>
          <w:r w:rsidRPr="00BB5F59">
            <w:rPr>
              <w:rFonts w:asciiTheme="minorHAnsi" w:hAnsiTheme="minorHAnsi" w:cstheme="minorHAnsi"/>
              <w:color w:val="FFFFFF" w:themeColor="background1"/>
              <w:sz w:val="24"/>
              <w:szCs w:val="24"/>
            </w:rPr>
            <w:t>2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end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t xml:space="preserve"> </w:t>
          </w:r>
          <w:r w:rsidRPr="00BB5F59">
            <w:rPr>
              <w:rFonts w:asciiTheme="minorHAnsi" w:hAnsiTheme="minorHAnsi" w:cstheme="minorHAnsi"/>
              <w:bCs/>
              <w:color w:val="FFFFFF" w:themeColor="background1"/>
            </w:rPr>
            <w:t xml:space="preserve">of </w:t>
          </w:r>
          <w:r w:rsidRPr="00BB5F59">
            <w:rPr>
              <w:rFonts w:cstheme="minorHAnsi"/>
              <w:color w:val="FFFFFF" w:themeColor="background1"/>
            </w:rPr>
            <w:fldChar w:fldCharType="begin"/>
          </w:r>
          <w:r w:rsidRPr="00BB5F59">
            <w:rPr>
              <w:rFonts w:asciiTheme="minorHAnsi" w:hAnsiTheme="minorHAnsi" w:cstheme="minorHAnsi"/>
              <w:color w:val="FFFFFF" w:themeColor="background1"/>
            </w:rPr>
            <w:instrText xml:space="preserve"> NUMPAGES  </w:instrText>
          </w:r>
          <w:r w:rsidRPr="00BB5F59">
            <w:rPr>
              <w:rFonts w:cstheme="minorHAnsi"/>
              <w:color w:val="FFFFFF" w:themeColor="background1"/>
            </w:rPr>
            <w:fldChar w:fldCharType="separate"/>
          </w:r>
          <w:r w:rsidRPr="00BB5F59">
            <w:rPr>
              <w:rFonts w:asciiTheme="minorHAnsi" w:hAnsiTheme="minorHAnsi" w:cstheme="minorHAnsi"/>
              <w:color w:val="FFFFFF" w:themeColor="background1"/>
              <w:sz w:val="24"/>
              <w:szCs w:val="24"/>
            </w:rPr>
            <w:t>7</w:t>
          </w:r>
          <w:r w:rsidRPr="00BB5F59">
            <w:rPr>
              <w:rFonts w:cstheme="minorHAnsi"/>
              <w:color w:val="FFFFFF" w:themeColor="background1"/>
              <w:sz w:val="24"/>
              <w:szCs w:val="24"/>
            </w:rPr>
            <w:fldChar w:fldCharType="end"/>
          </w:r>
        </w:p>
      </w:tc>
    </w:tr>
  </w:tbl>
  <w:p w14:paraId="514BCBE7" w14:textId="77777777" w:rsidR="00267767" w:rsidRPr="00F60198" w:rsidRDefault="00267767" w:rsidP="00F60198">
    <w:pPr>
      <w:pStyle w:val="FooterOdd"/>
    </w:pPr>
    <w:r w:rsidRPr="009B5922">
      <w:rPr>
        <w:noProof/>
        <w:color w:val="FFFFFF" w:themeColor="background1"/>
      </w:rPr>
      <w:drawing>
        <wp:anchor distT="0" distB="0" distL="114300" distR="114300" simplePos="0" relativeHeight="251658260" behindDoc="1" locked="0" layoutInCell="1" allowOverlap="1" wp14:anchorId="37E9AAC0" wp14:editId="1A485BAC">
          <wp:simplePos x="0" y="0"/>
          <wp:positionH relativeFrom="page">
            <wp:posOffset>10795</wp:posOffset>
          </wp:positionH>
          <wp:positionV relativeFrom="paragraph">
            <wp:posOffset>-519743</wp:posOffset>
          </wp:positionV>
          <wp:extent cx="7543800" cy="890270"/>
          <wp:effectExtent l="0" t="0" r="0" b="508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29618" w14:textId="77777777" w:rsidR="00267767" w:rsidRDefault="002677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BE9D2" w14:textId="77777777" w:rsidR="001C5193" w:rsidRDefault="001C5193">
      <w:pPr>
        <w:spacing w:before="0" w:after="0"/>
      </w:pPr>
      <w:r>
        <w:separator/>
      </w:r>
    </w:p>
  </w:footnote>
  <w:footnote w:type="continuationSeparator" w:id="0">
    <w:p w14:paraId="26542152" w14:textId="77777777" w:rsidR="001C5193" w:rsidRDefault="001C5193">
      <w:pPr>
        <w:spacing w:before="0" w:after="0"/>
      </w:pPr>
      <w:r>
        <w:continuationSeparator/>
      </w:r>
    </w:p>
  </w:footnote>
  <w:footnote w:type="continuationNotice" w:id="1">
    <w:p w14:paraId="009BE0E8" w14:textId="77777777" w:rsidR="001C5193" w:rsidRDefault="001C519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2CE01" w14:textId="2CE2755E" w:rsidR="00F77988" w:rsidRPr="00494936" w:rsidRDefault="00F77988" w:rsidP="00F77988">
    <w:pPr>
      <w:pStyle w:val="HeaderEven"/>
      <w:jc w:val="right"/>
      <w:rPr>
        <w:color w:val="B1F0CF"/>
      </w:rPr>
    </w:pPr>
    <w:r w:rsidRPr="009B5922">
      <w:rPr>
        <w:noProof/>
        <w:color w:val="FFFFFF" w:themeColor="background1"/>
      </w:rPr>
      <w:drawing>
        <wp:anchor distT="0" distB="0" distL="114300" distR="114300" simplePos="0" relativeHeight="251658240" behindDoc="1" locked="0" layoutInCell="1" allowOverlap="1" wp14:anchorId="153B2D8D" wp14:editId="57489711">
          <wp:simplePos x="0" y="0"/>
          <wp:positionH relativeFrom="page">
            <wp:posOffset>304</wp:posOffset>
          </wp:positionH>
          <wp:positionV relativeFrom="paragraph">
            <wp:posOffset>-453390</wp:posOffset>
          </wp:positionV>
          <wp:extent cx="7544277" cy="890546"/>
          <wp:effectExtent l="0" t="0" r="0" b="5080"/>
          <wp:wrapNone/>
          <wp:docPr id="178" name="Picture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277" cy="890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5922">
      <w:rPr>
        <w:noProof/>
        <w:color w:val="FFFFFF" w:themeColor="background1"/>
      </w:rPr>
      <w:t xml:space="preserve">Payment Times </w:t>
    </w:r>
    <w:r>
      <w:rPr>
        <w:noProof/>
        <w:color w:val="FFFFFF" w:themeColor="background1"/>
      </w:rPr>
      <w:t>R</w:t>
    </w:r>
    <w:r w:rsidRPr="009B5922">
      <w:rPr>
        <w:noProof/>
        <w:color w:val="FFFFFF" w:themeColor="background1"/>
      </w:rPr>
      <w:t>eporting Regulator |</w:t>
    </w:r>
    <w:r w:rsidRPr="009B5922">
      <w:rPr>
        <w:b/>
        <w:bCs/>
        <w:noProof/>
        <w:color w:val="FFFFFF" w:themeColor="background1"/>
      </w:rPr>
      <w:t xml:space="preserve"> </w:t>
    </w:r>
    <w:r w:rsidRPr="00494936">
      <w:rPr>
        <w:b/>
        <w:bCs/>
        <w:color w:val="B1F0CF"/>
      </w:rPr>
      <w:fldChar w:fldCharType="begin"/>
    </w:r>
    <w:r w:rsidRPr="00494936">
      <w:rPr>
        <w:b/>
        <w:bCs/>
        <w:color w:val="B1F0CF"/>
      </w:rPr>
      <w:instrText xml:space="preserve"> STYLEREF  "Title"  \* MERGEFORMAT </w:instrText>
    </w:r>
    <w:r w:rsidRPr="00494936">
      <w:rPr>
        <w:b/>
        <w:bCs/>
        <w:color w:val="B1F0CF"/>
      </w:rPr>
      <w:fldChar w:fldCharType="separate"/>
    </w:r>
    <w:r w:rsidR="00751F88">
      <w:rPr>
        <w:b/>
        <w:bCs/>
        <w:noProof/>
        <w:color w:val="B1F0CF"/>
      </w:rPr>
      <w:t>Regulator’s update</w:t>
    </w:r>
    <w:r w:rsidRPr="00494936">
      <w:rPr>
        <w:b/>
        <w:bCs/>
        <w:color w:val="B1F0CF"/>
      </w:rPr>
      <w:fldChar w:fldCharType="end"/>
    </w:r>
    <w:r w:rsidRPr="00494936">
      <w:rPr>
        <w:b/>
        <w:bCs/>
        <w:color w:val="B1F0CF"/>
      </w:rPr>
      <w:t>, June 2022</w:t>
    </w:r>
  </w:p>
  <w:p w14:paraId="2F95F4D9" w14:textId="77777777" w:rsidR="00F77988" w:rsidRPr="001F3912" w:rsidRDefault="00F77988" w:rsidP="00F77988">
    <w:pPr>
      <w:pStyle w:val="HeaderEven"/>
      <w:tabs>
        <w:tab w:val="left" w:pos="3826"/>
        <w:tab w:val="left" w:pos="5395"/>
      </w:tabs>
    </w:pPr>
    <w:r>
      <w:tab/>
    </w:r>
    <w:r>
      <w:tab/>
    </w:r>
  </w:p>
  <w:p w14:paraId="14A19ACC" w14:textId="5ECE0C8C" w:rsidR="00F77988" w:rsidRDefault="00F779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E9860" w14:textId="427251B8" w:rsidR="00F77988" w:rsidRPr="00494936" w:rsidRDefault="00F77988" w:rsidP="00F77988">
    <w:pPr>
      <w:pStyle w:val="HeaderEven"/>
      <w:jc w:val="right"/>
      <w:rPr>
        <w:color w:val="B1F0CF"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6F266DA8" wp14:editId="3BD1241F">
          <wp:simplePos x="0" y="0"/>
          <wp:positionH relativeFrom="page">
            <wp:align>left</wp:align>
          </wp:positionH>
          <wp:positionV relativeFrom="paragraph">
            <wp:posOffset>-437363</wp:posOffset>
          </wp:positionV>
          <wp:extent cx="7578000" cy="10719204"/>
          <wp:effectExtent l="0" t="0" r="4445" b="6350"/>
          <wp:wrapNone/>
          <wp:docPr id="179" name="Picture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9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2859D0" w14:textId="77777777" w:rsidR="00F77988" w:rsidRPr="001F3912" w:rsidRDefault="00F77988" w:rsidP="00F77988">
    <w:pPr>
      <w:pStyle w:val="HeaderEven"/>
      <w:tabs>
        <w:tab w:val="left" w:pos="3826"/>
        <w:tab w:val="left" w:pos="5395"/>
      </w:tabs>
    </w:pPr>
    <w:r>
      <w:tab/>
    </w:r>
    <w:r>
      <w:tab/>
    </w:r>
  </w:p>
  <w:p w14:paraId="531B1D91" w14:textId="29603570" w:rsidR="00F77988" w:rsidRDefault="00F779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5740B" w14:textId="2CC9C9E7" w:rsidR="00F77988" w:rsidRPr="00494936" w:rsidRDefault="00F77988" w:rsidP="00F77988">
    <w:pPr>
      <w:pStyle w:val="HeaderEven"/>
      <w:jc w:val="right"/>
      <w:rPr>
        <w:color w:val="B1F0CF"/>
      </w:rPr>
    </w:pPr>
    <w:r w:rsidRPr="009B5922">
      <w:rPr>
        <w:noProof/>
        <w:color w:val="FFFFFF" w:themeColor="background1"/>
      </w:rPr>
      <w:drawing>
        <wp:anchor distT="0" distB="0" distL="114300" distR="114300" simplePos="0" relativeHeight="251658241" behindDoc="1" locked="0" layoutInCell="1" allowOverlap="1" wp14:anchorId="04972E02" wp14:editId="36CCC590">
          <wp:simplePos x="0" y="0"/>
          <wp:positionH relativeFrom="page">
            <wp:posOffset>304</wp:posOffset>
          </wp:positionH>
          <wp:positionV relativeFrom="paragraph">
            <wp:posOffset>-453390</wp:posOffset>
          </wp:positionV>
          <wp:extent cx="7544277" cy="890546"/>
          <wp:effectExtent l="0" t="0" r="0" b="5080"/>
          <wp:wrapNone/>
          <wp:docPr id="170" name="Picture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277" cy="890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5922">
      <w:rPr>
        <w:noProof/>
        <w:color w:val="FFFFFF" w:themeColor="background1"/>
      </w:rPr>
      <w:t xml:space="preserve">Payment Times </w:t>
    </w:r>
    <w:r>
      <w:rPr>
        <w:noProof/>
        <w:color w:val="FFFFFF" w:themeColor="background1"/>
      </w:rPr>
      <w:t>R</w:t>
    </w:r>
    <w:r w:rsidRPr="009B5922">
      <w:rPr>
        <w:noProof/>
        <w:color w:val="FFFFFF" w:themeColor="background1"/>
      </w:rPr>
      <w:t>eporting Regulator |</w:t>
    </w:r>
    <w:r w:rsidRPr="009B5922">
      <w:rPr>
        <w:b/>
        <w:bCs/>
        <w:noProof/>
        <w:color w:val="FFFFFF" w:themeColor="background1"/>
      </w:rPr>
      <w:t xml:space="preserve"> </w:t>
    </w:r>
    <w:r w:rsidRPr="00494936">
      <w:rPr>
        <w:b/>
        <w:bCs/>
        <w:color w:val="B1F0CF"/>
      </w:rPr>
      <w:fldChar w:fldCharType="begin"/>
    </w:r>
    <w:r w:rsidRPr="00494936">
      <w:rPr>
        <w:b/>
        <w:bCs/>
        <w:color w:val="B1F0CF"/>
      </w:rPr>
      <w:instrText xml:space="preserve"> STYLEREF  "Title"  \* MERGEFORMAT </w:instrText>
    </w:r>
    <w:r w:rsidRPr="00494936">
      <w:rPr>
        <w:b/>
        <w:bCs/>
        <w:color w:val="B1F0CF"/>
      </w:rPr>
      <w:fldChar w:fldCharType="separate"/>
    </w:r>
    <w:r w:rsidR="00751F88">
      <w:rPr>
        <w:b/>
        <w:bCs/>
        <w:noProof/>
        <w:color w:val="B1F0CF"/>
      </w:rPr>
      <w:t>Regulator’s update</w:t>
    </w:r>
    <w:r w:rsidRPr="00494936">
      <w:rPr>
        <w:b/>
        <w:bCs/>
        <w:color w:val="B1F0CF"/>
      </w:rPr>
      <w:fldChar w:fldCharType="end"/>
    </w:r>
    <w:r w:rsidRPr="00494936">
      <w:rPr>
        <w:b/>
        <w:bCs/>
        <w:color w:val="B1F0CF"/>
      </w:rPr>
      <w:t>, June 2022</w:t>
    </w:r>
  </w:p>
  <w:p w14:paraId="56E182DE" w14:textId="77777777" w:rsidR="00F77988" w:rsidRPr="001F3912" w:rsidRDefault="00F77988" w:rsidP="00F77988">
    <w:pPr>
      <w:pStyle w:val="HeaderEven"/>
      <w:tabs>
        <w:tab w:val="left" w:pos="3826"/>
        <w:tab w:val="left" w:pos="5395"/>
      </w:tabs>
    </w:pPr>
    <w:r>
      <w:tab/>
    </w:r>
    <w:r>
      <w:tab/>
    </w:r>
  </w:p>
  <w:p w14:paraId="24665352" w14:textId="77777777" w:rsidR="00F77988" w:rsidRDefault="00F779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3F9C0" w14:textId="23D55C13" w:rsidR="00F77988" w:rsidRPr="00494936" w:rsidRDefault="00F77988" w:rsidP="00F77988">
    <w:pPr>
      <w:pStyle w:val="HeaderEven"/>
      <w:jc w:val="right"/>
      <w:rPr>
        <w:color w:val="B1F0CF"/>
      </w:rPr>
    </w:pPr>
    <w:r w:rsidRPr="009B5922">
      <w:rPr>
        <w:noProof/>
        <w:color w:val="FFFFFF" w:themeColor="background1"/>
      </w:rPr>
      <w:drawing>
        <wp:anchor distT="0" distB="0" distL="114300" distR="114300" simplePos="0" relativeHeight="251658248" behindDoc="1" locked="0" layoutInCell="1" allowOverlap="1" wp14:anchorId="5598A3FB" wp14:editId="161D0AF9">
          <wp:simplePos x="0" y="0"/>
          <wp:positionH relativeFrom="page">
            <wp:posOffset>2540</wp:posOffset>
          </wp:positionH>
          <wp:positionV relativeFrom="paragraph">
            <wp:posOffset>-454660</wp:posOffset>
          </wp:positionV>
          <wp:extent cx="7543800" cy="890270"/>
          <wp:effectExtent l="0" t="0" r="0" b="5080"/>
          <wp:wrapNone/>
          <wp:docPr id="189" name="Pictur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</w:rPr>
      <w:t>P</w:t>
    </w:r>
    <w:r w:rsidRPr="009B5922">
      <w:rPr>
        <w:noProof/>
        <w:color w:val="FFFFFF" w:themeColor="background1"/>
      </w:rPr>
      <w:t xml:space="preserve">ayment Times </w:t>
    </w:r>
    <w:r>
      <w:rPr>
        <w:noProof/>
        <w:color w:val="FFFFFF" w:themeColor="background1"/>
      </w:rPr>
      <w:t>R</w:t>
    </w:r>
    <w:r w:rsidRPr="009B5922">
      <w:rPr>
        <w:noProof/>
        <w:color w:val="FFFFFF" w:themeColor="background1"/>
      </w:rPr>
      <w:t>eporting Regulator |</w:t>
    </w:r>
    <w:r w:rsidRPr="009B5922">
      <w:rPr>
        <w:b/>
        <w:bCs/>
        <w:noProof/>
        <w:color w:val="FFFFFF" w:themeColor="background1"/>
      </w:rPr>
      <w:t xml:space="preserve"> </w:t>
    </w:r>
    <w:r w:rsidRPr="00494936">
      <w:rPr>
        <w:b/>
        <w:bCs/>
        <w:color w:val="B1F0CF"/>
      </w:rPr>
      <w:fldChar w:fldCharType="begin"/>
    </w:r>
    <w:r w:rsidRPr="00494936">
      <w:rPr>
        <w:b/>
        <w:bCs/>
        <w:color w:val="B1F0CF"/>
      </w:rPr>
      <w:instrText xml:space="preserve"> STYLEREF  "Title"  \* MERGEFORMAT </w:instrText>
    </w:r>
    <w:r w:rsidRPr="00494936">
      <w:rPr>
        <w:b/>
        <w:bCs/>
        <w:color w:val="B1F0CF"/>
      </w:rPr>
      <w:fldChar w:fldCharType="separate"/>
    </w:r>
    <w:r w:rsidR="00A72E16">
      <w:rPr>
        <w:b/>
        <w:bCs/>
        <w:noProof/>
        <w:color w:val="B1F0CF"/>
      </w:rPr>
      <w:t>Regulator’s update</w:t>
    </w:r>
    <w:r w:rsidRPr="00494936">
      <w:rPr>
        <w:b/>
        <w:bCs/>
        <w:color w:val="B1F0CF"/>
      </w:rPr>
      <w:fldChar w:fldCharType="end"/>
    </w:r>
    <w:r w:rsidR="007643CF">
      <w:rPr>
        <w:b/>
        <w:bCs/>
        <w:color w:val="B1F0CF"/>
      </w:rPr>
      <w:t xml:space="preserve"> –</w:t>
    </w:r>
    <w:r w:rsidRPr="00494936">
      <w:rPr>
        <w:b/>
        <w:bCs/>
        <w:color w:val="B1F0CF"/>
      </w:rPr>
      <w:t xml:space="preserve"> Ju</w:t>
    </w:r>
    <w:r w:rsidR="00271CAE">
      <w:rPr>
        <w:b/>
        <w:bCs/>
        <w:color w:val="B1F0CF"/>
      </w:rPr>
      <w:t>ly</w:t>
    </w:r>
    <w:r w:rsidRPr="00494936">
      <w:rPr>
        <w:b/>
        <w:bCs/>
        <w:color w:val="B1F0CF"/>
      </w:rPr>
      <w:t xml:space="preserve"> 2022</w:t>
    </w:r>
  </w:p>
  <w:p w14:paraId="44E10CCC" w14:textId="77777777" w:rsidR="00F77988" w:rsidRPr="001F3912" w:rsidRDefault="00F77988" w:rsidP="00F77988">
    <w:pPr>
      <w:pStyle w:val="HeaderEven"/>
      <w:tabs>
        <w:tab w:val="left" w:pos="3826"/>
        <w:tab w:val="left" w:pos="5395"/>
      </w:tabs>
    </w:pPr>
    <w:r>
      <w:tab/>
    </w:r>
    <w:r>
      <w:tab/>
    </w:r>
  </w:p>
  <w:p w14:paraId="08B4C3FB" w14:textId="77777777" w:rsidR="00F77988" w:rsidRDefault="00F779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77251" w14:textId="6FDEC102" w:rsidR="00267767" w:rsidRPr="00494936" w:rsidRDefault="00267767" w:rsidP="00494936">
    <w:pPr>
      <w:pStyle w:val="HeaderEven"/>
      <w:jc w:val="right"/>
      <w:rPr>
        <w:color w:val="B1F0CF"/>
      </w:rPr>
    </w:pPr>
    <w:r w:rsidRPr="009B5922">
      <w:rPr>
        <w:noProof/>
        <w:color w:val="FFFFFF" w:themeColor="background1"/>
      </w:rPr>
      <w:drawing>
        <wp:anchor distT="0" distB="0" distL="114300" distR="114300" simplePos="0" relativeHeight="251658257" behindDoc="1" locked="0" layoutInCell="1" allowOverlap="1" wp14:anchorId="5A11B5F9" wp14:editId="747EFBC7">
          <wp:simplePos x="0" y="0"/>
          <wp:positionH relativeFrom="page">
            <wp:posOffset>304</wp:posOffset>
          </wp:positionH>
          <wp:positionV relativeFrom="paragraph">
            <wp:posOffset>-453390</wp:posOffset>
          </wp:positionV>
          <wp:extent cx="7544277" cy="890546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277" cy="890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5922">
      <w:rPr>
        <w:noProof/>
        <w:color w:val="FFFFFF" w:themeColor="background1"/>
      </w:rPr>
      <w:t xml:space="preserve">Payment Times </w:t>
    </w:r>
    <w:r>
      <w:rPr>
        <w:noProof/>
        <w:color w:val="FFFFFF" w:themeColor="background1"/>
      </w:rPr>
      <w:t>R</w:t>
    </w:r>
    <w:r w:rsidRPr="009B5922">
      <w:rPr>
        <w:noProof/>
        <w:color w:val="FFFFFF" w:themeColor="background1"/>
      </w:rPr>
      <w:t>eporting Regulator |</w:t>
    </w:r>
    <w:r w:rsidRPr="009B5922">
      <w:rPr>
        <w:b/>
        <w:bCs/>
        <w:noProof/>
        <w:color w:val="FFFFFF" w:themeColor="background1"/>
      </w:rPr>
      <w:t xml:space="preserve"> </w:t>
    </w:r>
    <w:r w:rsidRPr="00494936">
      <w:rPr>
        <w:b/>
        <w:bCs/>
        <w:color w:val="B1F0CF"/>
      </w:rPr>
      <w:fldChar w:fldCharType="begin"/>
    </w:r>
    <w:r w:rsidRPr="00494936">
      <w:rPr>
        <w:b/>
        <w:bCs/>
        <w:color w:val="B1F0CF"/>
      </w:rPr>
      <w:instrText xml:space="preserve"> STYLEREF  "Title"  \* MERGEFORMAT </w:instrText>
    </w:r>
    <w:r w:rsidRPr="00494936">
      <w:rPr>
        <w:b/>
        <w:bCs/>
        <w:color w:val="B1F0CF"/>
      </w:rPr>
      <w:fldChar w:fldCharType="separate"/>
    </w:r>
    <w:r w:rsidR="00751F88">
      <w:rPr>
        <w:b/>
        <w:bCs/>
        <w:noProof/>
        <w:color w:val="B1F0CF"/>
      </w:rPr>
      <w:t>Regulator’s update</w:t>
    </w:r>
    <w:r w:rsidRPr="00494936">
      <w:rPr>
        <w:b/>
        <w:bCs/>
        <w:color w:val="B1F0CF"/>
      </w:rPr>
      <w:fldChar w:fldCharType="end"/>
    </w:r>
    <w:r w:rsidRPr="00494936">
      <w:rPr>
        <w:b/>
        <w:bCs/>
        <w:color w:val="B1F0CF"/>
      </w:rPr>
      <w:t>, June 2022</w:t>
    </w:r>
  </w:p>
  <w:p w14:paraId="62A976B3" w14:textId="77777777" w:rsidR="00267767" w:rsidRPr="001F3912" w:rsidRDefault="00267767" w:rsidP="00F77988">
    <w:pPr>
      <w:pStyle w:val="HeaderEven"/>
      <w:tabs>
        <w:tab w:val="left" w:pos="3826"/>
        <w:tab w:val="left" w:pos="5395"/>
      </w:tabs>
    </w:pPr>
    <w:r>
      <w:tab/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90ABD" w14:textId="344F6343" w:rsidR="00267767" w:rsidRPr="00494936" w:rsidRDefault="00267767" w:rsidP="00494936">
    <w:pPr>
      <w:pStyle w:val="HeaderEven"/>
      <w:jc w:val="right"/>
      <w:rPr>
        <w:color w:val="B1F0CF"/>
      </w:rPr>
    </w:pPr>
    <w:r w:rsidRPr="009B5922">
      <w:rPr>
        <w:noProof/>
        <w:color w:val="FFFFFF" w:themeColor="background1"/>
      </w:rPr>
      <w:drawing>
        <wp:anchor distT="0" distB="0" distL="114300" distR="114300" simplePos="0" relativeHeight="251658256" behindDoc="1" locked="0" layoutInCell="1" allowOverlap="1" wp14:anchorId="468DF7D4" wp14:editId="0840D752">
          <wp:simplePos x="0" y="0"/>
          <wp:positionH relativeFrom="page">
            <wp:posOffset>10633</wp:posOffset>
          </wp:positionH>
          <wp:positionV relativeFrom="paragraph">
            <wp:posOffset>-453390</wp:posOffset>
          </wp:positionV>
          <wp:extent cx="7544277" cy="890546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277" cy="890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5922">
      <w:rPr>
        <w:noProof/>
        <w:color w:val="FFFFFF" w:themeColor="background1"/>
      </w:rPr>
      <w:t xml:space="preserve">Payment Times </w:t>
    </w:r>
    <w:r>
      <w:rPr>
        <w:noProof/>
        <w:color w:val="FFFFFF" w:themeColor="background1"/>
      </w:rPr>
      <w:t>R</w:t>
    </w:r>
    <w:r w:rsidRPr="009B5922">
      <w:rPr>
        <w:noProof/>
        <w:color w:val="FFFFFF" w:themeColor="background1"/>
      </w:rPr>
      <w:t>eporting Regulator |</w:t>
    </w:r>
    <w:r w:rsidRPr="009B5922">
      <w:rPr>
        <w:b/>
        <w:bCs/>
        <w:noProof/>
        <w:color w:val="FFFFFF" w:themeColor="background1"/>
      </w:rPr>
      <w:t xml:space="preserve"> </w:t>
    </w:r>
    <w:r w:rsidRPr="00494936">
      <w:rPr>
        <w:b/>
        <w:bCs/>
        <w:color w:val="B1F0CF"/>
      </w:rPr>
      <w:fldChar w:fldCharType="begin"/>
    </w:r>
    <w:r w:rsidRPr="00494936">
      <w:rPr>
        <w:b/>
        <w:bCs/>
        <w:color w:val="B1F0CF"/>
      </w:rPr>
      <w:instrText xml:space="preserve"> STYLEREF  "Title"  \* MERGEFORMAT </w:instrText>
    </w:r>
    <w:r w:rsidRPr="00494936">
      <w:rPr>
        <w:b/>
        <w:bCs/>
        <w:color w:val="B1F0CF"/>
      </w:rPr>
      <w:fldChar w:fldCharType="separate"/>
    </w:r>
    <w:r w:rsidR="00A72E16">
      <w:rPr>
        <w:b/>
        <w:bCs/>
        <w:noProof/>
        <w:color w:val="B1F0CF"/>
      </w:rPr>
      <w:t>Regulator’s update</w:t>
    </w:r>
    <w:r w:rsidRPr="00494936">
      <w:rPr>
        <w:b/>
        <w:bCs/>
        <w:color w:val="B1F0CF"/>
      </w:rPr>
      <w:fldChar w:fldCharType="end"/>
    </w:r>
    <w:r w:rsidRPr="00494936">
      <w:rPr>
        <w:b/>
        <w:bCs/>
        <w:color w:val="B1F0CF"/>
      </w:rPr>
      <w:t>, Ju</w:t>
    </w:r>
    <w:r w:rsidR="00271CAE">
      <w:rPr>
        <w:b/>
        <w:bCs/>
        <w:color w:val="B1F0CF"/>
      </w:rPr>
      <w:t>ly</w:t>
    </w:r>
    <w:r w:rsidRPr="00494936">
      <w:rPr>
        <w:b/>
        <w:bCs/>
        <w:color w:val="B1F0CF"/>
      </w:rPr>
      <w:t xml:space="preserve"> 2022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C06CE" w14:textId="77777777" w:rsidR="00267767" w:rsidRDefault="002677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7BE6"/>
    <w:multiLevelType w:val="hybridMultilevel"/>
    <w:tmpl w:val="887C98A4"/>
    <w:lvl w:ilvl="0" w:tplc="156AC94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FC7"/>
    <w:multiLevelType w:val="multilevel"/>
    <w:tmpl w:val="79E48CD8"/>
    <w:styleLink w:val="BoxBulletedList"/>
    <w:lvl w:ilvl="0">
      <w:start w:val="1"/>
      <w:numFmt w:val="bullet"/>
      <w:lvlRestart w:val="0"/>
      <w:pStyle w:val="Box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bullet"/>
      <w:pStyle w:val="BoxDash"/>
      <w:lvlText w:val="–"/>
      <w:lvlJc w:val="left"/>
      <w:pPr>
        <w:tabs>
          <w:tab w:val="num" w:pos="567"/>
        </w:tabs>
        <w:ind w:left="567" w:hanging="284"/>
      </w:pPr>
      <w:rPr>
        <w:rFonts w:hint="default"/>
        <w:b w:val="0"/>
        <w:i w:val="0"/>
      </w:rPr>
    </w:lvl>
    <w:lvl w:ilvl="2">
      <w:start w:val="1"/>
      <w:numFmt w:val="bullet"/>
      <w:pStyle w:val="BoxDoubleDot"/>
      <w:lvlText w:val=":"/>
      <w:lvlJc w:val="left"/>
      <w:pPr>
        <w:tabs>
          <w:tab w:val="num" w:pos="850"/>
        </w:tabs>
        <w:ind w:left="850" w:hanging="283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2" w15:restartNumberingAfterBreak="0">
    <w:nsid w:val="0B8F13AF"/>
    <w:multiLevelType w:val="multilevel"/>
    <w:tmpl w:val="0C7091F8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0653560"/>
    <w:multiLevelType w:val="multilevel"/>
    <w:tmpl w:val="72F8140E"/>
    <w:styleLink w:val="OutlineList"/>
    <w:lvl w:ilvl="0">
      <w:start w:val="1"/>
      <w:numFmt w:val="decimal"/>
      <w:pStyle w:val="OutlineNumbered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OutlineNumbered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OutlineNumbered3"/>
      <w:lvlText w:val="%1.%2.%3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6CC4E5D"/>
    <w:multiLevelType w:val="multilevel"/>
    <w:tmpl w:val="D10E9CF6"/>
    <w:numStyleLink w:val="OneLevelList"/>
  </w:abstractNum>
  <w:abstractNum w:abstractNumId="5" w15:restartNumberingAfterBreak="0">
    <w:nsid w:val="17DF7717"/>
    <w:multiLevelType w:val="multilevel"/>
    <w:tmpl w:val="B91AC3AC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D48128B"/>
    <w:multiLevelType w:val="hybridMultilevel"/>
    <w:tmpl w:val="2280F54A"/>
    <w:lvl w:ilvl="0" w:tplc="90963EB2">
      <w:numFmt w:val="bullet"/>
      <w:lvlText w:val=""/>
      <w:lvlJc w:val="left"/>
      <w:pPr>
        <w:ind w:left="1440" w:hanging="360"/>
      </w:pPr>
      <w:rPr>
        <w:rFonts w:ascii="Symbol" w:hAnsi="Symbol" w:cstheme="minorBidi" w:hint="default"/>
        <w:color w:val="0066A4"/>
      </w:rPr>
    </w:lvl>
    <w:lvl w:ilvl="1" w:tplc="46F45E62">
      <w:start w:val="1"/>
      <w:numFmt w:val="bullet"/>
      <w:lvlText w:val="˃"/>
      <w:lvlJc w:val="left"/>
      <w:pPr>
        <w:ind w:left="2160" w:hanging="360"/>
      </w:pPr>
      <w:rPr>
        <w:rFonts w:ascii="Courier New" w:hAnsi="Courier New" w:hint="default"/>
        <w:color w:val="5C759A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7A641A"/>
    <w:multiLevelType w:val="hybridMultilevel"/>
    <w:tmpl w:val="737CFAFC"/>
    <w:lvl w:ilvl="0" w:tplc="FD36A67C">
      <w:start w:val="2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40C8B"/>
    <w:multiLevelType w:val="multilevel"/>
    <w:tmpl w:val="9AFC5FD2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 w:val="0"/>
        <w:i w:val="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/>
        <w:b w:val="0"/>
        <w:i w:val="0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b w:val="0"/>
        <w:i w:val="0"/>
      </w:rPr>
    </w:lvl>
  </w:abstractNum>
  <w:abstractNum w:abstractNumId="9" w15:restartNumberingAfterBreak="0">
    <w:nsid w:val="27826BF0"/>
    <w:multiLevelType w:val="multilevel"/>
    <w:tmpl w:val="6D0AA75C"/>
    <w:lvl w:ilvl="0">
      <w:start w:val="1"/>
      <w:numFmt w:val="lowerRoman"/>
      <w:pStyle w:val="Romannumer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AlphaParagraph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95B3435"/>
    <w:multiLevelType w:val="hybridMultilevel"/>
    <w:tmpl w:val="FBD83D0C"/>
    <w:lvl w:ilvl="0" w:tplc="F35CAA4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C2710"/>
    <w:multiLevelType w:val="multilevel"/>
    <w:tmpl w:val="0D723674"/>
    <w:styleLink w:val="BulletedList"/>
    <w:lvl w:ilvl="0">
      <w:start w:val="1"/>
      <w:numFmt w:val="bullet"/>
      <w:lvlRestart w:val="0"/>
      <w:pStyle w:val="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pStyle w:val="DoubleDo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2" w15:restartNumberingAfterBreak="0">
    <w:nsid w:val="3238442C"/>
    <w:multiLevelType w:val="multilevel"/>
    <w:tmpl w:val="20C6D62C"/>
    <w:styleLink w:val="ChartandTableFootnoteAlphaList"/>
    <w:lvl w:ilvl="0">
      <w:start w:val="1"/>
      <w:numFmt w:val="lowerLetter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30C16AD"/>
    <w:multiLevelType w:val="multilevel"/>
    <w:tmpl w:val="D10E9CF6"/>
    <w:styleLink w:val="OneLevelList"/>
    <w:lvl w:ilvl="0">
      <w:start w:val="1"/>
      <w:numFmt w:val="decimal"/>
      <w:pStyle w:val="OneLevelNumberedParagraph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53367A0"/>
    <w:multiLevelType w:val="hybridMultilevel"/>
    <w:tmpl w:val="D68E8814"/>
    <w:lvl w:ilvl="0" w:tplc="685865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72643"/>
    <w:multiLevelType w:val="hybridMultilevel"/>
    <w:tmpl w:val="9C18A99A"/>
    <w:lvl w:ilvl="0" w:tplc="BA2E2F7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06931"/>
    <w:multiLevelType w:val="singleLevel"/>
    <w:tmpl w:val="36E09474"/>
    <w:lvl w:ilvl="0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  <w:b w:val="0"/>
        <w:i w:val="0"/>
        <w:sz w:val="16"/>
      </w:rPr>
    </w:lvl>
  </w:abstractNum>
  <w:abstractNum w:abstractNumId="17" w15:restartNumberingAfterBreak="0">
    <w:nsid w:val="510D2021"/>
    <w:multiLevelType w:val="multilevel"/>
    <w:tmpl w:val="72F8140E"/>
    <w:numStyleLink w:val="OutlineList"/>
  </w:abstractNum>
  <w:abstractNum w:abstractNumId="18" w15:restartNumberingAfterBreak="0">
    <w:nsid w:val="57D55EF3"/>
    <w:multiLevelType w:val="hybridMultilevel"/>
    <w:tmpl w:val="0674CDF8"/>
    <w:lvl w:ilvl="0" w:tplc="94D05714">
      <w:start w:val="2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E33826"/>
    <w:multiLevelType w:val="hybridMultilevel"/>
    <w:tmpl w:val="61EE8636"/>
    <w:lvl w:ilvl="0" w:tplc="34088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FF1E76"/>
    <w:multiLevelType w:val="multilevel"/>
    <w:tmpl w:val="D9FE9894"/>
    <w:lvl w:ilvl="0">
      <w:start w:val="1"/>
      <w:numFmt w:val="lowerRoman"/>
      <w:lvlText w:val="%1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0270182"/>
    <w:multiLevelType w:val="hybridMultilevel"/>
    <w:tmpl w:val="29E45D38"/>
    <w:lvl w:ilvl="0" w:tplc="90963EB2">
      <w:numFmt w:val="bullet"/>
      <w:pStyle w:val="ListParagraph"/>
      <w:lvlText w:val=""/>
      <w:lvlJc w:val="left"/>
      <w:pPr>
        <w:ind w:left="1158" w:hanging="360"/>
      </w:pPr>
      <w:rPr>
        <w:rFonts w:ascii="Symbol" w:hAnsi="Symbol" w:cstheme="minorBidi" w:hint="default"/>
        <w:color w:val="0066A4"/>
      </w:rPr>
    </w:lvl>
    <w:lvl w:ilvl="1" w:tplc="0C090003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22" w15:restartNumberingAfterBreak="0">
    <w:nsid w:val="77A70C5A"/>
    <w:multiLevelType w:val="multilevel"/>
    <w:tmpl w:val="34C48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7EBF275E"/>
    <w:multiLevelType w:val="multilevel"/>
    <w:tmpl w:val="A6800B9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984"/>
        </w:tabs>
        <w:ind w:left="1984" w:hanging="850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24" w15:restartNumberingAfterBreak="0">
    <w:nsid w:val="7F2E57A2"/>
    <w:multiLevelType w:val="multilevel"/>
    <w:tmpl w:val="D1ECFDF4"/>
    <w:lvl w:ilvl="0">
      <w:start w:val="1"/>
      <w:numFmt w:val="decimal"/>
      <w:lvlRestart w:val="0"/>
      <w:suff w:val="nothing"/>
      <w:lvlText w:val=""/>
      <w:lvlJc w:val="left"/>
      <w:pPr>
        <w:ind w:left="0" w:firstLine="0"/>
      </w:pPr>
      <w:rPr>
        <w:rFonts w:ascii="Arial" w:hAnsi="Arial" w:cs="Arial"/>
        <w:b/>
        <w:i w:val="0"/>
        <w:color w:val="000080"/>
        <w:sz w:val="24"/>
      </w:rPr>
    </w:lvl>
    <w:lvl w:ilvl="1">
      <w:start w:val="1"/>
      <w:numFmt w:val="lowerLetter"/>
      <w:lvlText w:val="(%2)"/>
      <w:lvlJc w:val="left"/>
      <w:pPr>
        <w:tabs>
          <w:tab w:val="num" w:pos="992"/>
        </w:tabs>
        <w:ind w:left="992" w:hanging="425"/>
      </w:pPr>
      <w:rPr>
        <w:rFonts w:ascii="Arial" w:hAnsi="Arial" w:cs="Arial"/>
        <w:b/>
        <w:i w:val="0"/>
        <w:color w:val="235292"/>
        <w:sz w:val="22"/>
      </w:rPr>
    </w:lvl>
    <w:lvl w:ilvl="2">
      <w:start w:val="1"/>
      <w:numFmt w:val="decimal"/>
      <w:lvlText w:val="%3"/>
      <w:lvlJc w:val="left"/>
      <w:pPr>
        <w:tabs>
          <w:tab w:val="num" w:pos="1418"/>
        </w:tabs>
        <w:ind w:left="1418" w:hanging="426"/>
      </w:pPr>
      <w:rPr>
        <w:rFonts w:ascii="Times New Roman" w:hAnsi="Times New Roman" w:cs="Times New Roman"/>
        <w:b w:val="0"/>
        <w:i w:val="0"/>
        <w:color w:val="000000"/>
      </w:rPr>
    </w:lvl>
    <w:lvl w:ilvl="3">
      <w:start w:val="1"/>
      <w:numFmt w:val="decimal"/>
      <w:lvlText w:val="%4"/>
      <w:lvlJc w:val="left"/>
      <w:pPr>
        <w:tabs>
          <w:tab w:val="num" w:pos="2268"/>
        </w:tabs>
        <w:ind w:left="2268" w:hanging="567"/>
      </w:pPr>
      <w:rPr>
        <w:rFonts w:ascii="Times New Roman" w:hAnsi="Times New Roman" w:cs="Times New Roman"/>
        <w:b w:val="0"/>
        <w:i w:val="0"/>
        <w:color w:val="000000"/>
      </w:rPr>
    </w:lvl>
    <w:lvl w:ilvl="4">
      <w:start w:val="1"/>
      <w:numFmt w:val="decimal"/>
      <w:lvlText w:val="%5"/>
      <w:lvlJc w:val="left"/>
      <w:pPr>
        <w:tabs>
          <w:tab w:val="num" w:pos="2835"/>
        </w:tabs>
        <w:ind w:left="2835" w:hanging="567"/>
      </w:pPr>
      <w:rPr>
        <w:rFonts w:ascii="Times New Roman" w:hAnsi="Times New Roman" w:cs="Times New Roman"/>
        <w:b w:val="0"/>
        <w:i w:val="0"/>
        <w:color w:val="000000"/>
      </w:rPr>
    </w:lvl>
    <w:lvl w:ilvl="5">
      <w:start w:val="1"/>
      <w:numFmt w:val="decimal"/>
      <w:lvlText w:val="%6"/>
      <w:lvlJc w:val="left"/>
      <w:pPr>
        <w:tabs>
          <w:tab w:val="num" w:pos="3402"/>
        </w:tabs>
        <w:ind w:left="3402" w:hanging="567"/>
      </w:pPr>
      <w:rPr>
        <w:rFonts w:ascii="Times New Roman" w:hAnsi="Times New Roman" w:cs="Times New Roman"/>
        <w:b w:val="0"/>
        <w:i w:val="0"/>
        <w:color w:val="000000"/>
      </w:rPr>
    </w:lvl>
    <w:lvl w:ilvl="6">
      <w:start w:val="1"/>
      <w:numFmt w:val="decimal"/>
      <w:lvlText w:val="%7"/>
      <w:lvlJc w:val="left"/>
      <w:pPr>
        <w:tabs>
          <w:tab w:val="num" w:pos="3969"/>
        </w:tabs>
        <w:ind w:left="3969" w:hanging="567"/>
      </w:pPr>
      <w:rPr>
        <w:rFonts w:ascii="Times New Roman" w:hAnsi="Times New Roman" w:cs="Times New Roman"/>
        <w:b w:val="0"/>
        <w:i w:val="0"/>
        <w:color w:val="000000"/>
      </w:rPr>
    </w:lvl>
    <w:lvl w:ilvl="7">
      <w:start w:val="1"/>
      <w:numFmt w:val="decimal"/>
      <w:lvlText w:val="%8"/>
      <w:lvlJc w:val="left"/>
      <w:pPr>
        <w:tabs>
          <w:tab w:val="num" w:pos="4536"/>
        </w:tabs>
        <w:ind w:left="4536" w:hanging="567"/>
      </w:pPr>
      <w:rPr>
        <w:rFonts w:ascii="Times New Roman" w:hAnsi="Times New Roman" w:cs="Times New Roman"/>
        <w:b w:val="0"/>
        <w:i w:val="0"/>
        <w:color w:val="000000"/>
      </w:rPr>
    </w:lvl>
    <w:lvl w:ilvl="8">
      <w:start w:val="1"/>
      <w:numFmt w:val="decimal"/>
      <w:lvlText w:val="%9"/>
      <w:lvlJc w:val="left"/>
      <w:pPr>
        <w:tabs>
          <w:tab w:val="num" w:pos="5103"/>
        </w:tabs>
        <w:ind w:left="5103" w:hanging="567"/>
      </w:pPr>
      <w:rPr>
        <w:rFonts w:ascii="Times New Roman" w:hAnsi="Times New Roman" w:cs="Times New Roman"/>
        <w:b w:val="0"/>
        <w:i w:val="0"/>
        <w:color w:val="000000"/>
      </w:r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3"/>
  </w:num>
  <w:num w:numId="5">
    <w:abstractNumId w:val="4"/>
  </w:num>
  <w:num w:numId="6">
    <w:abstractNumId w:val="17"/>
  </w:num>
  <w:num w:numId="7">
    <w:abstractNumId w:val="12"/>
    <w:lvlOverride w:ilvl="0">
      <w:lvl w:ilvl="0">
        <w:start w:val="1"/>
        <w:numFmt w:val="lowerLetter"/>
        <w:pStyle w:val="ChartandTableFootnoteAlpha"/>
        <w:lvlText w:val="(%1)"/>
        <w:lvlJc w:val="left"/>
        <w:pPr>
          <w:ind w:left="360" w:hanging="360"/>
        </w:pPr>
        <w:rPr>
          <w:rFonts w:ascii="Calibri" w:hAnsi="Calibri" w:hint="default"/>
          <w:b w:val="0"/>
          <w:i w:val="0"/>
          <w:caps w:val="0"/>
          <w:strike w:val="0"/>
          <w:dstrike w:val="0"/>
          <w:vanish w:val="0"/>
          <w:sz w:val="18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5"/>
  </w:num>
  <w:num w:numId="9">
    <w:abstractNumId w:val="2"/>
  </w:num>
  <w:num w:numId="10">
    <w:abstractNumId w:val="9"/>
  </w:num>
  <w:num w:numId="11">
    <w:abstractNumId w:val="23"/>
  </w:num>
  <w:num w:numId="12">
    <w:abstractNumId w:val="17"/>
  </w:num>
  <w:num w:numId="13">
    <w:abstractNumId w:val="24"/>
  </w:num>
  <w:num w:numId="14">
    <w:abstractNumId w:val="16"/>
  </w:num>
  <w:num w:numId="15">
    <w:abstractNumId w:val="8"/>
  </w:num>
  <w:num w:numId="16">
    <w:abstractNumId w:val="20"/>
  </w:num>
  <w:num w:numId="17">
    <w:abstractNumId w:val="12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5"/>
  </w:num>
  <w:num w:numId="21">
    <w:abstractNumId w:val="19"/>
  </w:num>
  <w:num w:numId="22">
    <w:abstractNumId w:val="10"/>
  </w:num>
  <w:num w:numId="23">
    <w:abstractNumId w:val="7"/>
  </w:num>
  <w:num w:numId="24">
    <w:abstractNumId w:val="18"/>
  </w:num>
  <w:num w:numId="25">
    <w:abstractNumId w:val="6"/>
  </w:num>
  <w:num w:numId="26">
    <w:abstractNumId w:val="14"/>
  </w:num>
  <w:num w:numId="27">
    <w:abstractNumId w:val="0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21"/>
    <w:rsid w:val="000106CD"/>
    <w:rsid w:val="00011725"/>
    <w:rsid w:val="00012C62"/>
    <w:rsid w:val="0001396A"/>
    <w:rsid w:val="00022A49"/>
    <w:rsid w:val="0002544D"/>
    <w:rsid w:val="00025495"/>
    <w:rsid w:val="000353A4"/>
    <w:rsid w:val="0004274D"/>
    <w:rsid w:val="0004322F"/>
    <w:rsid w:val="00043348"/>
    <w:rsid w:val="0004483F"/>
    <w:rsid w:val="0005138B"/>
    <w:rsid w:val="000522B7"/>
    <w:rsid w:val="00053763"/>
    <w:rsid w:val="00056880"/>
    <w:rsid w:val="0006674F"/>
    <w:rsid w:val="000675D1"/>
    <w:rsid w:val="00070A0B"/>
    <w:rsid w:val="00073521"/>
    <w:rsid w:val="000775DE"/>
    <w:rsid w:val="00083FA5"/>
    <w:rsid w:val="00087FAF"/>
    <w:rsid w:val="000B3279"/>
    <w:rsid w:val="000C13EF"/>
    <w:rsid w:val="000C571D"/>
    <w:rsid w:val="000C5F40"/>
    <w:rsid w:val="000D17FE"/>
    <w:rsid w:val="000E0B74"/>
    <w:rsid w:val="000E7901"/>
    <w:rsid w:val="000F6B97"/>
    <w:rsid w:val="00102E00"/>
    <w:rsid w:val="00116513"/>
    <w:rsid w:val="0012109F"/>
    <w:rsid w:val="0012212D"/>
    <w:rsid w:val="00131DC3"/>
    <w:rsid w:val="00131FBE"/>
    <w:rsid w:val="00135E4C"/>
    <w:rsid w:val="001373F5"/>
    <w:rsid w:val="00141F26"/>
    <w:rsid w:val="001541C1"/>
    <w:rsid w:val="001574C0"/>
    <w:rsid w:val="001600B0"/>
    <w:rsid w:val="001606CF"/>
    <w:rsid w:val="0016128D"/>
    <w:rsid w:val="0017089D"/>
    <w:rsid w:val="0017787D"/>
    <w:rsid w:val="0018414B"/>
    <w:rsid w:val="001856BD"/>
    <w:rsid w:val="0019101A"/>
    <w:rsid w:val="001972D2"/>
    <w:rsid w:val="001C1F0A"/>
    <w:rsid w:val="001C358D"/>
    <w:rsid w:val="001C3AB5"/>
    <w:rsid w:val="001C5193"/>
    <w:rsid w:val="001E35D2"/>
    <w:rsid w:val="001F1B27"/>
    <w:rsid w:val="001F751E"/>
    <w:rsid w:val="00221EC0"/>
    <w:rsid w:val="002300D1"/>
    <w:rsid w:val="00231049"/>
    <w:rsid w:val="002314D2"/>
    <w:rsid w:val="0023180F"/>
    <w:rsid w:val="0023305C"/>
    <w:rsid w:val="00237CF4"/>
    <w:rsid w:val="00241881"/>
    <w:rsid w:val="0024294C"/>
    <w:rsid w:val="00252B52"/>
    <w:rsid w:val="0025652F"/>
    <w:rsid w:val="0026009C"/>
    <w:rsid w:val="00260B43"/>
    <w:rsid w:val="002619BE"/>
    <w:rsid w:val="00263B6C"/>
    <w:rsid w:val="00263E9E"/>
    <w:rsid w:val="00267767"/>
    <w:rsid w:val="00271CAE"/>
    <w:rsid w:val="00272939"/>
    <w:rsid w:val="0027590B"/>
    <w:rsid w:val="00277CBF"/>
    <w:rsid w:val="00283C2B"/>
    <w:rsid w:val="00285969"/>
    <w:rsid w:val="002903E5"/>
    <w:rsid w:val="00291CA1"/>
    <w:rsid w:val="00296C2C"/>
    <w:rsid w:val="002A0F10"/>
    <w:rsid w:val="002A74EF"/>
    <w:rsid w:val="002A7690"/>
    <w:rsid w:val="002B3829"/>
    <w:rsid w:val="002B6CC4"/>
    <w:rsid w:val="002C13FC"/>
    <w:rsid w:val="002C22EF"/>
    <w:rsid w:val="002C2FF5"/>
    <w:rsid w:val="002D5F34"/>
    <w:rsid w:val="002D7F42"/>
    <w:rsid w:val="002E454C"/>
    <w:rsid w:val="002F617F"/>
    <w:rsid w:val="00300109"/>
    <w:rsid w:val="00301755"/>
    <w:rsid w:val="003019DC"/>
    <w:rsid w:val="00302790"/>
    <w:rsid w:val="00305CB2"/>
    <w:rsid w:val="0030665E"/>
    <w:rsid w:val="00306894"/>
    <w:rsid w:val="003122F4"/>
    <w:rsid w:val="00313C02"/>
    <w:rsid w:val="003268D5"/>
    <w:rsid w:val="00336216"/>
    <w:rsid w:val="003431C9"/>
    <w:rsid w:val="003448F6"/>
    <w:rsid w:val="00350730"/>
    <w:rsid w:val="00350759"/>
    <w:rsid w:val="00354D27"/>
    <w:rsid w:val="0035738A"/>
    <w:rsid w:val="00372295"/>
    <w:rsid w:val="00372317"/>
    <w:rsid w:val="003858A6"/>
    <w:rsid w:val="00392DCC"/>
    <w:rsid w:val="00396AED"/>
    <w:rsid w:val="003A5B36"/>
    <w:rsid w:val="003C24B4"/>
    <w:rsid w:val="003C27DC"/>
    <w:rsid w:val="003C56C6"/>
    <w:rsid w:val="003D3805"/>
    <w:rsid w:val="003E20D6"/>
    <w:rsid w:val="003E4D87"/>
    <w:rsid w:val="00401082"/>
    <w:rsid w:val="00404B8A"/>
    <w:rsid w:val="00404EB1"/>
    <w:rsid w:val="00416762"/>
    <w:rsid w:val="00416A41"/>
    <w:rsid w:val="00416E55"/>
    <w:rsid w:val="0042518A"/>
    <w:rsid w:val="0042640E"/>
    <w:rsid w:val="004276A0"/>
    <w:rsid w:val="00430923"/>
    <w:rsid w:val="004374FA"/>
    <w:rsid w:val="004375BA"/>
    <w:rsid w:val="0044144B"/>
    <w:rsid w:val="00445265"/>
    <w:rsid w:val="004559CE"/>
    <w:rsid w:val="00457983"/>
    <w:rsid w:val="00460E1A"/>
    <w:rsid w:val="00463DF8"/>
    <w:rsid w:val="00464D63"/>
    <w:rsid w:val="00475085"/>
    <w:rsid w:val="00475FD0"/>
    <w:rsid w:val="00476CF6"/>
    <w:rsid w:val="00477AA8"/>
    <w:rsid w:val="00481AB4"/>
    <w:rsid w:val="00492FCB"/>
    <w:rsid w:val="00494936"/>
    <w:rsid w:val="004A0F07"/>
    <w:rsid w:val="004A0F11"/>
    <w:rsid w:val="004A3EAA"/>
    <w:rsid w:val="004A7D97"/>
    <w:rsid w:val="004B5133"/>
    <w:rsid w:val="004C41B6"/>
    <w:rsid w:val="004C7F64"/>
    <w:rsid w:val="004D1E7E"/>
    <w:rsid w:val="004D2E40"/>
    <w:rsid w:val="004D6E37"/>
    <w:rsid w:val="004E00EA"/>
    <w:rsid w:val="004E7F62"/>
    <w:rsid w:val="004F4B92"/>
    <w:rsid w:val="00500299"/>
    <w:rsid w:val="0051443A"/>
    <w:rsid w:val="005162C2"/>
    <w:rsid w:val="00516785"/>
    <w:rsid w:val="0052419D"/>
    <w:rsid w:val="005301F8"/>
    <w:rsid w:val="005312FC"/>
    <w:rsid w:val="00534A94"/>
    <w:rsid w:val="0053569E"/>
    <w:rsid w:val="0053603D"/>
    <w:rsid w:val="0053742A"/>
    <w:rsid w:val="00537C85"/>
    <w:rsid w:val="0054112D"/>
    <w:rsid w:val="005418EE"/>
    <w:rsid w:val="00541D29"/>
    <w:rsid w:val="00553D07"/>
    <w:rsid w:val="00562F17"/>
    <w:rsid w:val="0056582C"/>
    <w:rsid w:val="00567FF3"/>
    <w:rsid w:val="005868DE"/>
    <w:rsid w:val="005877AC"/>
    <w:rsid w:val="005966B7"/>
    <w:rsid w:val="005B5E2A"/>
    <w:rsid w:val="005C02A4"/>
    <w:rsid w:val="005C20D2"/>
    <w:rsid w:val="005C2B16"/>
    <w:rsid w:val="005C32FE"/>
    <w:rsid w:val="005C503A"/>
    <w:rsid w:val="005D024A"/>
    <w:rsid w:val="005D1DE5"/>
    <w:rsid w:val="005D4FD4"/>
    <w:rsid w:val="005D6D64"/>
    <w:rsid w:val="005F63BE"/>
    <w:rsid w:val="00601650"/>
    <w:rsid w:val="0060370A"/>
    <w:rsid w:val="00604EEF"/>
    <w:rsid w:val="00605AFD"/>
    <w:rsid w:val="006123D4"/>
    <w:rsid w:val="0061445B"/>
    <w:rsid w:val="00615A86"/>
    <w:rsid w:val="0062021C"/>
    <w:rsid w:val="00624C4B"/>
    <w:rsid w:val="00644452"/>
    <w:rsid w:val="006477CC"/>
    <w:rsid w:val="006564D3"/>
    <w:rsid w:val="00667F21"/>
    <w:rsid w:val="0067622C"/>
    <w:rsid w:val="00677BAC"/>
    <w:rsid w:val="00685CF7"/>
    <w:rsid w:val="00686165"/>
    <w:rsid w:val="00691CB5"/>
    <w:rsid w:val="006923DF"/>
    <w:rsid w:val="006A37F5"/>
    <w:rsid w:val="006A56CB"/>
    <w:rsid w:val="006B38FF"/>
    <w:rsid w:val="006C1892"/>
    <w:rsid w:val="006C5B73"/>
    <w:rsid w:val="006C645D"/>
    <w:rsid w:val="006E2D2A"/>
    <w:rsid w:val="006E3CC3"/>
    <w:rsid w:val="006F7C78"/>
    <w:rsid w:val="00705E98"/>
    <w:rsid w:val="00706E8E"/>
    <w:rsid w:val="0071282C"/>
    <w:rsid w:val="00722B53"/>
    <w:rsid w:val="007331C0"/>
    <w:rsid w:val="0074027D"/>
    <w:rsid w:val="00744601"/>
    <w:rsid w:val="00746E44"/>
    <w:rsid w:val="007509DD"/>
    <w:rsid w:val="00751F88"/>
    <w:rsid w:val="00757EBB"/>
    <w:rsid w:val="00763474"/>
    <w:rsid w:val="007643CF"/>
    <w:rsid w:val="00772AB6"/>
    <w:rsid w:val="00774902"/>
    <w:rsid w:val="00784C0A"/>
    <w:rsid w:val="00794B40"/>
    <w:rsid w:val="00796343"/>
    <w:rsid w:val="007A1079"/>
    <w:rsid w:val="007A24B5"/>
    <w:rsid w:val="007A6696"/>
    <w:rsid w:val="007A7C43"/>
    <w:rsid w:val="007B2677"/>
    <w:rsid w:val="007B76AB"/>
    <w:rsid w:val="007D0F3C"/>
    <w:rsid w:val="007D592B"/>
    <w:rsid w:val="007D5AA6"/>
    <w:rsid w:val="007D7A91"/>
    <w:rsid w:val="007E6456"/>
    <w:rsid w:val="007F377F"/>
    <w:rsid w:val="007F55E4"/>
    <w:rsid w:val="008017D2"/>
    <w:rsid w:val="00806346"/>
    <w:rsid w:val="00811943"/>
    <w:rsid w:val="00827E69"/>
    <w:rsid w:val="008311B8"/>
    <w:rsid w:val="00834243"/>
    <w:rsid w:val="00851257"/>
    <w:rsid w:val="00857969"/>
    <w:rsid w:val="00876581"/>
    <w:rsid w:val="008817A9"/>
    <w:rsid w:val="00882CC4"/>
    <w:rsid w:val="008844AC"/>
    <w:rsid w:val="008A33E2"/>
    <w:rsid w:val="008C556A"/>
    <w:rsid w:val="008C7F71"/>
    <w:rsid w:val="008D339F"/>
    <w:rsid w:val="008E2C2F"/>
    <w:rsid w:val="008E6292"/>
    <w:rsid w:val="008E7BAF"/>
    <w:rsid w:val="008F1FA0"/>
    <w:rsid w:val="008F23EB"/>
    <w:rsid w:val="0090447B"/>
    <w:rsid w:val="00917E28"/>
    <w:rsid w:val="00923A0F"/>
    <w:rsid w:val="00925AA5"/>
    <w:rsid w:val="0093540D"/>
    <w:rsid w:val="0094019D"/>
    <w:rsid w:val="00942C11"/>
    <w:rsid w:val="0094351F"/>
    <w:rsid w:val="00944A88"/>
    <w:rsid w:val="009506BE"/>
    <w:rsid w:val="009547F8"/>
    <w:rsid w:val="00961C76"/>
    <w:rsid w:val="009644D6"/>
    <w:rsid w:val="009729D4"/>
    <w:rsid w:val="00973307"/>
    <w:rsid w:val="00976FBD"/>
    <w:rsid w:val="00980759"/>
    <w:rsid w:val="009817B0"/>
    <w:rsid w:val="009821CE"/>
    <w:rsid w:val="009A277C"/>
    <w:rsid w:val="009A658F"/>
    <w:rsid w:val="009B2A0D"/>
    <w:rsid w:val="009B47F9"/>
    <w:rsid w:val="009B5922"/>
    <w:rsid w:val="009E171B"/>
    <w:rsid w:val="00A015E8"/>
    <w:rsid w:val="00A07D47"/>
    <w:rsid w:val="00A12F62"/>
    <w:rsid w:val="00A13536"/>
    <w:rsid w:val="00A1409E"/>
    <w:rsid w:val="00A1426A"/>
    <w:rsid w:val="00A14FE9"/>
    <w:rsid w:val="00A358AC"/>
    <w:rsid w:val="00A3749B"/>
    <w:rsid w:val="00A37D87"/>
    <w:rsid w:val="00A50D88"/>
    <w:rsid w:val="00A5416B"/>
    <w:rsid w:val="00A56923"/>
    <w:rsid w:val="00A61C84"/>
    <w:rsid w:val="00A62E42"/>
    <w:rsid w:val="00A64A71"/>
    <w:rsid w:val="00A662BC"/>
    <w:rsid w:val="00A72960"/>
    <w:rsid w:val="00A72D8F"/>
    <w:rsid w:val="00A72E16"/>
    <w:rsid w:val="00A93401"/>
    <w:rsid w:val="00AA6929"/>
    <w:rsid w:val="00AB0427"/>
    <w:rsid w:val="00AB0730"/>
    <w:rsid w:val="00AC3196"/>
    <w:rsid w:val="00AD6E0E"/>
    <w:rsid w:val="00AE2F90"/>
    <w:rsid w:val="00AE3935"/>
    <w:rsid w:val="00AE473E"/>
    <w:rsid w:val="00AF7FBB"/>
    <w:rsid w:val="00B0137C"/>
    <w:rsid w:val="00B03DD6"/>
    <w:rsid w:val="00B23317"/>
    <w:rsid w:val="00B348BD"/>
    <w:rsid w:val="00B3583B"/>
    <w:rsid w:val="00B36132"/>
    <w:rsid w:val="00B37A8F"/>
    <w:rsid w:val="00B400FC"/>
    <w:rsid w:val="00B65347"/>
    <w:rsid w:val="00B65DE1"/>
    <w:rsid w:val="00B7569A"/>
    <w:rsid w:val="00B77711"/>
    <w:rsid w:val="00B77EF4"/>
    <w:rsid w:val="00B87927"/>
    <w:rsid w:val="00B95DC7"/>
    <w:rsid w:val="00B9784B"/>
    <w:rsid w:val="00BA586E"/>
    <w:rsid w:val="00BB5331"/>
    <w:rsid w:val="00BB7F3F"/>
    <w:rsid w:val="00BD26AA"/>
    <w:rsid w:val="00BD454F"/>
    <w:rsid w:val="00BF3F08"/>
    <w:rsid w:val="00BF3F5F"/>
    <w:rsid w:val="00C01DCC"/>
    <w:rsid w:val="00C02548"/>
    <w:rsid w:val="00C06518"/>
    <w:rsid w:val="00C202B3"/>
    <w:rsid w:val="00C21EE0"/>
    <w:rsid w:val="00C22776"/>
    <w:rsid w:val="00C24F91"/>
    <w:rsid w:val="00C30297"/>
    <w:rsid w:val="00C420BF"/>
    <w:rsid w:val="00C6406B"/>
    <w:rsid w:val="00C72318"/>
    <w:rsid w:val="00C724E6"/>
    <w:rsid w:val="00C730AC"/>
    <w:rsid w:val="00C747A5"/>
    <w:rsid w:val="00C80355"/>
    <w:rsid w:val="00C85314"/>
    <w:rsid w:val="00C86FF1"/>
    <w:rsid w:val="00C94436"/>
    <w:rsid w:val="00CA0116"/>
    <w:rsid w:val="00CA4BC0"/>
    <w:rsid w:val="00CA5CA8"/>
    <w:rsid w:val="00CB0157"/>
    <w:rsid w:val="00CB5205"/>
    <w:rsid w:val="00CB5716"/>
    <w:rsid w:val="00CC559D"/>
    <w:rsid w:val="00CD27EC"/>
    <w:rsid w:val="00CD654B"/>
    <w:rsid w:val="00CE223E"/>
    <w:rsid w:val="00CF3F0D"/>
    <w:rsid w:val="00D101F7"/>
    <w:rsid w:val="00D1125B"/>
    <w:rsid w:val="00D1158A"/>
    <w:rsid w:val="00D11F1E"/>
    <w:rsid w:val="00D145F5"/>
    <w:rsid w:val="00D324EC"/>
    <w:rsid w:val="00D355F0"/>
    <w:rsid w:val="00D43AC8"/>
    <w:rsid w:val="00D44F37"/>
    <w:rsid w:val="00D54EAA"/>
    <w:rsid w:val="00D56113"/>
    <w:rsid w:val="00D60004"/>
    <w:rsid w:val="00D6108B"/>
    <w:rsid w:val="00D833D9"/>
    <w:rsid w:val="00D83BD9"/>
    <w:rsid w:val="00D9013E"/>
    <w:rsid w:val="00D94586"/>
    <w:rsid w:val="00D94DCF"/>
    <w:rsid w:val="00D94EAE"/>
    <w:rsid w:val="00D96497"/>
    <w:rsid w:val="00D97851"/>
    <w:rsid w:val="00DA0933"/>
    <w:rsid w:val="00DA56BF"/>
    <w:rsid w:val="00DA586F"/>
    <w:rsid w:val="00DB08DA"/>
    <w:rsid w:val="00DB7F09"/>
    <w:rsid w:val="00DC00E8"/>
    <w:rsid w:val="00DC1C56"/>
    <w:rsid w:val="00DC36C3"/>
    <w:rsid w:val="00DC4756"/>
    <w:rsid w:val="00DC6379"/>
    <w:rsid w:val="00DD2C53"/>
    <w:rsid w:val="00DE0431"/>
    <w:rsid w:val="00DE3C77"/>
    <w:rsid w:val="00DF5F95"/>
    <w:rsid w:val="00DF6F61"/>
    <w:rsid w:val="00E0177A"/>
    <w:rsid w:val="00E045B8"/>
    <w:rsid w:val="00E05991"/>
    <w:rsid w:val="00E101C6"/>
    <w:rsid w:val="00E10DC8"/>
    <w:rsid w:val="00E22D51"/>
    <w:rsid w:val="00E23B75"/>
    <w:rsid w:val="00E27C01"/>
    <w:rsid w:val="00E30110"/>
    <w:rsid w:val="00E509A0"/>
    <w:rsid w:val="00E50E7C"/>
    <w:rsid w:val="00E51545"/>
    <w:rsid w:val="00E51D9E"/>
    <w:rsid w:val="00E537D1"/>
    <w:rsid w:val="00E567E6"/>
    <w:rsid w:val="00E56971"/>
    <w:rsid w:val="00E57D77"/>
    <w:rsid w:val="00E61484"/>
    <w:rsid w:val="00E711D7"/>
    <w:rsid w:val="00E815E1"/>
    <w:rsid w:val="00E902B0"/>
    <w:rsid w:val="00E902E8"/>
    <w:rsid w:val="00E959E2"/>
    <w:rsid w:val="00EA0B00"/>
    <w:rsid w:val="00EA1E21"/>
    <w:rsid w:val="00EA23AC"/>
    <w:rsid w:val="00EA7C3D"/>
    <w:rsid w:val="00EB084D"/>
    <w:rsid w:val="00EB13D0"/>
    <w:rsid w:val="00EB6878"/>
    <w:rsid w:val="00EC1E0E"/>
    <w:rsid w:val="00EC236D"/>
    <w:rsid w:val="00EC6B16"/>
    <w:rsid w:val="00ED149A"/>
    <w:rsid w:val="00EE1447"/>
    <w:rsid w:val="00EF003E"/>
    <w:rsid w:val="00EF145E"/>
    <w:rsid w:val="00EF24B3"/>
    <w:rsid w:val="00EF2BBB"/>
    <w:rsid w:val="00F0082D"/>
    <w:rsid w:val="00F015AB"/>
    <w:rsid w:val="00F07C90"/>
    <w:rsid w:val="00F12E86"/>
    <w:rsid w:val="00F265D3"/>
    <w:rsid w:val="00F3259B"/>
    <w:rsid w:val="00F33DB8"/>
    <w:rsid w:val="00F57BED"/>
    <w:rsid w:val="00F60198"/>
    <w:rsid w:val="00F61B74"/>
    <w:rsid w:val="00F7613A"/>
    <w:rsid w:val="00F77988"/>
    <w:rsid w:val="00F82746"/>
    <w:rsid w:val="00F82B57"/>
    <w:rsid w:val="00F836F9"/>
    <w:rsid w:val="00F845D7"/>
    <w:rsid w:val="00F92279"/>
    <w:rsid w:val="00F93C00"/>
    <w:rsid w:val="00F94BB4"/>
    <w:rsid w:val="00F94CB7"/>
    <w:rsid w:val="00FA6D0F"/>
    <w:rsid w:val="00FB2746"/>
    <w:rsid w:val="00FB4D21"/>
    <w:rsid w:val="00FB53AF"/>
    <w:rsid w:val="00FB71E5"/>
    <w:rsid w:val="00FB762B"/>
    <w:rsid w:val="00FC42A6"/>
    <w:rsid w:val="00FC6ADA"/>
    <w:rsid w:val="00FF447A"/>
    <w:rsid w:val="3C87A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BAD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0D1"/>
    <w:pPr>
      <w:spacing w:before="120" w:after="120"/>
    </w:pPr>
    <w:rPr>
      <w:rFonts w:ascii="Calibri" w:eastAsia="Times New Roman" w:hAnsi="Calibri" w:cs="Times New Roman"/>
      <w:color w:val="262626" w:themeColor="text1" w:themeTint="D9"/>
      <w:szCs w:val="20"/>
      <w:lang w:eastAsia="en-AU"/>
    </w:rPr>
  </w:style>
  <w:style w:type="paragraph" w:styleId="Heading1">
    <w:name w:val="heading 1"/>
    <w:basedOn w:val="HeadingBase"/>
    <w:next w:val="Normal"/>
    <w:link w:val="Heading1Char"/>
    <w:qFormat/>
    <w:rsid w:val="0074027D"/>
    <w:pPr>
      <w:spacing w:before="360" w:after="240" w:line="259" w:lineRule="auto"/>
      <w:outlineLvl w:val="0"/>
    </w:pPr>
    <w:rPr>
      <w:b/>
      <w:bCs w:val="0"/>
      <w:color w:val="002C47"/>
      <w:sz w:val="40"/>
    </w:rPr>
  </w:style>
  <w:style w:type="paragraph" w:styleId="Heading2">
    <w:name w:val="heading 2"/>
    <w:basedOn w:val="HeadingBase"/>
    <w:next w:val="Normal"/>
    <w:link w:val="Heading2Char"/>
    <w:qFormat/>
    <w:rsid w:val="0074027D"/>
    <w:pPr>
      <w:spacing w:before="240" w:after="240" w:line="259" w:lineRule="auto"/>
      <w:outlineLvl w:val="1"/>
    </w:pPr>
    <w:rPr>
      <w:b/>
      <w:bCs w:val="0"/>
      <w:iCs/>
      <w:color w:val="004C7A"/>
      <w:sz w:val="32"/>
      <w:szCs w:val="28"/>
    </w:rPr>
  </w:style>
  <w:style w:type="paragraph" w:styleId="Heading3">
    <w:name w:val="heading 3"/>
    <w:basedOn w:val="HeadingBase"/>
    <w:next w:val="Normal"/>
    <w:link w:val="Heading3Char"/>
    <w:qFormat/>
    <w:rsid w:val="0074027D"/>
    <w:pPr>
      <w:spacing w:before="120" w:line="259" w:lineRule="auto"/>
      <w:outlineLvl w:val="2"/>
    </w:pPr>
    <w:rPr>
      <w:b/>
      <w:bCs w:val="0"/>
      <w:color w:val="0066A4"/>
      <w:sz w:val="28"/>
      <w:szCs w:val="26"/>
    </w:rPr>
  </w:style>
  <w:style w:type="paragraph" w:styleId="Heading4">
    <w:name w:val="heading 4"/>
    <w:basedOn w:val="HeadingBase"/>
    <w:next w:val="Normal"/>
    <w:link w:val="Heading4Char"/>
    <w:qFormat/>
    <w:rsid w:val="0074027D"/>
    <w:pPr>
      <w:spacing w:before="120" w:line="22" w:lineRule="exact"/>
      <w:outlineLvl w:val="3"/>
    </w:pPr>
    <w:rPr>
      <w:b/>
      <w:bCs w:val="0"/>
      <w:color w:val="0091EA"/>
      <w:sz w:val="24"/>
      <w:szCs w:val="26"/>
    </w:rPr>
  </w:style>
  <w:style w:type="paragraph" w:styleId="Heading5">
    <w:name w:val="heading 5"/>
    <w:basedOn w:val="HeadingBase"/>
    <w:next w:val="Normal"/>
    <w:link w:val="Heading5Char"/>
    <w:rsid w:val="00746E44"/>
    <w:pPr>
      <w:outlineLvl w:val="4"/>
    </w:pPr>
    <w:rPr>
      <w:b/>
      <w:bCs w:val="0"/>
      <w:iCs/>
      <w:color w:val="3A73AD"/>
      <w:sz w:val="22"/>
    </w:rPr>
  </w:style>
  <w:style w:type="paragraph" w:styleId="Heading6">
    <w:name w:val="heading 6"/>
    <w:basedOn w:val="HeadingBase"/>
    <w:next w:val="Normal"/>
    <w:link w:val="Heading6Char"/>
    <w:rsid w:val="00746E44"/>
    <w:pPr>
      <w:outlineLvl w:val="5"/>
    </w:pPr>
    <w:rPr>
      <w:bCs w:val="0"/>
      <w:color w:val="3A73AD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464D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52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027D"/>
    <w:rPr>
      <w:rFonts w:ascii="Calibri" w:eastAsia="Times New Roman" w:hAnsi="Calibri" w:cs="Arial"/>
      <w:b/>
      <w:color w:val="002C47"/>
      <w:kern w:val="32"/>
      <w:sz w:val="40"/>
      <w:szCs w:val="36"/>
      <w:lang w:eastAsia="en-AU"/>
    </w:rPr>
  </w:style>
  <w:style w:type="character" w:customStyle="1" w:styleId="Heading2Char">
    <w:name w:val="Heading 2 Char"/>
    <w:basedOn w:val="DefaultParagraphFont"/>
    <w:link w:val="Heading2"/>
    <w:rsid w:val="0074027D"/>
    <w:rPr>
      <w:rFonts w:ascii="Calibri" w:eastAsia="Times New Roman" w:hAnsi="Calibri" w:cs="Arial"/>
      <w:b/>
      <w:iCs/>
      <w:color w:val="004C7A"/>
      <w:kern w:val="32"/>
      <w:sz w:val="32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74027D"/>
    <w:rPr>
      <w:rFonts w:ascii="Calibri" w:eastAsia="Times New Roman" w:hAnsi="Calibri" w:cs="Arial"/>
      <w:b/>
      <w:color w:val="0066A4"/>
      <w:kern w:val="32"/>
      <w:sz w:val="28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rsid w:val="0074027D"/>
    <w:rPr>
      <w:rFonts w:ascii="Calibri" w:eastAsia="Times New Roman" w:hAnsi="Calibri" w:cs="Arial"/>
      <w:b/>
      <w:color w:val="0091EA"/>
      <w:kern w:val="32"/>
      <w:sz w:val="24"/>
      <w:szCs w:val="26"/>
      <w:lang w:eastAsia="en-AU"/>
    </w:rPr>
  </w:style>
  <w:style w:type="character" w:customStyle="1" w:styleId="Heading5Char">
    <w:name w:val="Heading 5 Char"/>
    <w:basedOn w:val="DefaultParagraphFont"/>
    <w:link w:val="Heading5"/>
    <w:rsid w:val="00746E44"/>
    <w:rPr>
      <w:rFonts w:ascii="Calibri" w:eastAsia="Times New Roman" w:hAnsi="Calibri" w:cs="Arial"/>
      <w:b/>
      <w:iCs/>
      <w:color w:val="3A73AD"/>
      <w:kern w:val="32"/>
      <w:szCs w:val="36"/>
      <w:lang w:eastAsia="en-AU"/>
    </w:rPr>
  </w:style>
  <w:style w:type="character" w:customStyle="1" w:styleId="Heading6Char">
    <w:name w:val="Heading 6 Char"/>
    <w:basedOn w:val="DefaultParagraphFont"/>
    <w:link w:val="Heading6"/>
    <w:rsid w:val="00746E44"/>
    <w:rPr>
      <w:rFonts w:ascii="Calibri" w:eastAsia="Times New Roman" w:hAnsi="Calibri" w:cs="Arial"/>
      <w:color w:val="3A73AD"/>
      <w:kern w:val="32"/>
      <w:lang w:eastAsia="en-AU"/>
    </w:rPr>
  </w:style>
  <w:style w:type="paragraph" w:customStyle="1" w:styleId="ChartGraphic">
    <w:name w:val="Chart Graphic"/>
    <w:basedOn w:val="Normal"/>
    <w:next w:val="Normal"/>
    <w:rsid w:val="000E0B74"/>
    <w:pPr>
      <w:keepNext/>
      <w:spacing w:before="0" w:after="0"/>
      <w:jc w:val="center"/>
    </w:pPr>
    <w:rPr>
      <w:color w:val="004A7F"/>
      <w:sz w:val="20"/>
    </w:rPr>
  </w:style>
  <w:style w:type="paragraph" w:customStyle="1" w:styleId="AlphaParagraph">
    <w:name w:val="Alpha Paragraph"/>
    <w:basedOn w:val="Normal"/>
    <w:rsid w:val="000E0B74"/>
    <w:pPr>
      <w:numPr>
        <w:ilvl w:val="1"/>
        <w:numId w:val="10"/>
      </w:numPr>
      <w:spacing w:before="0"/>
    </w:pPr>
  </w:style>
  <w:style w:type="paragraph" w:customStyle="1" w:styleId="BoxBullet">
    <w:name w:val="Box Bullet"/>
    <w:basedOn w:val="Normal"/>
    <w:rsid w:val="000E0B74"/>
    <w:pPr>
      <w:numPr>
        <w:numId w:val="2"/>
      </w:numPr>
      <w:spacing w:before="0"/>
      <w:ind w:left="284" w:hanging="284"/>
    </w:pPr>
  </w:style>
  <w:style w:type="paragraph" w:customStyle="1" w:styleId="BoxDash">
    <w:name w:val="Box Dash"/>
    <w:basedOn w:val="Normal"/>
    <w:rsid w:val="000E0B74"/>
    <w:pPr>
      <w:numPr>
        <w:ilvl w:val="1"/>
        <w:numId w:val="2"/>
      </w:numPr>
      <w:spacing w:before="0"/>
      <w:ind w:left="568"/>
    </w:pPr>
  </w:style>
  <w:style w:type="paragraph" w:customStyle="1" w:styleId="BoxDoubleDot">
    <w:name w:val="Box Double Dot"/>
    <w:basedOn w:val="Normal"/>
    <w:rsid w:val="000E0B74"/>
    <w:pPr>
      <w:numPr>
        <w:ilvl w:val="2"/>
        <w:numId w:val="2"/>
      </w:numPr>
      <w:spacing w:before="0"/>
      <w:ind w:left="851" w:hanging="284"/>
    </w:pPr>
  </w:style>
  <w:style w:type="paragraph" w:customStyle="1" w:styleId="BoxHeading">
    <w:name w:val="Box Heading"/>
    <w:basedOn w:val="Normal"/>
    <w:next w:val="Normal"/>
    <w:rsid w:val="00F93C00"/>
    <w:pPr>
      <w:keepNext/>
      <w:spacing w:before="240"/>
    </w:pPr>
    <w:rPr>
      <w:b/>
      <w:color w:val="002C47" w:themeColor="accent1"/>
      <w:sz w:val="26"/>
      <w:szCs w:val="26"/>
    </w:rPr>
  </w:style>
  <w:style w:type="paragraph" w:customStyle="1" w:styleId="BoxText">
    <w:name w:val="Box Text"/>
    <w:basedOn w:val="Normal"/>
    <w:rsid w:val="000E0B74"/>
  </w:style>
  <w:style w:type="paragraph" w:customStyle="1" w:styleId="Bullet">
    <w:name w:val="Bullet"/>
    <w:basedOn w:val="Normal"/>
    <w:uiPriority w:val="99"/>
    <w:rsid w:val="000E0B74"/>
    <w:pPr>
      <w:numPr>
        <w:numId w:val="1"/>
      </w:numPr>
      <w:spacing w:before="0"/>
      <w:ind w:left="284" w:hanging="284"/>
    </w:pPr>
  </w:style>
  <w:style w:type="paragraph" w:customStyle="1" w:styleId="ChartandTableFootnoteAlpha">
    <w:name w:val="Chart and Table Footnote Alpha"/>
    <w:rsid w:val="0023305C"/>
    <w:pPr>
      <w:numPr>
        <w:numId w:val="7"/>
      </w:numPr>
      <w:tabs>
        <w:tab w:val="num" w:pos="284"/>
      </w:tabs>
      <w:spacing w:after="0" w:line="240" w:lineRule="auto"/>
      <w:ind w:left="284" w:hanging="284"/>
      <w:jc w:val="both"/>
    </w:pPr>
    <w:rPr>
      <w:rFonts w:ascii="Calibri" w:eastAsia="Times New Roman" w:hAnsi="Calibri" w:cs="Times New Roman"/>
      <w:color w:val="000000"/>
      <w:sz w:val="18"/>
      <w:szCs w:val="16"/>
      <w:lang w:eastAsia="en-AU"/>
    </w:rPr>
  </w:style>
  <w:style w:type="paragraph" w:customStyle="1" w:styleId="ChartMainHeading">
    <w:name w:val="Chart Main Heading"/>
    <w:basedOn w:val="TableMainHeading"/>
    <w:next w:val="ChartGraphic"/>
    <w:rsid w:val="006564D3"/>
    <w:pPr>
      <w:jc w:val="center"/>
    </w:pPr>
  </w:style>
  <w:style w:type="paragraph" w:customStyle="1" w:styleId="ChartorTableNote">
    <w:name w:val="Chart or Table Note"/>
    <w:next w:val="Normal"/>
    <w:rsid w:val="000E0B74"/>
    <w:pPr>
      <w:spacing w:after="0" w:line="240" w:lineRule="auto"/>
      <w:jc w:val="both"/>
    </w:pPr>
    <w:rPr>
      <w:rFonts w:ascii="Calibri" w:eastAsia="Times New Roman" w:hAnsi="Calibri" w:cs="Times New Roman"/>
      <w:color w:val="000000"/>
      <w:sz w:val="18"/>
      <w:szCs w:val="20"/>
      <w:lang w:eastAsia="en-AU"/>
    </w:rPr>
  </w:style>
  <w:style w:type="paragraph" w:customStyle="1" w:styleId="ChartSecondHeading">
    <w:name w:val="Chart Second Heading"/>
    <w:basedOn w:val="TableSecondHeading"/>
    <w:next w:val="ChartGraphic"/>
    <w:rsid w:val="006564D3"/>
    <w:pPr>
      <w:jc w:val="center"/>
    </w:pPr>
  </w:style>
  <w:style w:type="paragraph" w:customStyle="1" w:styleId="ReportDate">
    <w:name w:val="Report Date"/>
    <w:basedOn w:val="Normal"/>
    <w:link w:val="ReportDateChar"/>
    <w:rsid w:val="007A24B5"/>
    <w:pPr>
      <w:keepNext/>
      <w:spacing w:before="0" w:after="360"/>
    </w:pPr>
    <w:rPr>
      <w:color w:val="FFFFFF" w:themeColor="background1"/>
      <w:sz w:val="44"/>
    </w:rPr>
  </w:style>
  <w:style w:type="paragraph" w:customStyle="1" w:styleId="Dash">
    <w:name w:val="Dash"/>
    <w:basedOn w:val="Normal"/>
    <w:uiPriority w:val="99"/>
    <w:rsid w:val="000E0B74"/>
    <w:pPr>
      <w:numPr>
        <w:ilvl w:val="1"/>
        <w:numId w:val="1"/>
      </w:numPr>
      <w:spacing w:before="0"/>
      <w:ind w:left="568"/>
    </w:pPr>
  </w:style>
  <w:style w:type="paragraph" w:customStyle="1" w:styleId="DoubleDot">
    <w:name w:val="Double Dot"/>
    <w:basedOn w:val="Normal"/>
    <w:uiPriority w:val="99"/>
    <w:rsid w:val="000E0B74"/>
    <w:pPr>
      <w:numPr>
        <w:ilvl w:val="2"/>
        <w:numId w:val="1"/>
      </w:numPr>
      <w:spacing w:before="0"/>
      <w:ind w:left="851" w:hanging="284"/>
    </w:pPr>
  </w:style>
  <w:style w:type="paragraph" w:customStyle="1" w:styleId="TableMainHeading">
    <w:name w:val="Table Main Heading"/>
    <w:basedOn w:val="Heading3"/>
    <w:next w:val="Normal"/>
    <w:rsid w:val="000E0B74"/>
    <w:pPr>
      <w:spacing w:after="0"/>
    </w:pPr>
    <w:rPr>
      <w:b w:val="0"/>
    </w:rPr>
  </w:style>
  <w:style w:type="paragraph" w:customStyle="1" w:styleId="FooterEven">
    <w:name w:val="Footer Even"/>
    <w:basedOn w:val="Footer"/>
    <w:rsid w:val="00F60198"/>
    <w:pPr>
      <w:keepNext/>
      <w:tabs>
        <w:tab w:val="clear" w:pos="4513"/>
        <w:tab w:val="clear" w:pos="9026"/>
      </w:tabs>
      <w:jc w:val="left"/>
    </w:pPr>
    <w:rPr>
      <w:noProof/>
    </w:rPr>
  </w:style>
  <w:style w:type="paragraph" w:customStyle="1" w:styleId="FooterOdd">
    <w:name w:val="Footer Odd"/>
    <w:basedOn w:val="Footer"/>
    <w:rsid w:val="00F60198"/>
    <w:pPr>
      <w:keepNext/>
      <w:tabs>
        <w:tab w:val="clear" w:pos="4513"/>
        <w:tab w:val="clear" w:pos="9026"/>
      </w:tabs>
      <w:jc w:val="right"/>
    </w:pPr>
  </w:style>
  <w:style w:type="character" w:styleId="Hyperlink">
    <w:name w:val="Hyperlink"/>
    <w:basedOn w:val="DefaultParagraphFont"/>
    <w:uiPriority w:val="99"/>
    <w:qFormat/>
    <w:rsid w:val="00644452"/>
    <w:rPr>
      <w:color w:val="004C7A"/>
      <w:u w:val="none"/>
    </w:rPr>
  </w:style>
  <w:style w:type="paragraph" w:customStyle="1" w:styleId="OutlineNumbered1">
    <w:name w:val="Outline Numbered 1"/>
    <w:basedOn w:val="Normal"/>
    <w:rsid w:val="000E0B74"/>
    <w:pPr>
      <w:numPr>
        <w:numId w:val="6"/>
      </w:numPr>
      <w:spacing w:before="0"/>
    </w:pPr>
  </w:style>
  <w:style w:type="paragraph" w:customStyle="1" w:styleId="OneLevelNumberedParagraph">
    <w:name w:val="One Level Numbered Paragraph"/>
    <w:basedOn w:val="Normal"/>
    <w:rsid w:val="000E0B74"/>
    <w:pPr>
      <w:numPr>
        <w:numId w:val="5"/>
      </w:numPr>
      <w:spacing w:before="0"/>
    </w:pPr>
  </w:style>
  <w:style w:type="paragraph" w:customStyle="1" w:styleId="OutlineNumbered2">
    <w:name w:val="Outline Numbered 2"/>
    <w:basedOn w:val="Normal"/>
    <w:rsid w:val="000E0B74"/>
    <w:pPr>
      <w:numPr>
        <w:ilvl w:val="1"/>
        <w:numId w:val="6"/>
      </w:numPr>
      <w:spacing w:before="0"/>
    </w:pPr>
  </w:style>
  <w:style w:type="paragraph" w:customStyle="1" w:styleId="OutlineNumbered3">
    <w:name w:val="Outline Numbered 3"/>
    <w:basedOn w:val="Normal"/>
    <w:rsid w:val="000E0B74"/>
    <w:pPr>
      <w:numPr>
        <w:ilvl w:val="2"/>
        <w:numId w:val="6"/>
      </w:numPr>
      <w:spacing w:before="0"/>
    </w:pPr>
  </w:style>
  <w:style w:type="paragraph" w:customStyle="1" w:styleId="Romannumeral">
    <w:name w:val="Roman numeral"/>
    <w:basedOn w:val="Normal"/>
    <w:rsid w:val="004F4B92"/>
    <w:pPr>
      <w:numPr>
        <w:numId w:val="10"/>
      </w:numPr>
      <w:tabs>
        <w:tab w:val="clear" w:pos="720"/>
        <w:tab w:val="num" w:pos="851"/>
      </w:tabs>
      <w:spacing w:before="0"/>
      <w:ind w:left="851" w:hanging="851"/>
    </w:pPr>
  </w:style>
  <w:style w:type="paragraph" w:customStyle="1" w:styleId="SingleParagraph">
    <w:name w:val="Single Paragraph"/>
    <w:basedOn w:val="Normal"/>
    <w:link w:val="SingleParagraphChar"/>
    <w:rsid w:val="000E0B74"/>
    <w:pPr>
      <w:spacing w:before="0" w:after="0"/>
    </w:pPr>
  </w:style>
  <w:style w:type="paragraph" w:customStyle="1" w:styleId="TableSecondHeading">
    <w:name w:val="Table Second Heading"/>
    <w:basedOn w:val="Normal"/>
    <w:next w:val="Normal"/>
    <w:rsid w:val="00464D63"/>
    <w:pPr>
      <w:keepNext/>
      <w:spacing w:before="0" w:after="20"/>
    </w:pPr>
    <w:rPr>
      <w:b/>
      <w:color w:val="3A6FAF" w:themeColor="accent2"/>
    </w:rPr>
  </w:style>
  <w:style w:type="paragraph" w:customStyle="1" w:styleId="TableColumnHeadingCentred">
    <w:name w:val="Table Column Heading Centred"/>
    <w:basedOn w:val="TableTextLeft"/>
    <w:rsid w:val="006564D3"/>
    <w:pPr>
      <w:jc w:val="center"/>
    </w:pPr>
    <w:rPr>
      <w:b/>
      <w:color w:val="002C47" w:themeColor="accent1"/>
      <w:sz w:val="20"/>
    </w:rPr>
  </w:style>
  <w:style w:type="paragraph" w:customStyle="1" w:styleId="TableColumnHeadingLeft">
    <w:name w:val="Table Column Heading Left"/>
    <w:basedOn w:val="TableTextLeft"/>
    <w:rsid w:val="006564D3"/>
    <w:rPr>
      <w:b/>
      <w:color w:val="002C47" w:themeColor="accent1"/>
      <w:sz w:val="20"/>
    </w:rPr>
  </w:style>
  <w:style w:type="paragraph" w:customStyle="1" w:styleId="TableColumnHeadingRight">
    <w:name w:val="Table Column Heading Right"/>
    <w:basedOn w:val="TableTextLeft"/>
    <w:rsid w:val="006564D3"/>
    <w:pPr>
      <w:jc w:val="right"/>
    </w:pPr>
    <w:rPr>
      <w:b/>
      <w:color w:val="002C47" w:themeColor="accent1"/>
      <w:sz w:val="20"/>
    </w:rPr>
  </w:style>
  <w:style w:type="table" w:styleId="TableGrid">
    <w:name w:val="Table Grid"/>
    <w:basedOn w:val="TableNormal"/>
    <w:rsid w:val="000E0B74"/>
    <w:pPr>
      <w:spacing w:after="240" w:line="260" w:lineRule="exact"/>
      <w:jc w:val="both"/>
    </w:pPr>
    <w:rPr>
      <w:rFonts w:ascii="Times New Roman" w:eastAsia="Times New Roman" w:hAnsi="Times New Roman" w:cs="Times New Roman"/>
      <w:sz w:val="20"/>
      <w:szCs w:val="20"/>
      <w:lang w:eastAsia="en-AU"/>
    </w:rPr>
    <w:tblPr/>
    <w:tcPr>
      <w:shd w:val="clear" w:color="auto" w:fill="E6E6E6"/>
    </w:tcPr>
  </w:style>
  <w:style w:type="paragraph" w:customStyle="1" w:styleId="TableTextCentered">
    <w:name w:val="Table Text Centered"/>
    <w:basedOn w:val="TableTextRight"/>
    <w:rsid w:val="001972D2"/>
    <w:pPr>
      <w:jc w:val="center"/>
    </w:pPr>
  </w:style>
  <w:style w:type="paragraph" w:customStyle="1" w:styleId="TableTextLeft">
    <w:name w:val="Table Text Left"/>
    <w:basedOn w:val="TableTextRight"/>
    <w:rsid w:val="000E0B74"/>
    <w:pPr>
      <w:jc w:val="left"/>
    </w:pPr>
  </w:style>
  <w:style w:type="paragraph" w:customStyle="1" w:styleId="TableTextRight">
    <w:name w:val="Table Text Right"/>
    <w:basedOn w:val="Normal"/>
    <w:rsid w:val="000E0B74"/>
    <w:pPr>
      <w:spacing w:before="40" w:after="40"/>
      <w:jc w:val="right"/>
    </w:pPr>
    <w:rPr>
      <w:color w:val="000000"/>
      <w:sz w:val="18"/>
    </w:rPr>
  </w:style>
  <w:style w:type="paragraph" w:styleId="TOC1">
    <w:name w:val="toc 1"/>
    <w:basedOn w:val="Normal"/>
    <w:next w:val="Normal"/>
    <w:uiPriority w:val="39"/>
    <w:rsid w:val="006564D3"/>
    <w:pPr>
      <w:keepNext/>
      <w:tabs>
        <w:tab w:val="right" w:leader="dot" w:pos="9072"/>
      </w:tabs>
      <w:spacing w:before="180" w:after="0"/>
      <w:ind w:right="-2"/>
    </w:pPr>
    <w:rPr>
      <w:b/>
      <w:noProof/>
      <w:color w:val="002C47" w:themeColor="accent1"/>
      <w:szCs w:val="22"/>
    </w:rPr>
  </w:style>
  <w:style w:type="paragraph" w:styleId="TOC2">
    <w:name w:val="toc 2"/>
    <w:basedOn w:val="Normal"/>
    <w:next w:val="Normal"/>
    <w:uiPriority w:val="39"/>
    <w:rsid w:val="006564D3"/>
    <w:pPr>
      <w:keepNext/>
      <w:tabs>
        <w:tab w:val="right" w:leader="dot" w:pos="9072"/>
      </w:tabs>
      <w:spacing w:before="40" w:after="20"/>
      <w:ind w:right="-2"/>
    </w:pPr>
    <w:rPr>
      <w:noProof/>
      <w:color w:val="002C47" w:themeColor="accent1"/>
    </w:rPr>
  </w:style>
  <w:style w:type="paragraph" w:styleId="TOC3">
    <w:name w:val="toc 3"/>
    <w:basedOn w:val="Normal"/>
    <w:next w:val="Normal"/>
    <w:uiPriority w:val="39"/>
    <w:rsid w:val="006564D3"/>
    <w:pPr>
      <w:tabs>
        <w:tab w:val="right" w:leader="dot" w:pos="9072"/>
      </w:tabs>
      <w:spacing w:before="20" w:after="0"/>
      <w:ind w:left="284" w:right="-2"/>
    </w:pPr>
    <w:rPr>
      <w:rFonts w:cs="Calibri"/>
      <w:noProof/>
      <w:color w:val="3A6FAF" w:themeColor="accent2"/>
    </w:rPr>
  </w:style>
  <w:style w:type="numbering" w:customStyle="1" w:styleId="OutlineList">
    <w:name w:val="OutlineList"/>
    <w:uiPriority w:val="99"/>
    <w:rsid w:val="000E0B74"/>
    <w:pPr>
      <w:numPr>
        <w:numId w:val="4"/>
      </w:numPr>
    </w:pPr>
  </w:style>
  <w:style w:type="numbering" w:customStyle="1" w:styleId="BulletedList">
    <w:name w:val="Bulleted List"/>
    <w:uiPriority w:val="99"/>
    <w:rsid w:val="000E0B74"/>
    <w:pPr>
      <w:numPr>
        <w:numId w:val="1"/>
      </w:numPr>
    </w:pPr>
  </w:style>
  <w:style w:type="numbering" w:customStyle="1" w:styleId="BoxBulletedList">
    <w:name w:val="Box Bulleted List"/>
    <w:uiPriority w:val="99"/>
    <w:rsid w:val="000E0B74"/>
    <w:pPr>
      <w:numPr>
        <w:numId w:val="2"/>
      </w:numPr>
    </w:pPr>
  </w:style>
  <w:style w:type="numbering" w:customStyle="1" w:styleId="OneLevelList">
    <w:name w:val="OneLevelList"/>
    <w:uiPriority w:val="99"/>
    <w:rsid w:val="000E0B74"/>
    <w:pPr>
      <w:numPr>
        <w:numId w:val="3"/>
      </w:numPr>
    </w:pPr>
  </w:style>
  <w:style w:type="numbering" w:customStyle="1" w:styleId="ChartandTableFootnoteAlphaList">
    <w:name w:val="ChartandTableFootnoteAlphaList"/>
    <w:uiPriority w:val="99"/>
    <w:rsid w:val="000E0B74"/>
    <w:pPr>
      <w:numPr>
        <w:numId w:val="17"/>
      </w:numPr>
    </w:pPr>
  </w:style>
  <w:style w:type="paragraph" w:customStyle="1" w:styleId="Crest">
    <w:name w:val="Crest"/>
    <w:basedOn w:val="Header"/>
    <w:rsid w:val="000E0B74"/>
    <w:pPr>
      <w:spacing w:after="480"/>
      <w:jc w:val="center"/>
    </w:pPr>
    <w:rPr>
      <w:color w:val="000000" w:themeColor="text1"/>
    </w:rPr>
  </w:style>
  <w:style w:type="paragraph" w:customStyle="1" w:styleId="Heading1Numbered">
    <w:name w:val="Heading 1 Numbered"/>
    <w:basedOn w:val="Heading1"/>
    <w:next w:val="Normal"/>
    <w:rsid w:val="000E0B74"/>
    <w:pPr>
      <w:numPr>
        <w:numId w:val="8"/>
      </w:numPr>
    </w:pPr>
  </w:style>
  <w:style w:type="character" w:customStyle="1" w:styleId="SingleParagraphChar">
    <w:name w:val="Single Paragraph Char"/>
    <w:basedOn w:val="DefaultParagraphFont"/>
    <w:link w:val="SingleParagraph"/>
    <w:rsid w:val="000E0B74"/>
    <w:rPr>
      <w:rFonts w:ascii="Calibri" w:eastAsia="Times New Roman" w:hAnsi="Calibri" w:cs="Times New Roman"/>
      <w:szCs w:val="20"/>
      <w:lang w:eastAsia="en-AU"/>
    </w:rPr>
  </w:style>
  <w:style w:type="paragraph" w:customStyle="1" w:styleId="Heading2Numbered">
    <w:name w:val="Heading 2 Numbered"/>
    <w:basedOn w:val="Heading2"/>
    <w:next w:val="Normal"/>
    <w:rsid w:val="000E0B74"/>
    <w:pPr>
      <w:numPr>
        <w:ilvl w:val="1"/>
        <w:numId w:val="8"/>
      </w:numPr>
      <w:ind w:left="284" w:hanging="284"/>
    </w:pPr>
  </w:style>
  <w:style w:type="paragraph" w:customStyle="1" w:styleId="Heading3Numbered">
    <w:name w:val="Heading 3 Numbered"/>
    <w:basedOn w:val="Heading3"/>
    <w:rsid w:val="000E0B74"/>
    <w:pPr>
      <w:numPr>
        <w:ilvl w:val="2"/>
        <w:numId w:val="8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74027D"/>
    <w:pPr>
      <w:spacing w:before="360" w:after="240"/>
    </w:pPr>
    <w:rPr>
      <w:rFonts w:eastAsiaTheme="majorEastAsia" w:cstheme="majorBidi"/>
      <w:b/>
      <w:color w:val="FFFFFF" w:themeColor="background1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4027D"/>
    <w:rPr>
      <w:rFonts w:ascii="Calibri" w:eastAsiaTheme="majorEastAsia" w:hAnsi="Calibri" w:cstheme="majorBidi"/>
      <w:b/>
      <w:color w:val="FFFFFF" w:themeColor="background1"/>
      <w:spacing w:val="5"/>
      <w:kern w:val="28"/>
      <w:sz w:val="60"/>
      <w:szCs w:val="52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27D"/>
    <w:pPr>
      <w:numPr>
        <w:ilvl w:val="1"/>
      </w:numPr>
    </w:pPr>
    <w:rPr>
      <w:rFonts w:eastAsiaTheme="majorEastAsia" w:cstheme="majorBidi"/>
      <w:iCs/>
      <w:caps/>
      <w:color w:val="FFFFFF" w:themeColor="background1"/>
      <w:sz w:val="40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74027D"/>
    <w:rPr>
      <w:rFonts w:ascii="Calibri" w:eastAsiaTheme="majorEastAsia" w:hAnsi="Calibri" w:cstheme="majorBidi"/>
      <w:iCs/>
      <w:caps/>
      <w:color w:val="FFFFFF" w:themeColor="background1"/>
      <w:sz w:val="40"/>
      <w:szCs w:val="44"/>
      <w:lang w:eastAsia="en-AU"/>
    </w:rPr>
  </w:style>
  <w:style w:type="character" w:styleId="SubtleEmphasis">
    <w:name w:val="Subtle Emphasis"/>
    <w:basedOn w:val="DefaultParagraphFont"/>
    <w:uiPriority w:val="19"/>
    <w:rsid w:val="000E0B74"/>
    <w:rPr>
      <w:i/>
      <w:iCs/>
      <w:color w:val="808080" w:themeColor="text1" w:themeTint="7F"/>
    </w:rPr>
  </w:style>
  <w:style w:type="paragraph" w:styleId="Footer">
    <w:name w:val="footer"/>
    <w:basedOn w:val="Normal"/>
    <w:link w:val="FooterChar"/>
    <w:unhideWhenUsed/>
    <w:rsid w:val="00F60198"/>
    <w:pPr>
      <w:tabs>
        <w:tab w:val="center" w:pos="4513"/>
        <w:tab w:val="right" w:pos="9026"/>
      </w:tabs>
      <w:spacing w:before="0" w:after="0"/>
      <w:jc w:val="center"/>
    </w:pPr>
    <w:rPr>
      <w:color w:val="002C47"/>
      <w:sz w:val="20"/>
    </w:rPr>
  </w:style>
  <w:style w:type="character" w:customStyle="1" w:styleId="FooterChar">
    <w:name w:val="Footer Char"/>
    <w:basedOn w:val="DefaultParagraphFont"/>
    <w:link w:val="Footer"/>
    <w:rsid w:val="00F60198"/>
    <w:rPr>
      <w:rFonts w:ascii="Calibri" w:eastAsia="Times New Roman" w:hAnsi="Calibri" w:cs="Times New Roman"/>
      <w:color w:val="002C47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606CF"/>
    <w:pPr>
      <w:keepNext/>
      <w:spacing w:before="0" w:after="0"/>
      <w:jc w:val="right"/>
    </w:pPr>
    <w:rPr>
      <w:color w:val="004A7F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1606CF"/>
    <w:rPr>
      <w:rFonts w:ascii="Calibri" w:eastAsia="Times New Roman" w:hAnsi="Calibri" w:cs="Times New Roman"/>
      <w:color w:val="004A7F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056880"/>
    <w:rPr>
      <w:color w:val="808080"/>
    </w:rPr>
  </w:style>
  <w:style w:type="paragraph" w:customStyle="1" w:styleId="AppendixHeading">
    <w:name w:val="Appendix Heading"/>
    <w:basedOn w:val="Normal"/>
    <w:next w:val="Normal"/>
    <w:rsid w:val="00285969"/>
    <w:pPr>
      <w:keepNext/>
      <w:spacing w:before="720" w:after="360"/>
    </w:pPr>
    <w:rPr>
      <w:rFonts w:ascii="Arial Bold" w:hAnsi="Arial Bold"/>
      <w:b/>
      <w:smallCaps/>
      <w:color w:val="004A7F"/>
      <w:sz w:val="36"/>
      <w:szCs w:val="36"/>
    </w:rPr>
  </w:style>
  <w:style w:type="paragraph" w:customStyle="1" w:styleId="HeadingBase">
    <w:name w:val="Heading Base"/>
    <w:rsid w:val="006564D3"/>
    <w:pPr>
      <w:keepNext/>
      <w:spacing w:after="120" w:line="240" w:lineRule="auto"/>
    </w:pPr>
    <w:rPr>
      <w:rFonts w:ascii="Calibri" w:eastAsia="Times New Roman" w:hAnsi="Calibri" w:cs="Arial"/>
      <w:bCs/>
      <w:color w:val="002C47" w:themeColor="accent1"/>
      <w:kern w:val="32"/>
      <w:sz w:val="48"/>
      <w:szCs w:val="36"/>
      <w:lang w:eastAsia="en-AU"/>
    </w:rPr>
  </w:style>
  <w:style w:type="character" w:customStyle="1" w:styleId="ReportDateChar">
    <w:name w:val="Report Date Char"/>
    <w:basedOn w:val="DefaultParagraphFont"/>
    <w:link w:val="ReportDate"/>
    <w:rsid w:val="007A24B5"/>
    <w:rPr>
      <w:rFonts w:ascii="Calibri" w:eastAsia="Times New Roman" w:hAnsi="Calibri" w:cs="Times New Roman"/>
      <w:color w:val="FFFFFF" w:themeColor="background1"/>
      <w:sz w:val="44"/>
      <w:szCs w:val="20"/>
      <w:lang w:eastAsia="en-AU"/>
    </w:rPr>
  </w:style>
  <w:style w:type="paragraph" w:customStyle="1" w:styleId="Disclaimer">
    <w:name w:val="Disclaimer"/>
    <w:basedOn w:val="ReportDate"/>
    <w:rsid w:val="002F617F"/>
    <w:pPr>
      <w:spacing w:after="1800"/>
      <w:ind w:right="142"/>
    </w:pPr>
    <w:rPr>
      <w:rFonts w:ascii="Century Gothic" w:hAnsi="Century Gothic"/>
      <w:b/>
      <w:bCs/>
      <w:color w:val="5F5F5F" w:themeColor="text2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D63"/>
    <w:rPr>
      <w:rFonts w:asciiTheme="majorHAnsi" w:eastAsiaTheme="majorEastAsia" w:hAnsiTheme="majorHAnsi" w:cstheme="majorBidi"/>
      <w:i/>
      <w:iCs/>
      <w:color w:val="001523" w:themeColor="accent1" w:themeShade="7F"/>
      <w:szCs w:val="20"/>
      <w:lang w:eastAsia="en-AU"/>
    </w:rPr>
  </w:style>
  <w:style w:type="paragraph" w:customStyle="1" w:styleId="Divider">
    <w:name w:val="Divider"/>
    <w:basedOn w:val="ReportDate"/>
    <w:rsid w:val="002F617F"/>
    <w:pPr>
      <w:spacing w:after="1800"/>
    </w:pPr>
    <w:rPr>
      <w:rFonts w:ascii="Rockwell" w:hAnsi="Rockwell"/>
      <w:sz w:val="24"/>
    </w:rPr>
  </w:style>
  <w:style w:type="character" w:customStyle="1" w:styleId="FramedFooter">
    <w:name w:val="Framed Footer"/>
    <w:rsid w:val="00F60198"/>
    <w:rPr>
      <w:rFonts w:ascii="Arial" w:hAnsi="Arial"/>
      <w:color w:val="002C47"/>
      <w:sz w:val="18"/>
    </w:rPr>
  </w:style>
  <w:style w:type="character" w:customStyle="1" w:styleId="FramedHeader">
    <w:name w:val="Framed Header"/>
    <w:basedOn w:val="DefaultParagraphFont"/>
    <w:rsid w:val="0027590B"/>
    <w:rPr>
      <w:rFonts w:ascii="Arial" w:hAnsi="Arial"/>
      <w:dstrike w:val="0"/>
      <w:color w:val="auto"/>
      <w:sz w:val="18"/>
      <w:vertAlign w:val="baseline"/>
    </w:rPr>
  </w:style>
  <w:style w:type="paragraph" w:customStyle="1" w:styleId="TableTextIndented">
    <w:name w:val="Table Text Indented"/>
    <w:basedOn w:val="TableTextLeft"/>
    <w:rsid w:val="008E6292"/>
    <w:pPr>
      <w:ind w:left="284"/>
    </w:pPr>
  </w:style>
  <w:style w:type="paragraph" w:customStyle="1" w:styleId="TableHeadingContinued">
    <w:name w:val="Table Heading Continued"/>
    <w:basedOn w:val="TableMainHeading"/>
    <w:next w:val="TableGraphic"/>
    <w:rsid w:val="009A277C"/>
  </w:style>
  <w:style w:type="paragraph" w:customStyle="1" w:styleId="TableGraphic">
    <w:name w:val="Table Graphic"/>
    <w:basedOn w:val="HeadingBase"/>
    <w:next w:val="Normal"/>
    <w:rsid w:val="008E6292"/>
    <w:pPr>
      <w:spacing w:after="0"/>
    </w:pPr>
  </w:style>
  <w:style w:type="paragraph" w:customStyle="1" w:styleId="HeaderEven">
    <w:name w:val="Header Even"/>
    <w:basedOn w:val="Header"/>
    <w:rsid w:val="00F60198"/>
    <w:pPr>
      <w:jc w:val="left"/>
    </w:pPr>
    <w:rPr>
      <w:color w:val="002C47"/>
    </w:rPr>
  </w:style>
  <w:style w:type="paragraph" w:customStyle="1" w:styleId="HeaderOdd">
    <w:name w:val="Header Odd"/>
    <w:basedOn w:val="Header"/>
    <w:rsid w:val="00F60198"/>
    <w:rPr>
      <w:color w:val="002C47"/>
    </w:rPr>
  </w:style>
  <w:style w:type="paragraph" w:styleId="FootnoteText">
    <w:name w:val="footnote text"/>
    <w:basedOn w:val="Normal"/>
    <w:link w:val="FootnoteTextChar"/>
    <w:uiPriority w:val="99"/>
    <w:rsid w:val="008C7F71"/>
    <w:pPr>
      <w:spacing w:before="0"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C7F71"/>
    <w:rPr>
      <w:rFonts w:ascii="Calibri" w:eastAsia="Times New Roman" w:hAnsi="Calibri" w:cs="Times New Roman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rsid w:val="004C41B6"/>
    <w:rPr>
      <w:rFonts w:ascii="Calibri" w:hAnsi="Calibri"/>
      <w:sz w:val="20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3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318"/>
    <w:rPr>
      <w:rFonts w:ascii="Tahoma" w:eastAsia="Times New Roman" w:hAnsi="Tahoma" w:cs="Tahoma"/>
      <w:sz w:val="16"/>
      <w:szCs w:val="16"/>
      <w:lang w:eastAsia="en-AU"/>
    </w:rPr>
  </w:style>
  <w:style w:type="character" w:styleId="Strong">
    <w:name w:val="Strong"/>
    <w:basedOn w:val="DefaultParagraphFont"/>
    <w:uiPriority w:val="22"/>
    <w:qFormat/>
    <w:rsid w:val="0074027D"/>
    <w:rPr>
      <w:b/>
      <w:bCs/>
      <w:color w:val="004C7A"/>
    </w:rPr>
  </w:style>
  <w:style w:type="character" w:styleId="IntenseEmphasis">
    <w:name w:val="Intense Emphasis"/>
    <w:basedOn w:val="DefaultParagraphFont"/>
    <w:uiPriority w:val="21"/>
    <w:qFormat/>
    <w:rsid w:val="0074027D"/>
    <w:rPr>
      <w:i/>
      <w:iCs/>
      <w:color w:val="0066A4"/>
    </w:rPr>
  </w:style>
  <w:style w:type="paragraph" w:styleId="ListParagraph">
    <w:name w:val="List Paragraph"/>
    <w:basedOn w:val="Normal"/>
    <w:uiPriority w:val="34"/>
    <w:qFormat/>
    <w:rsid w:val="0074027D"/>
    <w:pPr>
      <w:numPr>
        <w:numId w:val="19"/>
      </w:numPr>
      <w:spacing w:before="0"/>
    </w:pPr>
  </w:style>
  <w:style w:type="character" w:styleId="UnresolvedMention">
    <w:name w:val="Unresolved Mention"/>
    <w:basedOn w:val="DefaultParagraphFont"/>
    <w:uiPriority w:val="99"/>
    <w:semiHidden/>
    <w:unhideWhenUsed/>
    <w:rsid w:val="007F55E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851257"/>
    <w:pPr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002035" w:themeColor="accent1" w:themeShade="BF"/>
      <w:kern w:val="0"/>
      <w:sz w:val="32"/>
      <w:szCs w:val="32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C42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2A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2A6"/>
    <w:rPr>
      <w:rFonts w:ascii="Calibri" w:eastAsia="Times New Roman" w:hAnsi="Calibri" w:cs="Times New Roman"/>
      <w:color w:val="262626" w:themeColor="text1" w:themeTint="D9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2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2A6"/>
    <w:rPr>
      <w:rFonts w:ascii="Calibri" w:eastAsia="Times New Roman" w:hAnsi="Calibri" w:cs="Times New Roman"/>
      <w:b/>
      <w:bCs/>
      <w:color w:val="262626" w:themeColor="text1" w:themeTint="D9"/>
      <w:sz w:val="20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71282C"/>
    <w:rPr>
      <w:color w:val="E61E26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4112D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B77EF4"/>
    <w:pPr>
      <w:spacing w:after="0" w:line="240" w:lineRule="auto"/>
    </w:pPr>
    <w:rPr>
      <w:rFonts w:ascii="Calibri" w:eastAsia="Times New Roman" w:hAnsi="Calibri" w:cs="Times New Roman"/>
      <w:color w:val="262626" w:themeColor="text1" w:themeTint="D9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3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footer" Target="footer1.xml"/><Relationship Id="rId26" Type="http://schemas.openxmlformats.org/officeDocument/2006/relationships/hyperlink" Target="https://register.paymenttimes.gov.au/" TargetMode="External"/><Relationship Id="rId39" Type="http://schemas.openxmlformats.org/officeDocument/2006/relationships/hyperlink" Target="https://www.legislation.gov.au/Series/C2020A00091" TargetMode="External"/><Relationship Id="rId21" Type="http://schemas.openxmlformats.org/officeDocument/2006/relationships/footer" Target="footer3.xml"/><Relationship Id="rId34" Type="http://schemas.openxmlformats.org/officeDocument/2006/relationships/hyperlink" Target="https://paymenttimes.gov.au/about/regulatory-resources/information-sheet-1" TargetMode="External"/><Relationship Id="rId42" Type="http://schemas.openxmlformats.org/officeDocument/2006/relationships/hyperlink" Target="https://register.paymenttimes.gov.au/" TargetMode="External"/><Relationship Id="rId47" Type="http://schemas.openxmlformats.org/officeDocument/2006/relationships/hyperlink" Target="https://paymenttimes.gov.au/about/regulatory-resources/information-sheet-1" TargetMode="External"/><Relationship Id="rId50" Type="http://schemas.openxmlformats.org/officeDocument/2006/relationships/hyperlink" Target="mailto:support@paymenttimes.gov.au" TargetMode="External"/><Relationship Id="rId55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hyperlink" Target="http://creativecommons.org/licenses/by/3.0/au/legalcode" TargetMode="External"/><Relationship Id="rId17" Type="http://schemas.openxmlformats.org/officeDocument/2006/relationships/header" Target="header4.xml"/><Relationship Id="rId25" Type="http://schemas.openxmlformats.org/officeDocument/2006/relationships/image" Target="media/image6.png"/><Relationship Id="rId33" Type="http://schemas.openxmlformats.org/officeDocument/2006/relationships/hyperlink" Target="https://www.legislation.gov.au/Series/C2020A00091" TargetMode="External"/><Relationship Id="rId38" Type="http://schemas.openxmlformats.org/officeDocument/2006/relationships/hyperlink" Target="https://paymenttimes.gov.au/about/regulatory-resources" TargetMode="External"/><Relationship Id="rId46" Type="http://schemas.openxmlformats.org/officeDocument/2006/relationships/hyperlink" Target="https://register.paymenttimes.gov.au/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hyperlink" Target="mailto:media@treasury.gov.au" TargetMode="External"/><Relationship Id="rId29" Type="http://schemas.openxmlformats.org/officeDocument/2006/relationships/image" Target="media/image9.png"/><Relationship Id="rId41" Type="http://schemas.openxmlformats.org/officeDocument/2006/relationships/hyperlink" Target="https://www.legislation.gov.au/Series/C2020A00091" TargetMode="External"/><Relationship Id="rId54" Type="http://schemas.openxmlformats.org/officeDocument/2006/relationships/footer" Target="footer5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creativecommons.org/licenses/by/3.0/au/deed.en" TargetMode="External"/><Relationship Id="rId24" Type="http://schemas.openxmlformats.org/officeDocument/2006/relationships/hyperlink" Target="https://treasury.gov.au/consultation" TargetMode="External"/><Relationship Id="rId32" Type="http://schemas.openxmlformats.org/officeDocument/2006/relationships/hyperlink" Target="http://www5.austlii.edu.au/au/legis/cth/bill/ccivfaomb2021688/" TargetMode="External"/><Relationship Id="rId37" Type="http://schemas.openxmlformats.org/officeDocument/2006/relationships/hyperlink" Target="https://treasury.gov.au/consultation" TargetMode="External"/><Relationship Id="rId40" Type="http://schemas.openxmlformats.org/officeDocument/2006/relationships/hyperlink" Target="https://www.legislation.gov.au/Series/C2020A00091" TargetMode="External"/><Relationship Id="rId45" Type="http://schemas.openxmlformats.org/officeDocument/2006/relationships/hyperlink" Target="https://www.legislation.gov.au/Series/C2020A00091" TargetMode="External"/><Relationship Id="rId53" Type="http://schemas.openxmlformats.org/officeDocument/2006/relationships/header" Target="header6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pmc.gov.au/government/commonwealth-coat-arm" TargetMode="External"/><Relationship Id="rId23" Type="http://schemas.openxmlformats.org/officeDocument/2006/relationships/hyperlink" Target="mailto:support@paymenttimes.gov.au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paymenttimes.gov.au/contact" TargetMode="External"/><Relationship Id="rId49" Type="http://schemas.openxmlformats.org/officeDocument/2006/relationships/hyperlink" Target="https://register.paymenttimes.gov.au/" TargetMode="External"/><Relationship Id="rId57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31" Type="http://schemas.openxmlformats.org/officeDocument/2006/relationships/hyperlink" Target="https://www.legislation.gov.au/Series/C2020A00091" TargetMode="External"/><Relationship Id="rId44" Type="http://schemas.openxmlformats.org/officeDocument/2006/relationships/hyperlink" Target="https://paymenttimes.gov.au/about/regulatory-resources/information-sheet-1" TargetMode="External"/><Relationship Id="rId52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creativecommons.org/licenses/by/3.0/au/deed.en" TargetMode="External"/><Relationship Id="rId22" Type="http://schemas.openxmlformats.org/officeDocument/2006/relationships/hyperlink" Target="https://www.legislation.gov.au/Series/C2020A00091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paymenttimes.gov.au/about/regulatory-resources/information-sheet-2" TargetMode="External"/><Relationship Id="rId43" Type="http://schemas.openxmlformats.org/officeDocument/2006/relationships/hyperlink" Target="https://www.legislation.gov.au/Series/C2014A00093" TargetMode="External"/><Relationship Id="rId48" Type="http://schemas.openxmlformats.org/officeDocument/2006/relationships/hyperlink" Target="https://www.legislation.gov.au/Series/C2020A00091" TargetMode="External"/><Relationship Id="rId56" Type="http://schemas.openxmlformats.org/officeDocument/2006/relationships/header" Target="header7.xml"/><Relationship Id="rId8" Type="http://schemas.openxmlformats.org/officeDocument/2006/relationships/endnotes" Target="endnotes.xml"/><Relationship Id="rId51" Type="http://schemas.openxmlformats.org/officeDocument/2006/relationships/footer" Target="footer4.xml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SY Corporate">
  <a:themeElements>
    <a:clrScheme name="TSY Corporate">
      <a:dk1>
        <a:sysClr val="windowText" lastClr="000000"/>
      </a:dk1>
      <a:lt1>
        <a:sysClr val="window" lastClr="FFFFFF"/>
      </a:lt1>
      <a:dk2>
        <a:srgbClr val="5F5F5F"/>
      </a:dk2>
      <a:lt2>
        <a:srgbClr val="EAEAEA"/>
      </a:lt2>
      <a:accent1>
        <a:srgbClr val="002C47"/>
      </a:accent1>
      <a:accent2>
        <a:srgbClr val="3A6FAF"/>
      </a:accent2>
      <a:accent3>
        <a:srgbClr val="008569"/>
      </a:accent3>
      <a:accent4>
        <a:srgbClr val="C45154"/>
      </a:accent4>
      <a:accent5>
        <a:srgbClr val="00818F"/>
      </a:accent5>
      <a:accent6>
        <a:srgbClr val="844D9E"/>
      </a:accent6>
      <a:hlink>
        <a:srgbClr val="3A6FAF"/>
      </a:hlink>
      <a:folHlink>
        <a:srgbClr val="E61E2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H1" Type="http://schemas.openxmlformats.org/officeDocument/2006/relationships/image" Target="images/H1.png"/></Relationships>
</file>

<file path=customUI/customUI14.xml><customUI 
	xmlns="http://schemas.microsoft.com/office/2009/07/customui"
	onLoad="RibbonControlCDP.Onload"
	xmlns:nsCustom="Custom Namespace">
		<ribbon startFromScratch="false">
			<tabs>
				<tab idQ="nsCustom:TabTreasury">
					<!--<group idMso="GroupFont"/>-->
					<group idQ="nsCustom:gpFormatting" label="Formatting">

						<menu id="mnuParagraphStyles" label="Paragraph styles" imageMso="P" >

							<button id="btnUnNumParagraph" label="Unnumbered Paragraph           Ctrl+Shift+N" 
								onAction="RibbonControlCDP.ChangeParagraphText"/>
							<button id="btnQuoteIndent" label="Quote/Indent" onAction="RibbonControlCDP.ChangeParagraphText"/>
							<button id="btnSingleParagraph" label="Single Paragraph                    Ctrl+Shift+S" 
								onAction="RibbonControlCDP.ChangeParagraphText"/>


							<menuSeparator id="sep02" />

							<button id="btnBullet" label="Bullet                                      Ctrl+Shift+B" 					 								onAction="RibbonControlCDP.ChangeParagraphText"/>
							<button id="btnDash" label="Dash                                       Ctrl+Shift+D" 						 								onAction="RibbonControlCDP.ChangeParagraphText"/>
							<button id="btnDDot" label="Double Dot                            Ctrl+Shift+O" 						 								onAction="RibbonControlCDP.ChangeParagraphText"/>

							<menuSeparator id="sep01" />

							<button id="btnLevel1" label="Numbered Paragraph Level 1    Alt+1" 
								onAction="RibbonControlCDP.ChangeParagraphText"/>
							<button id="btnLevel2" label="Numbered Paragraph Level 2    Alt+2" 
								onAction="RibbonControlCDP.ChangeParagraphText"/>
							<button id="btnLevel3" label="Numbered Paragraph Level 3    Alt+3" 
								onAction="RibbonControlCDP.ChangeParagraphText"/>


						
						</menu>


						<menu id="mnuHeadings" label="Heading styles" image="H1" >
							<button id="btnH1" label="Heading 1   Ctrl+Shift+1" onAction="RibbonControlCDP.ChangeHeadings"/>
							<button id="btnH2" label="Heading 2   Ctrl+Shift+2" onAction="RibbonControlCDP.ChangeHeadings"/>
							<button id="btnH3" label="Heading 3   Ctrl+Shift+3" onAction="RibbonControlCDP.ChangeHeadings"/>
							<button id="btnH4" label="Heading 4   Ctrl+Shift+4" onAction="RibbonControlCDP.ChangeHeadings"/>
							<button id="btnH5" label="Heading 5   Ctrl+Shift+5" onAction="RibbonControlCDP.ChangeHeadings"/>
							<button id="btnH6" label="Heading 6   Ctrl+Shift+6" onAction="RibbonControlCDP.ChangeHeadings"/>
							<button id="btnH1N" label="Heading 1 Numbered   Ctrl+Shift+7" onAction="RibbonControlCDP.ChangeHeadings"/>
							<button id="btnH2N" label="Heading 2 Numbered   Ctrl+Shift+8" onAction="RibbonControlCDP.ChangeHeadings"/>
							<button id="btnH3N" label="Heading 3 Numbered   Ctrl+Shift+9" onAction="RibbonControlCDP.ChangeHeadings"/>

							<menuSeparator id="sep03" />

							<button id="btnApp" label="Appendix Heading" onAction="RibbonControlCDP.ChangeHeadings"/>
					
						</menu>


					</group>

					<group idQ="nsCustom:gpCharts" label="Charts">
						<button id="btnSideBySideCharts" label="Insert Table for Side By Side Chart" onAction="RibbonControlCDP.ChangeCharts" imageMso="ChartEditDataSource" />
						

						<menu id="mnuChartFormatting" label="Chart formatting styles" imageMso="Chart3DColumnChart">
							<button id="btnChartMainHeading" label="Chart Main Heading            Ctrl+Shift+C" 
								onAction="RibbonControlCDP.ChangeCharts"/>
							<button id="btnChartSecondHeading" label="Chart Second Heading         Alt+Ctrl+C" 
								onAction="RibbonControlCDP.ChangeCharts"/>
							<button id="btnChartAlphaFootnote" label="Chart Footnote Alpha        Alt+Ctrl+T" 
								onAction="RibbonControlCDP.ChangeCharts"/>
							<button id="btnChartNoteSource" label="Chart Note/Source             Ctrl+Shift+F" 
								onAction="RibbonControlCDP.ChangeCharts"/>
							<button idMso="NumberingRestart" label="Restart Alpha Numbering"/>


						</menu>
						
						<button id="btnChartGraphic" label="Chart Graphic-fixes line spacing" onAction="RibbonControlCDP.ChangeCharts" imageMso="ChartFormatAxis" screentip="Fixes the line spacing and makes a chart visible when a chart isn't showing correctly. "/>


					</group>



					<group idQ="nsCustom:gpTables" label="Tables" imageMso="CreateTable" >
						<menu id="mnuInsertTable" label="Insert Word table" imageMso="CreateTable" >
							<button id="btnInsert2ColTbl" label="Insert 2 column table" onAction="RibbonControlCDP.ChangeAutotext" />
							<button id="btnInsert3ColTbl" label="Insert 3 column table" onAction="RibbonControlCDP.ChangeAutotext" />				 						<button id="btnInsert4ColTbl" label="Insert 4 column table" onAction="RibbonControlCDP.ChangeAutotext" />						 								<button id="btnInsert5ColTbl" label="Insert 5 column table" onAction="RibbonControlCDP.ChangeAutotext" />
						</menu>
						<menu id="mnuTableStyles" label="Table formatting styles" imageMso="TableStyleBandedRowsWord">
							<button id="btnTableMainHead" label="Table Main Heading                Ctrl+Shift+A" 
								onAction="RibbonControlCDP.ChangeTables" getEnabled="CheckIfInTable"/>
							<button id="btnTableMainHeadCont" label="Table Main Heading Contd      Alt+A" 
								onAction="RibbonControlCDP.ChangeTables" getEnabled="CheckIfInTable"/>
							<button id="btnTableSecondHead" label="Table Second Heading" onAction="RibbonControlCDP.ChangeTables" getEnabled="CheckIfInTable"/>

							<menuSeparator id="sep07" />
				
							<button id="btnColumnHeadLeft" label="Column Heading Left" onAction="RibbonControlCDP.ChangeTables" getEnabled="CheckTable"/>
							<button id="btnColumnHeadRight" label="Column Heading Right" onAction="RibbonControlCDP.ChangeTables" getEnabled="CheckTable"/>
							<button id="btnColumnHeadCentred" label="Column Heading Centred" onAction="RibbonControlCDP.ChangeTables" getEnabled="CheckTable"/>
							
							<menuSeparator id="sep08" />

							<button id="btnTextLeft" label="Text Left" imageMso="AlignLeft"
								onAction="RibbonControlCDP.ChangeTables" getEnabled="CheckTable"/>
							<button id="btnTextRight" label="Text Right" imageMso="AlignRight"
								onAction="RibbonControlCDP.ChangeTables" getEnabled="CheckTable"/>
							<button id="btnTextCentred" label="Text Centred" imageMso="AlignCenter"
								onAction="RibbonControlCDP.ChangeTables" getEnabled="CheckTable"/>
							<button id="btnTextIndented" label="Text Indented" onAction="RibbonControlCDP.ChangeTables" getEnabled="CheckTable"/>

							<menuSeparator id="sep09" />

							<button id="btnTableAlphaFootnote" label="Table Footnote Alpha                   Alt+Ctrl+T" 
								onAction="RibbonControlCDP.ChangeTables" getEnabled="CheckIfInTable"/>
							<button id="btnTableNoteSource" label="Table Note/Source                        Ctrl+Shift+F" 
								onAction="RibbonControlCDP.ChangeTables" getEnabled="CheckIfInTable"/>
							<button idMso="NumberingRestart" label="Restart Alpha Numbering              Alt+Ctrl+`"/>

							<menuSeparator id="sep10" />

						
						</menu>
					</group>

						

					

					<group idQ="nsCustom:grpRecommendationCDP" label="Shaded Boxes and Box Styles" imageMso="TextBoxMarginGallery">


						<menu id="mnuBoxes" label="Insert shaded box" imageMso="TableProperties" >
							<button id="btnGreyBox" label="Basic box (grey)" imageMso="ColorGray" onAction="RibbonControlCDP.InsertBox"/>
							<button id="btnBlueBox" label="Blue box" imageMso="ColorBlue" onAction="RibbonControlCDP.InsertBox"/>
							<button id="btnYellowBox" label="Yellow box" imageMso="ColorYellow" onAction="RibbonControlCDP.InsertBox"/>
					
						</menu>

						<menu id="mnuBoxStyles" label="Box styles" imageMso="BuildOrderChangeGallery" >
							<button id="btnBoxHeading" label="Box heading" onAction="RibbonControlCDP.InsertBox" getEnabled="CheckForBox"/>

							<menuSeparator id="sep04" />


							<button id="btnBoxText" label="Box text" onAction="RibbonControlCDP.InsertBox" getEnabled="CheckForBox"/>
							<button id="btnBoxBullet" label="Box bullet" onAction="RibbonControlCDP.InsertBox" getEnabled="CheckForBox"/>
							<button id="btnBoxDash" label="Box dash" onAction="RibbonControlCDP.InsertBox" getEnabled="CheckForBox"/>
							<button id="btnBoxDDot" label="Box double dot" onAction="RibbonControlCDP.InsertBox" getEnabled="CheckForBox"/>

					
						</menu>

						<button idMso="SectionBreakInsert" imageMso="BreakInsertDialog"/>

					</group>

					<group idQ="nsCustom:grpbHeaderFooterCDP" label="Headers and Footers" imageMso="GoToHeader">
						<menu id="mnuInsertPage" label="Insert New Page" imageMso="Thesaurus" >
							<button id="btnLandscapePage" label="Insert Landscape Page" onAction="RibbonControlCDP.ChangeHeaderFooter"/>
							<button id="btnPortraitPage" label="Insert Portrait Page" onAction="RibbonControlCDP.ChangeHeaderFooter"/>
						</menu>

						<menu id="mnubLandscape" label="Landscape Headers and Footers" imageMso="PageOrientationLandscape" >
							<button id="btnLandscapeHeader" label="Add/Update Landscape Header" onAction="RibbonControlCDP.ChangeHeaderFooter"/>
							<button id="btnLandscapeFooter" label="Add/Update Landscape Footer" onAction="RibbonControlCDP.ChangeHeaderFooter"/>	
						</menu>

						<menu id="mnubPortrait" label="Portrait Headers and Footers" imageMso="PageOrientationPortrait" >
							<button id="btnPortraitHeader" label="Add/Update Portrait Header" onAction="RibbonControlCDP.ChangeHeaderFooter"/>
							<button id="btnPortraitFooter" label="Add/Update Portrait Footer" onAction="RibbonControlCDP.ChangeHeaderFooter"/>
						</menu>
					</group>



				</tab>				
<!--All other comments go here-->
			</tabs>
		</ribbon>
</customUI>
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BBA07-08C7-4009-8ACB-27674FD1C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2512</Words>
  <Characters>14320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Regulator's update - July 202</vt:lpstr>
    </vt:vector>
  </TitlesOfParts>
  <Company/>
  <LinksUpToDate>false</LinksUpToDate>
  <CharactersWithSpaces>16799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Regulator's update - July 202</dc:title>
  <dc:creator/>
  <cp:keywords/>
  <cp:lastModifiedBy/>
  <cp:revision>1</cp:revision>
  <dcterms:created xsi:type="dcterms:W3CDTF">2022-07-19T05:22:00Z</dcterms:created>
  <dcterms:modified xsi:type="dcterms:W3CDTF">2022-07-19T05:23:00Z</dcterms:modified>
  <cp:category/>
</cp:coreProperties>
</file>