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3F40" w14:textId="0A177DA3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23AE5DFB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735836F4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7"/>
        <w:gridCol w:w="9255"/>
      </w:tblGrid>
      <w:tr w:rsidR="007A1180" w14:paraId="59272F01" w14:textId="77777777">
        <w:tc>
          <w:tcPr>
            <w:tcW w:w="704" w:type="pct"/>
          </w:tcPr>
          <w:p w14:paraId="1A412781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509532E4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06CE230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D239BD7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A1E5315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662D84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CCF1C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23AD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50BCCCCB" w14:textId="77777777">
        <w:tc>
          <w:tcPr>
            <w:tcW w:w="704" w:type="pct"/>
          </w:tcPr>
          <w:p w14:paraId="4F43135A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5B4A434D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4B04D87C" w14:textId="77777777"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1DC06" w14:textId="77777777" w:rsidR="00DA4A0D" w:rsidRDefault="00E53C9B" w:rsidP="00DA4A0D">
            <w:pPr>
              <w:ind w:left="253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="007A1180"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C424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09296E4" w14:textId="1EB33A69" w:rsidR="00010613" w:rsidRPr="00DA4A0D" w:rsidRDefault="003704E9" w:rsidP="00BC1B75">
            <w:pPr>
              <w:pStyle w:val="ListParagraph"/>
              <w:ind w:left="6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A0D">
              <w:rPr>
                <w:rFonts w:ascii="Arial" w:hAnsi="Arial" w:cs="Arial"/>
                <w:sz w:val="20"/>
                <w:szCs w:val="20"/>
              </w:rPr>
              <w:t xml:space="preserve">have used the </w:t>
            </w:r>
            <w:r w:rsidR="007444F8">
              <w:rPr>
                <w:rFonts w:ascii="Arial" w:hAnsi="Arial" w:cs="Arial"/>
                <w:sz w:val="20"/>
                <w:szCs w:val="20"/>
              </w:rPr>
              <w:t>Pay</w:t>
            </w:r>
            <w:r w:rsidRPr="00DA4A0D">
              <w:rPr>
                <w:rFonts w:ascii="Arial" w:hAnsi="Arial" w:cs="Arial"/>
                <w:sz w:val="20"/>
                <w:szCs w:val="20"/>
              </w:rPr>
              <w:t xml:space="preserve">ment Times Small Business Identification 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(SBI) </w:t>
            </w:r>
            <w:r w:rsidRPr="00DA4A0D">
              <w:rPr>
                <w:rFonts w:ascii="Arial" w:hAnsi="Arial" w:cs="Arial"/>
                <w:sz w:val="20"/>
                <w:szCs w:val="20"/>
              </w:rPr>
              <w:t xml:space="preserve">Tool </w:t>
            </w:r>
            <w:r w:rsidR="00671333" w:rsidRPr="00DA4A0D">
              <w:rPr>
                <w:rFonts w:ascii="Arial" w:hAnsi="Arial" w:cs="Arial"/>
                <w:sz w:val="20"/>
                <w:szCs w:val="20"/>
              </w:rPr>
              <w:t xml:space="preserve">to determine which </w:t>
            </w:r>
            <w:r w:rsidR="00DA4A0D" w:rsidRPr="00DA4A0D">
              <w:rPr>
                <w:rFonts w:ascii="Arial" w:hAnsi="Arial" w:cs="Arial"/>
                <w:sz w:val="20"/>
                <w:szCs w:val="20"/>
              </w:rPr>
              <w:t xml:space="preserve">of [reporting entity </w:t>
            </w:r>
            <w:r w:rsidR="00C466C2">
              <w:rPr>
                <w:rFonts w:ascii="Arial" w:hAnsi="Arial" w:cs="Arial"/>
                <w:sz w:val="20"/>
                <w:szCs w:val="20"/>
              </w:rPr>
              <w:t>or</w:t>
            </w:r>
            <w:r w:rsidR="00A474A1">
              <w:rPr>
                <w:rFonts w:ascii="Arial" w:hAnsi="Arial" w:cs="Arial"/>
                <w:sz w:val="20"/>
                <w:szCs w:val="20"/>
              </w:rPr>
              <w:t xml:space="preserve"> group’s </w:t>
            </w:r>
            <w:r w:rsidR="00DA4A0D" w:rsidRPr="00DA4A0D">
              <w:rPr>
                <w:rFonts w:ascii="Arial" w:hAnsi="Arial" w:cs="Arial"/>
                <w:sz w:val="20"/>
                <w:szCs w:val="20"/>
              </w:rPr>
              <w:t xml:space="preserve">name]’s </w:t>
            </w:r>
            <w:r w:rsidR="00010613" w:rsidRPr="00DA4A0D">
              <w:rPr>
                <w:rFonts w:ascii="Arial" w:hAnsi="Arial" w:cs="Arial"/>
                <w:sz w:val="20"/>
                <w:szCs w:val="20"/>
              </w:rPr>
              <w:t>supplier</w:t>
            </w:r>
            <w:r w:rsidR="00DA4A0D" w:rsidRPr="00DA4A0D">
              <w:rPr>
                <w:rFonts w:ascii="Arial" w:hAnsi="Arial" w:cs="Arial"/>
                <w:sz w:val="20"/>
                <w:szCs w:val="20"/>
              </w:rPr>
              <w:t>s’</w:t>
            </w:r>
            <w:r w:rsidR="00010613" w:rsidRPr="00DA4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A0D" w:rsidRPr="00DA4A0D">
              <w:rPr>
                <w:rFonts w:ascii="Arial" w:hAnsi="Arial" w:cs="Arial"/>
                <w:sz w:val="20"/>
                <w:szCs w:val="20"/>
              </w:rPr>
              <w:t>Australian Business Numbers (</w:t>
            </w:r>
            <w:r w:rsidR="00010613" w:rsidRPr="00DA4A0D">
              <w:rPr>
                <w:rFonts w:ascii="Arial" w:hAnsi="Arial" w:cs="Arial"/>
                <w:sz w:val="20"/>
                <w:szCs w:val="20"/>
              </w:rPr>
              <w:t>ABNs</w:t>
            </w:r>
            <w:r w:rsidR="00DA4A0D" w:rsidRPr="00DA4A0D">
              <w:rPr>
                <w:rFonts w:ascii="Arial" w:hAnsi="Arial" w:cs="Arial"/>
                <w:sz w:val="20"/>
                <w:szCs w:val="20"/>
              </w:rPr>
              <w:t>) are small business ABNs for the purposes of reporting under the Payment Times Reporting Scheme</w:t>
            </w:r>
            <w:r w:rsidR="007444F8">
              <w:rPr>
                <w:rFonts w:ascii="Arial" w:hAnsi="Arial" w:cs="Arial"/>
                <w:sz w:val="20"/>
                <w:szCs w:val="20"/>
              </w:rPr>
              <w:t>;</w:t>
            </w:r>
            <w:r w:rsidR="008D0D3E">
              <w:rPr>
                <w:rFonts w:ascii="Arial" w:hAnsi="Arial" w:cs="Arial"/>
                <w:sz w:val="20"/>
                <w:szCs w:val="20"/>
              </w:rPr>
              <w:t xml:space="preserve"> and make the de</w:t>
            </w:r>
            <w:r w:rsidR="002C5EA8">
              <w:rPr>
                <w:rFonts w:ascii="Arial" w:hAnsi="Arial" w:cs="Arial"/>
                <w:sz w:val="20"/>
                <w:szCs w:val="20"/>
              </w:rPr>
              <w:t>cl</w:t>
            </w:r>
            <w:r w:rsidR="008D0D3E">
              <w:rPr>
                <w:rFonts w:ascii="Arial" w:hAnsi="Arial" w:cs="Arial"/>
                <w:sz w:val="20"/>
                <w:szCs w:val="20"/>
              </w:rPr>
              <w:t>a</w:t>
            </w:r>
            <w:r w:rsidR="002C5EA8">
              <w:rPr>
                <w:rFonts w:ascii="Arial" w:hAnsi="Arial" w:cs="Arial"/>
                <w:sz w:val="20"/>
                <w:szCs w:val="20"/>
              </w:rPr>
              <w:t>ra</w:t>
            </w:r>
            <w:r w:rsidR="008D0D3E">
              <w:rPr>
                <w:rFonts w:ascii="Arial" w:hAnsi="Arial" w:cs="Arial"/>
                <w:sz w:val="20"/>
                <w:szCs w:val="20"/>
              </w:rPr>
              <w:t xml:space="preserve">tion(s) </w:t>
            </w:r>
            <w:r w:rsidR="00B7073F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8D0D3E">
              <w:rPr>
                <w:rFonts w:ascii="Arial" w:hAnsi="Arial" w:cs="Arial"/>
                <w:sz w:val="20"/>
                <w:szCs w:val="20"/>
              </w:rPr>
              <w:t>selected below.</w:t>
            </w:r>
          </w:p>
          <w:p w14:paraId="52B371F5" w14:textId="726C955B" w:rsidR="007A1180" w:rsidRPr="00581A6D" w:rsidRDefault="007E123E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7190F8" w14:textId="06C49437" w:rsidR="00111826" w:rsidRPr="00111826" w:rsidRDefault="00111826" w:rsidP="00111826">
            <w:pPr>
              <w:pStyle w:val="ListParagraph"/>
              <w:ind w:left="6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826">
              <w:rPr>
                <w:rFonts w:ascii="Arial" w:hAnsi="Arial" w:cs="Arial"/>
                <w:b/>
                <w:bCs/>
                <w:sz w:val="20"/>
                <w:szCs w:val="20"/>
              </w:rPr>
              <w:t>Declaration 1</w:t>
            </w:r>
            <w:r w:rsidR="007E1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r w:rsidR="00C35D7C">
              <w:rPr>
                <w:rFonts w:ascii="Arial" w:hAnsi="Arial" w:cs="Arial"/>
                <w:b/>
                <w:bCs/>
                <w:sz w:val="20"/>
                <w:szCs w:val="20"/>
              </w:rPr>
              <w:t>select</w:t>
            </w:r>
            <w:r w:rsidR="007E1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relevant)</w:t>
            </w:r>
            <w:r w:rsidRPr="00111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1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0076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8F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CD33942" w14:textId="77777777" w:rsidR="00111826" w:rsidRPr="00111826" w:rsidRDefault="00111826" w:rsidP="0011182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927A8A2" w14:textId="2160490B" w:rsidR="007A1180" w:rsidRDefault="00DA4A0D" w:rsidP="00DA4A0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A0D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examined </w:t>
            </w:r>
            <w:r w:rsidRPr="00DA4A0D">
              <w:rPr>
                <w:rFonts w:ascii="Arial" w:hAnsi="Arial" w:cs="Arial"/>
                <w:sz w:val="20"/>
                <w:szCs w:val="20"/>
              </w:rPr>
              <w:t xml:space="preserve">[reporting entity </w:t>
            </w:r>
            <w:r w:rsidR="00A474A1">
              <w:rPr>
                <w:rFonts w:ascii="Arial" w:hAnsi="Arial" w:cs="Arial"/>
                <w:sz w:val="20"/>
                <w:szCs w:val="20"/>
              </w:rPr>
              <w:t xml:space="preserve">or group’s </w:t>
            </w:r>
            <w:r w:rsidRPr="00DA4A0D">
              <w:rPr>
                <w:rFonts w:ascii="Arial" w:hAnsi="Arial" w:cs="Arial"/>
                <w:sz w:val="20"/>
                <w:szCs w:val="20"/>
              </w:rPr>
              <w:t>name]’s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32">
              <w:rPr>
                <w:rFonts w:ascii="Arial" w:hAnsi="Arial" w:cs="Arial"/>
                <w:sz w:val="20"/>
                <w:szCs w:val="20"/>
              </w:rPr>
              <w:t xml:space="preserve">payments made </w:t>
            </w:r>
            <w:r w:rsidR="009808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the list of ABNs provided by the SBI Tool to </w:t>
            </w:r>
            <w:r w:rsidR="00952AD9">
              <w:rPr>
                <w:rFonts w:ascii="Arial" w:hAnsi="Arial" w:cs="Arial"/>
                <w:sz w:val="20"/>
                <w:szCs w:val="20"/>
              </w:rPr>
              <w:t>assess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 if </w:t>
            </w:r>
            <w:r w:rsidR="00FB6932">
              <w:rPr>
                <w:rFonts w:ascii="Arial" w:hAnsi="Arial" w:cs="Arial"/>
                <w:sz w:val="20"/>
                <w:szCs w:val="20"/>
              </w:rPr>
              <w:t xml:space="preserve">payments made to 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any of the </w:t>
            </w:r>
            <w:proofErr w:type="gramStart"/>
            <w:r w:rsidR="00E53C9B">
              <w:rPr>
                <w:rFonts w:ascii="Arial" w:hAnsi="Arial" w:cs="Arial"/>
                <w:sz w:val="20"/>
                <w:szCs w:val="20"/>
              </w:rPr>
              <w:t>ABNs</w:t>
            </w:r>
            <w:proofErr w:type="gramEnd"/>
            <w:r w:rsidR="00E53C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32">
              <w:rPr>
                <w:rFonts w:ascii="Arial" w:hAnsi="Arial" w:cs="Arial"/>
                <w:sz w:val="20"/>
                <w:szCs w:val="20"/>
              </w:rPr>
              <w:t>total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 more than $10 million</w:t>
            </w:r>
            <w:r w:rsidR="007444F8">
              <w:rPr>
                <w:rFonts w:ascii="Arial" w:hAnsi="Arial" w:cs="Arial"/>
                <w:sz w:val="20"/>
                <w:szCs w:val="20"/>
              </w:rPr>
              <w:t xml:space="preserve"> in the most recent income year; and</w:t>
            </w:r>
          </w:p>
          <w:p w14:paraId="117D2685" w14:textId="77777777" w:rsidR="00E53C9B" w:rsidRPr="00E53C9B" w:rsidRDefault="00E53C9B" w:rsidP="00E53C9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93B83BA" w14:textId="3453382E" w:rsidR="00E53C9B" w:rsidRDefault="007444F8" w:rsidP="00DA4A0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3C9B">
              <w:rPr>
                <w:rFonts w:ascii="Arial" w:hAnsi="Arial" w:cs="Arial"/>
                <w:sz w:val="20"/>
                <w:szCs w:val="20"/>
              </w:rPr>
              <w:t xml:space="preserve">ased on this </w:t>
            </w:r>
            <w:r w:rsidR="00C134FD">
              <w:rPr>
                <w:rFonts w:ascii="Arial" w:hAnsi="Arial" w:cs="Arial"/>
                <w:sz w:val="20"/>
                <w:szCs w:val="20"/>
              </w:rPr>
              <w:t>examination</w:t>
            </w:r>
            <w:r w:rsidR="009C025E">
              <w:rPr>
                <w:rFonts w:ascii="Arial" w:hAnsi="Arial" w:cs="Arial"/>
                <w:sz w:val="20"/>
                <w:szCs w:val="20"/>
              </w:rPr>
              <w:t>,</w:t>
            </w:r>
            <w:r w:rsidR="00C134FD">
              <w:rPr>
                <w:rFonts w:ascii="Arial" w:hAnsi="Arial" w:cs="Arial"/>
                <w:sz w:val="20"/>
                <w:szCs w:val="20"/>
              </w:rPr>
              <w:t xml:space="preserve"> have identified the following ABN</w:t>
            </w:r>
            <w:r w:rsidR="0069538C">
              <w:rPr>
                <w:rFonts w:ascii="Arial" w:hAnsi="Arial" w:cs="Arial"/>
                <w:sz w:val="20"/>
                <w:szCs w:val="20"/>
              </w:rPr>
              <w:t>[s]</w:t>
            </w:r>
            <w:r w:rsidR="00C134FD">
              <w:rPr>
                <w:rFonts w:ascii="Arial" w:hAnsi="Arial" w:cs="Arial"/>
                <w:sz w:val="20"/>
                <w:szCs w:val="20"/>
              </w:rPr>
              <w:t xml:space="preserve"> that have </w:t>
            </w:r>
            <w:r w:rsidR="00FB6932">
              <w:rPr>
                <w:rFonts w:ascii="Arial" w:hAnsi="Arial" w:cs="Arial"/>
                <w:sz w:val="20"/>
                <w:szCs w:val="20"/>
              </w:rPr>
              <w:t>been paid</w:t>
            </w:r>
            <w:r w:rsidR="00C134FD">
              <w:rPr>
                <w:rFonts w:ascii="Arial" w:hAnsi="Arial" w:cs="Arial"/>
                <w:sz w:val="20"/>
                <w:szCs w:val="20"/>
              </w:rPr>
              <w:t xml:space="preserve"> more than $10 mill</w:t>
            </w:r>
            <w:r w:rsidR="00BD4048">
              <w:rPr>
                <w:rFonts w:ascii="Arial" w:hAnsi="Arial" w:cs="Arial"/>
                <w:sz w:val="20"/>
                <w:szCs w:val="20"/>
              </w:rPr>
              <w:t>i</w:t>
            </w:r>
            <w:r w:rsidR="00C134F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B693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A474A1">
              <w:rPr>
                <w:rFonts w:ascii="Arial" w:hAnsi="Arial" w:cs="Arial"/>
                <w:sz w:val="20"/>
                <w:szCs w:val="20"/>
              </w:rPr>
              <w:t>[</w:t>
            </w:r>
            <w:r w:rsidR="00CB16EE">
              <w:rPr>
                <w:rFonts w:ascii="Arial" w:hAnsi="Arial" w:cs="Arial"/>
                <w:sz w:val="20"/>
                <w:szCs w:val="20"/>
              </w:rPr>
              <w:t>reporting entit</w:t>
            </w:r>
            <w:r w:rsidR="00A474A1">
              <w:rPr>
                <w:rFonts w:ascii="Arial" w:hAnsi="Arial" w:cs="Arial"/>
                <w:sz w:val="20"/>
                <w:szCs w:val="20"/>
              </w:rPr>
              <w:t>y or group’s name]</w:t>
            </w:r>
            <w:r w:rsidR="00C134FD">
              <w:rPr>
                <w:rFonts w:ascii="Arial" w:hAnsi="Arial" w:cs="Arial"/>
                <w:sz w:val="20"/>
                <w:szCs w:val="20"/>
              </w:rPr>
              <w:t xml:space="preserve"> in the most recent income year of </w:t>
            </w:r>
            <w:r w:rsidR="007652F0">
              <w:rPr>
                <w:rFonts w:ascii="Arial" w:hAnsi="Arial" w:cs="Arial"/>
                <w:sz w:val="20"/>
                <w:szCs w:val="20"/>
              </w:rPr>
              <w:t>[</w:t>
            </w:r>
            <w:r w:rsidR="00C134FD">
              <w:rPr>
                <w:rFonts w:ascii="Arial" w:hAnsi="Arial" w:cs="Arial"/>
                <w:sz w:val="20"/>
                <w:szCs w:val="20"/>
              </w:rPr>
              <w:t>reporting entity</w:t>
            </w:r>
            <w:r w:rsidR="007652F0">
              <w:rPr>
                <w:rFonts w:ascii="Arial" w:hAnsi="Arial" w:cs="Arial"/>
                <w:sz w:val="20"/>
                <w:szCs w:val="20"/>
              </w:rPr>
              <w:t xml:space="preserve"> or group’s name]</w:t>
            </w:r>
            <w:r w:rsidR="00E53C9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392E04" w14:textId="7696C966" w:rsidR="007A1180" w:rsidRPr="00952AD9" w:rsidRDefault="00E53C9B" w:rsidP="00952AD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[list ABN</w:t>
            </w:r>
            <w:r w:rsidR="0069538C">
              <w:rPr>
                <w:rFonts w:ascii="Arial" w:hAnsi="Arial" w:cs="Arial"/>
                <w:sz w:val="20"/>
                <w:szCs w:val="20"/>
              </w:rPr>
              <w:t>[s]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state that a list of </w:t>
            </w:r>
            <w:r w:rsidR="00952AD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ABN</w:t>
            </w:r>
            <w:r w:rsidR="0069538C">
              <w:rPr>
                <w:rFonts w:ascii="Arial" w:hAnsi="Arial" w:cs="Arial"/>
                <w:sz w:val="20"/>
                <w:szCs w:val="20"/>
              </w:rPr>
              <w:t>[s]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AD9">
              <w:rPr>
                <w:rFonts w:ascii="Arial" w:hAnsi="Arial" w:cs="Arial"/>
                <w:sz w:val="20"/>
                <w:szCs w:val="20"/>
              </w:rPr>
              <w:t>is attached]</w:t>
            </w:r>
          </w:p>
          <w:p w14:paraId="6BA7392D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F78E1" w14:textId="19401CD1" w:rsidR="007E123E" w:rsidRPr="00111826" w:rsidRDefault="007E123E" w:rsidP="007E123E">
            <w:pPr>
              <w:pStyle w:val="ListParagraph"/>
              <w:ind w:left="6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  (</w:t>
            </w:r>
            <w:r w:rsidR="00C35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relevant)</w:t>
            </w:r>
            <w:r w:rsidRPr="00111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697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F2D4756" w14:textId="6450DA68" w:rsidR="00FA7233" w:rsidRDefault="00FA7233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EDFA33" w14:textId="749B70C0" w:rsidR="007E123E" w:rsidRDefault="00B7073F" w:rsidP="00BC1B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examined the</w:t>
            </w:r>
            <w:r w:rsidR="007E123E">
              <w:rPr>
                <w:rFonts w:ascii="Arial" w:hAnsi="Arial" w:cs="Arial"/>
                <w:sz w:val="20"/>
                <w:szCs w:val="20"/>
              </w:rPr>
              <w:t xml:space="preserve"> list of ABNs provided by the SBI Tool </w:t>
            </w:r>
            <w:r w:rsidR="00631833">
              <w:rPr>
                <w:rFonts w:ascii="Arial" w:hAnsi="Arial" w:cs="Arial"/>
                <w:sz w:val="20"/>
                <w:szCs w:val="20"/>
              </w:rPr>
              <w:t>to assess if any of the ABN</w:t>
            </w:r>
            <w:r w:rsidR="00F71658">
              <w:rPr>
                <w:rFonts w:ascii="Arial" w:hAnsi="Arial" w:cs="Arial"/>
                <w:sz w:val="20"/>
                <w:szCs w:val="20"/>
              </w:rPr>
              <w:t>s are member entities of</w:t>
            </w:r>
            <w:r w:rsidR="000D487F">
              <w:rPr>
                <w:rFonts w:ascii="Arial" w:hAnsi="Arial" w:cs="Arial"/>
                <w:sz w:val="20"/>
                <w:szCs w:val="20"/>
              </w:rPr>
              <w:t xml:space="preserve"> my group</w:t>
            </w:r>
            <w:r w:rsidR="003E7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651">
              <w:rPr>
                <w:rFonts w:ascii="Arial" w:hAnsi="Arial" w:cs="Arial"/>
                <w:sz w:val="20"/>
                <w:szCs w:val="20"/>
              </w:rPr>
              <w:t xml:space="preserve">and have total income </w:t>
            </w:r>
            <w:r w:rsidR="00BA2BC6">
              <w:rPr>
                <w:rFonts w:ascii="Arial" w:hAnsi="Arial" w:cs="Arial"/>
                <w:sz w:val="20"/>
                <w:szCs w:val="20"/>
              </w:rPr>
              <w:t>of more than $10 million in the most recent income year</w:t>
            </w:r>
            <w:r w:rsidR="00D4205D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18A4638D" w14:textId="77777777" w:rsidR="007E123E" w:rsidRPr="00E53C9B" w:rsidRDefault="007E123E" w:rsidP="007E123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58BD6B6" w14:textId="05DEF973" w:rsidR="007E123E" w:rsidRDefault="007E123E" w:rsidP="00BC1B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this examination</w:t>
            </w:r>
            <w:r w:rsidR="003E721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have identified the following ABN[s]</w:t>
            </w:r>
            <w:r w:rsidR="00EF312E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C94E85">
              <w:rPr>
                <w:rFonts w:ascii="Arial" w:hAnsi="Arial" w:cs="Arial"/>
                <w:sz w:val="20"/>
                <w:szCs w:val="20"/>
              </w:rPr>
              <w:t>member entities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0FE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C188A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group’s name] </w:t>
            </w:r>
            <w:r w:rsidR="00A013C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F453F">
              <w:rPr>
                <w:rFonts w:ascii="Arial" w:hAnsi="Arial" w:cs="Arial"/>
                <w:sz w:val="20"/>
                <w:szCs w:val="20"/>
              </w:rPr>
              <w:t>confirm that in the most recent income year their total income was over $10</w:t>
            </w:r>
            <w:r w:rsidR="00974A3D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7D3F">
              <w:rPr>
                <w:rFonts w:ascii="Arial" w:hAnsi="Arial" w:cs="Arial"/>
                <w:sz w:val="20"/>
                <w:szCs w:val="20"/>
              </w:rPr>
              <w:t>i</w:t>
            </w:r>
            <w:r w:rsidR="00974A3D">
              <w:rPr>
                <w:rFonts w:ascii="Arial" w:hAnsi="Arial" w:cs="Arial"/>
                <w:sz w:val="20"/>
                <w:szCs w:val="20"/>
              </w:rPr>
              <w:t>llion:</w:t>
            </w:r>
          </w:p>
          <w:p w14:paraId="10B8F0B1" w14:textId="77777777" w:rsidR="007E123E" w:rsidRPr="00952AD9" w:rsidRDefault="007E123E" w:rsidP="007E12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[list ABN[s] or state that a list of the ABN[s] is attached]</w:t>
            </w:r>
          </w:p>
          <w:p w14:paraId="0CD7BF98" w14:textId="77777777" w:rsidR="00FA7233" w:rsidRDefault="00FA7233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2E10E" w14:textId="77777777" w:rsidR="00FA7233" w:rsidRDefault="00FA7233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95881" w14:textId="2B8A2EAC" w:rsidR="007A1180" w:rsidRPr="00581A6D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5DD508BB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5750E101" w14:textId="77777777">
        <w:tc>
          <w:tcPr>
            <w:tcW w:w="704" w:type="pct"/>
          </w:tcPr>
          <w:p w14:paraId="76095FEF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60B24C02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31AD00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6AC6F12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402DD20B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38DFB4EE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792CEC7E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B799C67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371F45C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5B83834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78F65CFB" w14:textId="77777777">
        <w:tc>
          <w:tcPr>
            <w:tcW w:w="704" w:type="pct"/>
          </w:tcPr>
          <w:p w14:paraId="54D4D374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03C0FF28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E09583B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678A99D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B3C8EBE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D3CED5B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556AB03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53668E1C" w14:textId="77777777">
        <w:tc>
          <w:tcPr>
            <w:tcW w:w="704" w:type="pct"/>
          </w:tcPr>
          <w:p w14:paraId="1E59FBD4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7D1EA431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1B8DE423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D75E1C4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E62E7E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7F30FE77" w14:textId="77777777">
        <w:tc>
          <w:tcPr>
            <w:tcW w:w="704" w:type="pct"/>
          </w:tcPr>
          <w:p w14:paraId="2066AD2D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1E0E6B7F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A3E99F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EA46BDF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44CB2221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3FE916D8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lastRenderedPageBreak/>
              <w:t>9</w:t>
            </w:r>
          </w:p>
          <w:p w14:paraId="6C1E218D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AFA0A31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565F04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2BF1AD8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875CEE0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A8E2B56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4B21526A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86393FC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159F05DB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lastRenderedPageBreak/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10B06852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5A9EC962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18A0AC44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66FD6340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21D57115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145FFC83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4166E4D0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2364D462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6E347EC1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6EEF9311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77E9F52C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656F9EE1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062F0E5C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5646931F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6C86F2D6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101EEF23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0DC8BAB4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68AF4C93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2819A4A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7ACE812B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5F3E3B0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716BE88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53C4E44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4376523B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2D3D847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2C108E3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122BE56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390BDCE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1726973C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3E84A24D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01534515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728DF9B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4BB0C495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57725FD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59D4BC63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514BFBA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6B021FC4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4B8983D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7593764A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352DF503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3F1D3EF2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60048EFF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29EEB89C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462D08B2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48B36E3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26979D0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2170E599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0324EB5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3A640F8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2BB4F2C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57D3B93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7075D197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72F680CB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75B7DE29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29D2B2D2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1322F9BC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3FD353CD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2942A349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7C7EE9C1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2BDA80D5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88D3E9F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5DA85265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1D6DD79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19F5839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7AC624B9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1E7BCA7D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0E13EBDD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2D4C3795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5FFD0EBE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0A2B7109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3F9C09DC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6033217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24981605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7991895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5F4ED267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6DEAA6BC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5E0B7B06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797B716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0FBAE05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0F3DA57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4B0114ED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10A3" w14:textId="77777777" w:rsidR="00963770" w:rsidRDefault="00963770" w:rsidP="000F6C13">
      <w:r>
        <w:separator/>
      </w:r>
    </w:p>
  </w:endnote>
  <w:endnote w:type="continuationSeparator" w:id="0">
    <w:p w14:paraId="5956F6F5" w14:textId="77777777" w:rsidR="00963770" w:rsidRDefault="00963770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743F" w14:textId="77777777" w:rsidR="00963770" w:rsidRDefault="00963770" w:rsidP="000F6C13">
      <w:r>
        <w:separator/>
      </w:r>
    </w:p>
  </w:footnote>
  <w:footnote w:type="continuationSeparator" w:id="0">
    <w:p w14:paraId="272A3354" w14:textId="77777777" w:rsidR="00963770" w:rsidRDefault="00963770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4809"/>
    <w:multiLevelType w:val="hybridMultilevel"/>
    <w:tmpl w:val="9E9A203A"/>
    <w:lvl w:ilvl="0" w:tplc="0C09000F">
      <w:start w:val="1"/>
      <w:numFmt w:val="decimal"/>
      <w:lvlText w:val="%1."/>
      <w:lvlJc w:val="left"/>
      <w:pPr>
        <w:ind w:left="613" w:hanging="360"/>
      </w:pPr>
    </w:lvl>
    <w:lvl w:ilvl="1" w:tplc="0C090019" w:tentative="1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2BE526B9"/>
    <w:multiLevelType w:val="hybridMultilevel"/>
    <w:tmpl w:val="9E9A203A"/>
    <w:lvl w:ilvl="0" w:tplc="0C09000F">
      <w:start w:val="1"/>
      <w:numFmt w:val="decimal"/>
      <w:lvlText w:val="%1."/>
      <w:lvlJc w:val="left"/>
      <w:pPr>
        <w:ind w:left="613" w:hanging="360"/>
      </w:pPr>
    </w:lvl>
    <w:lvl w:ilvl="1" w:tplc="0C090019" w:tentative="1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" w15:restartNumberingAfterBreak="0">
    <w:nsid w:val="331B5B2D"/>
    <w:multiLevelType w:val="hybridMultilevel"/>
    <w:tmpl w:val="3E4070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F5"/>
    <w:rsid w:val="00010613"/>
    <w:rsid w:val="000579FB"/>
    <w:rsid w:val="000631E5"/>
    <w:rsid w:val="00071651"/>
    <w:rsid w:val="000A632B"/>
    <w:rsid w:val="000D487F"/>
    <w:rsid w:val="000F453F"/>
    <w:rsid w:val="000F6C13"/>
    <w:rsid w:val="00111826"/>
    <w:rsid w:val="001147CF"/>
    <w:rsid w:val="001228C2"/>
    <w:rsid w:val="00123189"/>
    <w:rsid w:val="00155ED0"/>
    <w:rsid w:val="001A6A50"/>
    <w:rsid w:val="001C1797"/>
    <w:rsid w:val="001E3876"/>
    <w:rsid w:val="001F3394"/>
    <w:rsid w:val="001F682A"/>
    <w:rsid w:val="00211408"/>
    <w:rsid w:val="00211531"/>
    <w:rsid w:val="00217F21"/>
    <w:rsid w:val="00224697"/>
    <w:rsid w:val="002B6204"/>
    <w:rsid w:val="002C3E88"/>
    <w:rsid w:val="002C5EA8"/>
    <w:rsid w:val="002D4347"/>
    <w:rsid w:val="002F3F18"/>
    <w:rsid w:val="003117D2"/>
    <w:rsid w:val="00331C9F"/>
    <w:rsid w:val="00350F77"/>
    <w:rsid w:val="00364639"/>
    <w:rsid w:val="00365174"/>
    <w:rsid w:val="003704E9"/>
    <w:rsid w:val="003764BA"/>
    <w:rsid w:val="00376C56"/>
    <w:rsid w:val="003B0BEF"/>
    <w:rsid w:val="003B18FC"/>
    <w:rsid w:val="003B6CAA"/>
    <w:rsid w:val="003C188A"/>
    <w:rsid w:val="003C2CD5"/>
    <w:rsid w:val="003E49C1"/>
    <w:rsid w:val="003E7216"/>
    <w:rsid w:val="00467114"/>
    <w:rsid w:val="00526B38"/>
    <w:rsid w:val="0053568E"/>
    <w:rsid w:val="0053708D"/>
    <w:rsid w:val="00544D2D"/>
    <w:rsid w:val="0056494D"/>
    <w:rsid w:val="00581A6D"/>
    <w:rsid w:val="005C4241"/>
    <w:rsid w:val="005D3D24"/>
    <w:rsid w:val="005F5A4E"/>
    <w:rsid w:val="005F6D0E"/>
    <w:rsid w:val="006108AE"/>
    <w:rsid w:val="00612558"/>
    <w:rsid w:val="00631833"/>
    <w:rsid w:val="0064245D"/>
    <w:rsid w:val="00660D32"/>
    <w:rsid w:val="00667239"/>
    <w:rsid w:val="00671333"/>
    <w:rsid w:val="006809F7"/>
    <w:rsid w:val="00686305"/>
    <w:rsid w:val="0068728C"/>
    <w:rsid w:val="0069538C"/>
    <w:rsid w:val="006A381A"/>
    <w:rsid w:val="006A74C7"/>
    <w:rsid w:val="006B1F8D"/>
    <w:rsid w:val="006B5F62"/>
    <w:rsid w:val="00701DB2"/>
    <w:rsid w:val="007169A0"/>
    <w:rsid w:val="00727DAD"/>
    <w:rsid w:val="007444F8"/>
    <w:rsid w:val="007652F0"/>
    <w:rsid w:val="00787B62"/>
    <w:rsid w:val="0079700F"/>
    <w:rsid w:val="007A1180"/>
    <w:rsid w:val="007A175C"/>
    <w:rsid w:val="007A77C2"/>
    <w:rsid w:val="007D6F62"/>
    <w:rsid w:val="007E123E"/>
    <w:rsid w:val="007F6703"/>
    <w:rsid w:val="0081799E"/>
    <w:rsid w:val="008408F0"/>
    <w:rsid w:val="00856C57"/>
    <w:rsid w:val="008B7A8D"/>
    <w:rsid w:val="008D0D3E"/>
    <w:rsid w:val="009412CE"/>
    <w:rsid w:val="009438FE"/>
    <w:rsid w:val="00952516"/>
    <w:rsid w:val="00952AD9"/>
    <w:rsid w:val="00963770"/>
    <w:rsid w:val="00974A3D"/>
    <w:rsid w:val="009808D6"/>
    <w:rsid w:val="00983C7E"/>
    <w:rsid w:val="009A4A9C"/>
    <w:rsid w:val="009C025E"/>
    <w:rsid w:val="009E5564"/>
    <w:rsid w:val="00A013CC"/>
    <w:rsid w:val="00A1794F"/>
    <w:rsid w:val="00A336EC"/>
    <w:rsid w:val="00A474A1"/>
    <w:rsid w:val="00A6245E"/>
    <w:rsid w:val="00A6475C"/>
    <w:rsid w:val="00A83460"/>
    <w:rsid w:val="00AA640D"/>
    <w:rsid w:val="00AC0AA0"/>
    <w:rsid w:val="00AF57C2"/>
    <w:rsid w:val="00B060F0"/>
    <w:rsid w:val="00B7073F"/>
    <w:rsid w:val="00BA2BC6"/>
    <w:rsid w:val="00BB1A59"/>
    <w:rsid w:val="00BC1B75"/>
    <w:rsid w:val="00BD4048"/>
    <w:rsid w:val="00C134FD"/>
    <w:rsid w:val="00C35D7C"/>
    <w:rsid w:val="00C45523"/>
    <w:rsid w:val="00C466C2"/>
    <w:rsid w:val="00C56385"/>
    <w:rsid w:val="00C7515A"/>
    <w:rsid w:val="00C75D93"/>
    <w:rsid w:val="00C77875"/>
    <w:rsid w:val="00C94E85"/>
    <w:rsid w:val="00CA27FF"/>
    <w:rsid w:val="00CB16EE"/>
    <w:rsid w:val="00CC3891"/>
    <w:rsid w:val="00D12723"/>
    <w:rsid w:val="00D4205D"/>
    <w:rsid w:val="00D47D3F"/>
    <w:rsid w:val="00D770FE"/>
    <w:rsid w:val="00DA4A0D"/>
    <w:rsid w:val="00DA6FD6"/>
    <w:rsid w:val="00E20AD9"/>
    <w:rsid w:val="00E53C9B"/>
    <w:rsid w:val="00EB1BBE"/>
    <w:rsid w:val="00EB20E3"/>
    <w:rsid w:val="00EB35F5"/>
    <w:rsid w:val="00EB4CF6"/>
    <w:rsid w:val="00EC5CE0"/>
    <w:rsid w:val="00EF312E"/>
    <w:rsid w:val="00EF6489"/>
    <w:rsid w:val="00F33319"/>
    <w:rsid w:val="00F64355"/>
    <w:rsid w:val="00F71658"/>
    <w:rsid w:val="00FA7233"/>
    <w:rsid w:val="00FB5D31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7225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0613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DA4A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B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BE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46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6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46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6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2022-06-27T23:28:00Z</dcterms:created>
  <dcterms:modified xsi:type="dcterms:W3CDTF">2022-06-27T23:28:00Z</dcterms:modified>
</cp:coreProperties>
</file>